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Internet / Gaming / Smartphone Addiction</w:t>
      </w:r>
    </w:p>
    <w:p>
      <w:pPr>
        <w:spacing w:before="0" w:after="160"/>
      </w:pPr>
      <w:r>
        <w:rPr>
          <w:rFonts w:ascii="Calibri" w:hAnsi="Calibri"/>
          <w:b/>
          <w:i w:val="0"/>
          <w:color w:val="212121"/>
          <w:sz w:val="22"/>
        </w:rPr>
        <w:t xml:space="preserve">AKA </w:t>
      </w:r>
      <w:r>
        <w:rPr>
          <w:rFonts w:ascii="Calibri" w:hAnsi="Calibri"/>
          <w:b w:val="0"/>
          <w:i w:val="0"/>
          <w:color w:val="212121"/>
          <w:sz w:val="22"/>
        </w:rPr>
        <w:t>i.e., Problematic Internet Use (PIU), Internet Use Disorder, Gaming Disorder (ICD-11 6C51), Internet Gaming Disorder (IGD, DSM-5), Problematic Smartphone Use, Mobile Phone Dependence, Nomophobia, Digital / Screen Addiction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Internet, gaming and smartphone addiction is an umbrella term for a group of behavioural addictions characterized by impaired control over use of digital devices, the internet, social media or video games; increasing priority given to the behaviour over other interests, studies, work and relationships; and continuation or escalation of use despite negative consequences. Of these, Gaming disorder is formally recognized in WHO ICD-11 (code 6C51) as a disorder due to addictive behaviours, while Internet Gaming Disorder is listed in DSM-5 as a condition for further study; problematic internet and smartphone use are clinically analogous patterns assessed with validated scales. The behaviour is driven by dysregulation of the brain's dopaminergic reward circuitry — similar to substance addictions — and typically causes significant impairment in personal, family, social, educational or occupational functioning for at least 12 months.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crossed 900 million internet users in 2025 (IAMAI–Kantar), with 55% now in rural areas, making problematic digital use a rapidly rising public-health concern. Pooled Indian meta-analyses report internet addiction in 19.9%–40.7% of college students (Young's IAT cut-offs 50/40), any-level internet addiction in 58.3% of adults aged 18–40 (severe 0.9%), smartphone addiction in 39%–44% of adolescents and about 60% of undergraduate medical students, while gaming disorder affects roughly 2–3% of gamers globally and 3.4% of young adults in a Tamil Nadu study.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There is no laboratory test; diagnosis is clinical, based on WHO ICD-11 criteria for gaming disorder (applied analogously to other digital behaviours), DSM-5 research criteria for Internet Gaming Disorder, and validated screening scales, after excluding primary psychiatric illness and normal high-intensity (e.g., occupational) 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ICD-11 gaming disorder (6C51): (1) impaired control over gaming/use (onset, frequency, intensity, duration, termination, context); (2) increasing priority given to the behaviour over other life interests and daily activities; and (3) continuation or escalation despite negative consequences — with significant functional impairment, normally evident for at least 12 months (shorter if all features are severe);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DSM-5 Internet Gaming Disorder (research criteria): ≥ 5 of 9 features in 12 months — preoccupation, withdrawal (irritability/anxiety when access removed), tolerance (increasing time), unsuccessful attempts to cut down, loss of other interests, continued use despite problems, deceiving others about use, use to escape dysphoric mood, and jeopardized relationships/education/career;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screening thresholds: Young's Internet Addiction Test (IAT) ≥ 50 (moderate) or ≥ 80 (severe); Smartphone Addiction Scale–Short Version (SAS-SV) ≥ 31 (males) / ≥ 33 (females); IGDS9-SF ≥ 32 or endorsement of ≥ 5 DSM-5 criteria; Nomophobia Questionnaire (NMP-Q) for phone-separation anxiety;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alternative explanations: mania/hypomania, primary depression or social anxiety with secondary online retreat, ADHD, autism-spectrum restricted interests, and high but controlled professional/academic screen use without loss of control.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 spectrum of problematic digital-technology use is classified by the predominant behaviour, by formal nosological status, and by severity:</w:t>
      </w:r>
    </w:p>
    <w:p>
      <w:pPr>
        <w:spacing w:before="0" w:after="80"/>
      </w:pPr>
      <w:r>
        <w:rPr>
          <w:rFonts w:ascii="Calibri" w:hAnsi="Calibri"/>
          <w:b w:val="0"/>
          <w:i w:val="0"/>
          <w:color w:val="212121"/>
          <w:sz w:val="21"/>
        </w:rPr>
        <w:t>(1) Gaming disorder (ICD-11 6C51) — the only formally coded entity, subdivided into predominantly online (6C51.0) and predominantly offline (6C51.1) forms, with sub-threshold risky play coded as Hazardous gaming (QE22); DSM-5 lists the closely related Internet Gaming Disorder in Section III as a condition warranting further study;</w:t>
      </w:r>
    </w:p>
    <w:p>
      <w:pPr>
        <w:spacing w:before="0" w:after="80"/>
      </w:pPr>
      <w:r>
        <w:rPr>
          <w:rFonts w:ascii="Calibri" w:hAnsi="Calibri"/>
          <w:b w:val="0"/>
          <w:i w:val="0"/>
          <w:color w:val="212121"/>
          <w:sz w:val="21"/>
        </w:rPr>
        <w:t>(2) Generalized problematic internet use / internet addiction — non-specific compulsive online engagement (browsing, streaming, doomscrolling) assessed with Young's IAT and classifiable in ICD-11 under other specified disorders due to addictive behaviours (6C5Y);</w:t>
      </w:r>
    </w:p>
    <w:p>
      <w:pPr>
        <w:spacing w:before="0" w:after="80"/>
      </w:pPr>
      <w:r>
        <w:rPr>
          <w:rFonts w:ascii="Calibri" w:hAnsi="Calibri"/>
          <w:b w:val="0"/>
          <w:i w:val="0"/>
          <w:color w:val="212121"/>
          <w:sz w:val="21"/>
        </w:rPr>
        <w:t>(3) Problematic smartphone use and its variants — mobile phone dependence, nomophobia (fear of being without the phone), phantom-vibration/ringing experiences and compulsive checking — typically screened with SAS-SV and NMP-Q;</w:t>
      </w:r>
    </w:p>
    <w:p>
      <w:pPr>
        <w:spacing w:before="0" w:after="80"/>
      </w:pPr>
      <w:r>
        <w:rPr>
          <w:rFonts w:ascii="Calibri" w:hAnsi="Calibri"/>
          <w:b w:val="0"/>
          <w:i w:val="0"/>
          <w:color w:val="212121"/>
          <w:sz w:val="21"/>
        </w:rPr>
        <w:t>(4) Content-specific subtypes — social-media addiction, online gambling and real-money gaming (a fast-growing overlap area in India), online shopping, pornography/cybersex and binge-streaming;</w:t>
      </w:r>
    </w:p>
    <w:p>
      <w:pPr>
        <w:spacing w:before="0" w:after="80"/>
      </w:pPr>
      <w:r>
        <w:rPr>
          <w:rFonts w:ascii="Calibri" w:hAnsi="Calibri"/>
          <w:b w:val="0"/>
          <w:i w:val="0"/>
          <w:color w:val="212121"/>
          <w:sz w:val="21"/>
        </w:rPr>
        <w:t>(5) By severity on Young's IAT: normal (score 0–30), mild (31–49), moderate (50–79) and severe (80–100); ICD-11 additionally requires functional impairment, distinguishing disorder from heavy-but-controlled use.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Reward-circuit dysregulation: variable-ratio reinforcement built into games, feeds and notifications (likes, loot boxes, autoplay, infinite scroll) drives phasic dopamine release in mesolimbic pathways, producing craving, tolerance and loss of control comparable to substance addictions.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Persuasive design and environment: 24/7 connectivity, among the world's cheapest mobile data (post-2016 in India), free-to-play games with in-app purchases, and attention-economy design deliberately maximize engagement; COVID-19 lockdowns and online schooling normalized long screen hours (children's screen time rose ~1.4 h/day, adults ~1.0 h/day).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Developmental vulnerability: the adolescent brain has an immature prefrontal inhibitory system relative to a highly reactive reward system, making 10–25-year-olds — the core Indian user demographic — most susceptible.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Psychological vulnerability: ADHD, impulsivity, low self-esteem, loneliness, social anxiety and using screens to escape dysphoric mood or academic stress strongly predict progression from use to addiction.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and familial factors: twin studies estimate ~48% heritability for compulsive internet use; family history of addictive behaviours, parental modelling of heavy phone use, and authoritarian or permissive (non-authoritative) parenting increase risk.</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Social and academic context: single-parent or low-supervision households, peer norms built around online games (BGMI, Free Fire) and social apps, exam stress, and limited access to playgrounds/offline recreation in dense urban India shift leisure online.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(10–19 years)</w:t>
            </w:r>
          </w:p>
        </w:tc>
        <w:tc>
          <w:tcPr>
            <w:tcW w:type="dxa" w:w="4276"/>
            <w:vAlign w:val="top"/>
          </w:tcPr>
          <w:p>
            <w:pPr>
              <w:spacing w:after="60" w:line="259" w:lineRule="auto"/>
            </w:pPr>
            <w:r>
              <w:rPr>
                <w:rFonts w:ascii="Calibri" w:hAnsi="Calibri"/>
                <w:b w:val="0"/>
                <w:i w:val="0"/>
                <w:color w:val="212121"/>
                <w:sz w:val="19"/>
              </w:rPr>
              <w:t>Immature prefrontal inhibitory control plus a hyper-responsive reward system, first personal smartphones, online schooling and peer pressure make adolescents the highest-risk group; early-onset use entrenches habits before self-regulation matures.</w:t>
            </w:r>
          </w:p>
          <w:p>
            <w:pPr>
              <w:spacing w:after="40" w:before="60" w:line="259" w:lineRule="auto"/>
            </w:pPr>
            <w:r>
              <w:rPr>
                <w:rFonts w:ascii="Calibri" w:hAnsi="Calibri"/>
                <w:b w:val="0"/>
                <w:i w:val="0"/>
                <w:color w:val="212121"/>
                <w:sz w:val="19"/>
              </w:rPr>
              <w:t>Meta-analysis of Indian studies found smartphone addiction magnitude of 39%–44% among Indian adolescents; a 2023 Gujarat school survey (15–19 y) found smartphone addiction in 64.6%.</w:t>
            </w:r>
          </w:p>
          <w:p>
            <w:pPr>
              <w:spacing w:after="40" w:line="252" w:lineRule="auto"/>
            </w:pPr>
            <w:hyperlink r:id="rId9">
              <w:r>
                <w:rPr>
                  <w:rFonts w:ascii="Calibri" w:hAnsi="Calibri" w:cs="Calibri"/>
                  <w:sz w:val="18"/>
                  <w:color w:val="1155CC"/>
                  <w:u w:val="single"/>
                </w:rPr>
                <w:t xml:space="preserve">pmc.ncbi.nlm.nih.gov — Davey &amp; Davey, smartphone addiction in Indian adolescents</w:t>
              </w:r>
            </w:hyperlink>
          </w:p>
          <w:p>
            <w:pPr>
              <w:spacing w:before="60" w:after="40"/>
            </w:pPr>
            <w:r>
              <w:rPr>
                <w:rFonts w:ascii="Calibri" w:hAnsi="Calibri"/>
                <w:b w:val="0"/>
                <w:i w:val="0"/>
                <w:color w:val="5A5A5A"/>
                <w:sz w:val="18"/>
              </w:rPr>
              <w:t>#screentime  #teenbrain  #gamingdisorder  #onlineclasses  #peerpressure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College students &amp; young adults (18–25 years)</w:t>
            </w:r>
          </w:p>
        </w:tc>
        <w:tc>
          <w:tcPr>
            <w:tcW w:type="dxa" w:w="4276"/>
            <w:vAlign w:val="top"/>
          </w:tcPr>
          <w:p>
            <w:pPr>
              <w:spacing w:after="60" w:line="259" w:lineRule="auto"/>
            </w:pPr>
            <w:r>
              <w:rPr>
                <w:rFonts w:ascii="Calibri" w:hAnsi="Calibri"/>
                <w:b w:val="0"/>
                <w:i w:val="0"/>
                <w:color w:val="212121"/>
                <w:sz w:val="19"/>
              </w:rPr>
              <w:t>Unrestricted personal devices, hostel life away from parental oversight, academic stress and social networking make this the peak prevalence window for internet addiction in India.</w:t>
            </w:r>
          </w:p>
          <w:p>
            <w:pPr>
              <w:spacing w:after="40" w:before="60" w:line="259" w:lineRule="auto"/>
            </w:pPr>
            <w:r>
              <w:rPr>
                <w:rFonts w:ascii="Calibri" w:hAnsi="Calibri"/>
                <w:b w:val="0"/>
                <w:i w:val="0"/>
                <w:color w:val="212121"/>
                <w:sz w:val="19"/>
              </w:rPr>
              <w:t>Pooled prevalence of internet addiction among Indian college students was 19.9% (Y-IAT ≥ 50) and 40.7% (Y-IAT ≥ 40) across 50 studies from 19 states.</w:t>
            </w:r>
          </w:p>
          <w:p>
            <w:pPr>
              <w:spacing w:after="40" w:line="252" w:lineRule="auto"/>
            </w:pPr>
            <w:hyperlink r:id="rId10">
              <w:r>
                <w:rPr>
                  <w:rFonts w:ascii="Calibri" w:hAnsi="Calibri" w:cs="Calibri"/>
                  <w:sz w:val="18"/>
                  <w:color w:val="1155CC"/>
                  <w:u w:val="single"/>
                </w:rPr>
                <w:t xml:space="preserve">pubmed.ncbi.nlm.nih.gov/34504996 — General Psychiatry meta-analysis</w:t>
              </w:r>
            </w:hyperlink>
          </w:p>
          <w:p>
            <w:pPr>
              <w:spacing w:before="60" w:after="40"/>
            </w:pPr>
            <w:r>
              <w:rPr>
                <w:rFonts w:ascii="Calibri" w:hAnsi="Calibri"/>
                <w:b w:val="0"/>
                <w:i w:val="0"/>
                <w:color w:val="5A5A5A"/>
                <w:sz w:val="18"/>
              </w:rPr>
              <w:t>#collegestudents  #hostellife  #IAT  #socialmedia  #examstress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Working-age adults (18–40 years)</w:t>
            </w:r>
          </w:p>
        </w:tc>
        <w:tc>
          <w:tcPr>
            <w:tcW w:type="dxa" w:w="4276"/>
            <w:vAlign w:val="top"/>
          </w:tcPr>
          <w:p>
            <w:pPr>
              <w:spacing w:after="60" w:line="259" w:lineRule="auto"/>
            </w:pPr>
            <w:r>
              <w:rPr>
                <w:rFonts w:ascii="Calibri" w:hAnsi="Calibri"/>
                <w:b w:val="0"/>
                <w:i w:val="0"/>
                <w:color w:val="212121"/>
                <w:sz w:val="19"/>
              </w:rPr>
              <w:t>Smartphone-centred work, UPI/app-based daily living and habitual after-hours scrolling keep adults engaged for most waking hours; most remain in the mild–moderate band but functional impairment is increasingly recognized.</w:t>
            </w:r>
          </w:p>
          <w:p>
            <w:pPr>
              <w:spacing w:after="40" w:before="60" w:line="259" w:lineRule="auto"/>
            </w:pPr>
            <w:r>
              <w:rPr>
                <w:rFonts w:ascii="Calibri" w:hAnsi="Calibri"/>
                <w:b w:val="0"/>
                <w:i w:val="0"/>
                <w:color w:val="212121"/>
                <w:sz w:val="19"/>
              </w:rPr>
              <w:t>Pooled Indian data (10 studies, 12,286 adults 18–40 y): any-level internet addiction 58.34%, mild 36.33%, moderate 18.04%, severe 0.88%.</w:t>
            </w:r>
          </w:p>
          <w:p>
            <w:pPr>
              <w:spacing w:after="40" w:line="252" w:lineRule="auto"/>
            </w:pPr>
            <w:hyperlink r:id="rId11">
              <w:r>
                <w:rPr>
                  <w:rFonts w:ascii="Calibri" w:hAnsi="Calibri" w:cs="Calibri"/>
                  <w:sz w:val="18"/>
                  <w:color w:val="1155CC"/>
                  <w:u w:val="single"/>
                </w:rPr>
                <w:t xml:space="preserve">pmc.ncbi.nlm.nih.gov — PMC11558713, IAT meta-analysis India</w:t>
              </w:r>
            </w:hyperlink>
          </w:p>
          <w:p>
            <w:pPr>
              <w:spacing w:before="60" w:after="40"/>
            </w:pPr>
            <w:r>
              <w:rPr>
                <w:rFonts w:ascii="Calibri" w:hAnsi="Calibri"/>
                <w:b w:val="0"/>
                <w:i w:val="0"/>
                <w:color w:val="5A5A5A"/>
                <w:sz w:val="18"/>
              </w:rPr>
              <w:t>#doomscrolling  #workfromhome  #digitalindia  #mildmoderate</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Males preferentially engage in competitive online gaming and show higher rates of gaming disorder and internet addiction; male sex is a consistent correlate in Indian IAT studies.</w:t>
            </w:r>
          </w:p>
          <w:p>
            <w:pPr>
              <w:spacing w:after="40" w:before="60" w:line="259" w:lineRule="auto"/>
            </w:pPr>
            <w:r>
              <w:rPr>
                <w:rFonts w:ascii="Calibri" w:hAnsi="Calibri"/>
                <w:b w:val="0"/>
                <w:i w:val="0"/>
                <w:color w:val="212121"/>
                <w:sz w:val="19"/>
              </w:rPr>
              <w:t>Gaming disorder is ~2.5 times more common in males than females worldwide; Indian meta-analytic correlates of internet addiction include male gender.</w:t>
            </w:r>
          </w:p>
          <w:p>
            <w:pPr>
              <w:spacing w:after="40" w:line="252" w:lineRule="auto"/>
            </w:pPr>
            <w:hyperlink r:id="rId12">
              <w:r>
                <w:rPr>
                  <w:rFonts w:ascii="Calibri" w:hAnsi="Calibri" w:cs="Calibri"/>
                  <w:sz w:val="18"/>
                  <w:color w:val="1155CC"/>
                  <w:u w:val="single"/>
                </w:rPr>
                <w:t xml:space="preserve">pubmed.ncbi.nlm.nih.gov/33028074 — global gaming disorder meta-analysis</w:t>
              </w:r>
            </w:hyperlink>
          </w:p>
          <w:p>
            <w:pPr>
              <w:spacing w:before="60" w:after="40"/>
            </w:pPr>
            <w:r>
              <w:rPr>
                <w:rFonts w:ascii="Calibri" w:hAnsi="Calibri"/>
                <w:b w:val="0"/>
                <w:i w:val="0"/>
                <w:color w:val="5A5A5A"/>
                <w:sz w:val="18"/>
              </w:rPr>
              <w:t>#gamers  #BGMI  #esports  #malepredominance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Females show comparable overall compulsive-use scores but a different pattern — predominantly social media, messaging and streaming rather than gaming — with strong links to appearance comparison, FOMO and anxiety.</w:t>
            </w:r>
          </w:p>
          <w:p>
            <w:pPr>
              <w:spacing w:after="40" w:before="60" w:line="259" w:lineRule="auto"/>
            </w:pPr>
            <w:r>
              <w:rPr>
                <w:rFonts w:ascii="Calibri" w:hAnsi="Calibri"/>
                <w:b w:val="0"/>
                <w:i w:val="0"/>
                <w:color w:val="212121"/>
                <w:sz w:val="19"/>
              </w:rPr>
              <w:t>In a large twin cohort, mean compulsive internet use scores were the same in boys and girls; boys spent more time gaming while girls spent more time on social networks and chat.</w:t>
            </w:r>
          </w:p>
          <w:p>
            <w:pPr>
              <w:spacing w:after="40" w:line="252" w:lineRule="auto"/>
            </w:pPr>
            <w:hyperlink r:id="rId13">
              <w:r>
                <w:rPr>
                  <w:rFonts w:ascii="Calibri" w:hAnsi="Calibri" w:cs="Calibri"/>
                  <w:sz w:val="18"/>
                  <w:color w:val="1155CC"/>
                  <w:u w:val="single"/>
                </w:rPr>
                <w:t xml:space="preserve">pmc.ncbi.nlm.nih.gov — PMC5006854, Netherlands Twin Register</w:t>
              </w:r>
            </w:hyperlink>
          </w:p>
          <w:p>
            <w:pPr>
              <w:spacing w:before="60" w:after="40"/>
            </w:pPr>
            <w:r>
              <w:rPr>
                <w:rFonts w:ascii="Calibri" w:hAnsi="Calibri"/>
                <w:b w:val="0"/>
                <w:i w:val="0"/>
                <w:color w:val="5A5A5A"/>
                <w:sz w:val="18"/>
              </w:rPr>
              <w:t>#socialmedia  #FOMO  #reels  #bodyimage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Higher-SES urban students with personal devices</w:t>
            </w:r>
          </w:p>
        </w:tc>
        <w:tc>
          <w:tcPr>
            <w:tcW w:type="dxa" w:w="4276"/>
            <w:vAlign w:val="top"/>
          </w:tcPr>
          <w:p>
            <w:pPr>
              <w:spacing w:after="60" w:line="259" w:lineRule="auto"/>
            </w:pPr>
            <w:r>
              <w:rPr>
                <w:rFonts w:ascii="Calibri" w:hAnsi="Calibri"/>
                <w:b w:val="0"/>
                <w:i w:val="0"/>
                <w:color w:val="212121"/>
                <w:sz w:val="19"/>
              </w:rPr>
              <w:t>Early personal smartphone ownership, private data plans and device-dense homes increase exposure time; higher parental education and income independently predict adolescent smartphone addiction in India.</w:t>
            </w:r>
          </w:p>
          <w:p>
            <w:pPr>
              <w:spacing w:after="40" w:before="60" w:line="259" w:lineRule="auto"/>
            </w:pPr>
            <w:r>
              <w:rPr>
                <w:rFonts w:ascii="Calibri" w:hAnsi="Calibri"/>
                <w:b w:val="0"/>
                <w:i w:val="0"/>
                <w:color w:val="212121"/>
                <w:sz w:val="19"/>
              </w:rPr>
              <w:t>In Gujarat adolescents, higher socioeconomic status (AOR 1.9), graduate fathers (AOR 3.3) and &gt;3 years of smartphone use (AOR 2.08) were associated with addiction.</w:t>
            </w:r>
          </w:p>
          <w:p>
            <w:pPr>
              <w:spacing w:after="40" w:line="252" w:lineRule="auto"/>
            </w:pPr>
            <w:hyperlink r:id="rId14">
              <w:r>
                <w:rPr>
                  <w:rFonts w:ascii="Calibri" w:hAnsi="Calibri" w:cs="Calibri"/>
                  <w:sz w:val="18"/>
                  <w:color w:val="1155CC"/>
                  <w:u w:val="single"/>
                </w:rPr>
                <w:t xml:space="preserve">bmcpublichealth.biomedcentral.com — Gujarat adolescent study 2024</w:t>
              </w:r>
            </w:hyperlink>
          </w:p>
          <w:p>
            <w:pPr>
              <w:spacing w:before="60" w:after="40"/>
            </w:pPr>
            <w:r>
              <w:rPr>
                <w:rFonts w:ascii="Calibri" w:hAnsi="Calibri"/>
                <w:b w:val="0"/>
                <w:i w:val="0"/>
                <w:color w:val="5A5A5A"/>
                <w:sz w:val="18"/>
              </w:rPr>
              <w:t>#personaldevice  #affluence  #parenting  #dataplans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Medical &amp; professional students</w:t>
            </w:r>
          </w:p>
        </w:tc>
        <w:tc>
          <w:tcPr>
            <w:tcW w:type="dxa" w:w="4276"/>
            <w:vAlign w:val="top"/>
          </w:tcPr>
          <w:p>
            <w:pPr>
              <w:spacing w:after="60" w:line="259" w:lineRule="auto"/>
            </w:pPr>
            <w:r>
              <w:rPr>
                <w:rFonts w:ascii="Calibri" w:hAnsi="Calibri"/>
                <w:b w:val="0"/>
                <w:i w:val="0"/>
                <w:color w:val="212121"/>
                <w:sz w:val="19"/>
              </w:rPr>
              <w:t>High academic load, device-based learning, chronic stress and always-on peer groups drive very high problematic-use rates in professional colleges, affecting sleep and academic performance.</w:t>
            </w:r>
          </w:p>
          <w:p>
            <w:pPr>
              <w:spacing w:after="40" w:before="60" w:line="259" w:lineRule="auto"/>
            </w:pPr>
            <w:r>
              <w:rPr>
                <w:rFonts w:ascii="Calibri" w:hAnsi="Calibri"/>
                <w:b w:val="0"/>
                <w:i w:val="0"/>
                <w:color w:val="212121"/>
                <w:sz w:val="19"/>
              </w:rPr>
              <w:t>Pooled prevalence of smartphone addiction among Indian MBBS students is 60% (24 studies); pooled nomophobia among Indian adults is 77.6%, and 59% of Indian medical students have moderate and 14% severe nomophobia.</w:t>
            </w:r>
          </w:p>
          <w:p>
            <w:pPr>
              <w:spacing w:after="40" w:line="252" w:lineRule="auto"/>
            </w:pPr>
            <w:hyperlink r:id="rId15">
              <w:r>
                <w:rPr>
                  <w:rFonts w:ascii="Calibri" w:hAnsi="Calibri" w:cs="Calibri"/>
                  <w:sz w:val="18"/>
                  <w:color w:val="1155CC"/>
                  <w:u w:val="single"/>
                </w:rPr>
                <w:t xml:space="preserve">pmc.ncbi.nlm.nih.gov — PMC12468831, MBBS smartphone addiction meta-analysis</w:t>
              </w:r>
            </w:hyperlink>
          </w:p>
          <w:p>
            <w:pPr>
              <w:spacing w:before="60" w:after="40"/>
            </w:pPr>
            <w:r>
              <w:rPr>
                <w:rFonts w:ascii="Calibri" w:hAnsi="Calibri"/>
                <w:b w:val="0"/>
                <w:i w:val="0"/>
                <w:color w:val="5A5A5A"/>
                <w:sz w:val="18"/>
              </w:rPr>
              <w:t>#mbbs  #nomophobia  #studystress  #sleepdebt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Urban residence</w:t>
            </w:r>
          </w:p>
        </w:tc>
        <w:tc>
          <w:tcPr>
            <w:tcW w:type="dxa" w:w="2160"/>
            <w:vAlign w:val="top"/>
          </w:tcPr>
          <w:p>
            <w:pPr>
              <w:spacing w:after="40" w:before="0" w:line="259" w:lineRule="auto"/>
            </w:pPr>
            <w:r>
              <w:rPr>
                <w:rFonts w:ascii="Calibri" w:hAnsi="Calibri"/>
                <w:b w:val="0"/>
                <w:i w:val="0"/>
                <w:color w:val="212121"/>
                <w:sz w:val="19"/>
              </w:rPr>
              <w:t>Urban and metro adolescents/young adults</w:t>
            </w:r>
          </w:p>
        </w:tc>
        <w:tc>
          <w:tcPr>
            <w:tcW w:type="dxa" w:w="4276"/>
            <w:vAlign w:val="top"/>
          </w:tcPr>
          <w:p>
            <w:pPr>
              <w:spacing w:after="60" w:line="259" w:lineRule="auto"/>
            </w:pPr>
            <w:r>
              <w:rPr>
                <w:rFonts w:ascii="Calibri" w:hAnsi="Calibri"/>
                <w:b w:val="0"/>
                <w:i w:val="0"/>
                <w:color w:val="212121"/>
                <w:sz w:val="19"/>
              </w:rPr>
              <w:t>Dense connectivity, gig/food-delivery ecosystems, cramped housing with little outdoor play space and normative heavy phone culture concentrate risk in cities; India's first technology de-addiction clinics (e.g., NIMHANS SHUT clinic, Bengaluru) arose from urban caseloads.</w:t>
            </w:r>
          </w:p>
          <w:p>
            <w:pPr>
              <w:spacing w:after="40" w:before="60" w:line="259" w:lineRule="auto"/>
            </w:pPr>
            <w:r>
              <w:rPr>
                <w:rFonts w:ascii="Calibri" w:hAnsi="Calibri"/>
                <w:b w:val="0"/>
                <w:i w:val="0"/>
                <w:color w:val="212121"/>
                <w:sz w:val="19"/>
              </w:rPr>
              <w:t>Urban residence carried 2.4-fold higher adjusted odds of smartphone addiction among Gujarat adolescents (AOR 2.4, 95% CI 1.8–3.3).</w:t>
            </w:r>
          </w:p>
          <w:p>
            <w:pPr>
              <w:spacing w:after="40" w:line="252" w:lineRule="auto"/>
            </w:pPr>
            <w:hyperlink r:id="rId14">
              <w:r>
                <w:rPr>
                  <w:rFonts w:ascii="Calibri" w:hAnsi="Calibri" w:cs="Calibri"/>
                  <w:sz w:val="18"/>
                  <w:color w:val="1155CC"/>
                  <w:u w:val="single"/>
                </w:rPr>
                <w:t xml:space="preserve">bmcpublichealth.biomedcentral.com — Gujarat adolescent study 2024</w:t>
              </w:r>
            </w:hyperlink>
          </w:p>
          <w:p>
            <w:pPr>
              <w:spacing w:before="60" w:after="40"/>
            </w:pPr>
            <w:r>
              <w:rPr>
                <w:rFonts w:ascii="Calibri" w:hAnsi="Calibri"/>
                <w:b w:val="0"/>
                <w:i w:val="0"/>
                <w:color w:val="5A5A5A"/>
                <w:sz w:val="18"/>
              </w:rPr>
              <w:t>#metrolife  #SHUTclinic  #urbanyouth  #connectivity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Rural / small-town (rising)</w:t>
            </w:r>
          </w:p>
        </w:tc>
        <w:tc>
          <w:tcPr>
            <w:tcW w:type="dxa" w:w="2160"/>
            <w:vAlign w:val="top"/>
          </w:tcPr>
          <w:p>
            <w:pPr>
              <w:spacing w:after="40" w:before="0" w:line="259" w:lineRule="auto"/>
            </w:pPr>
            <w:r>
              <w:rPr>
                <w:rFonts w:ascii="Calibri" w:hAnsi="Calibri"/>
                <w:b w:val="0"/>
                <w:i w:val="0"/>
                <w:color w:val="212121"/>
                <w:sz w:val="19"/>
              </w:rPr>
              <w:t>Rural adolescents with new smartphone access</w:t>
            </w:r>
          </w:p>
        </w:tc>
        <w:tc>
          <w:tcPr>
            <w:tcW w:type="dxa" w:w="4276"/>
            <w:vAlign w:val="top"/>
          </w:tcPr>
          <w:p>
            <w:pPr>
              <w:spacing w:after="60" w:line="259" w:lineRule="auto"/>
            </w:pPr>
            <w:r>
              <w:rPr>
                <w:rFonts w:ascii="Calibri" w:hAnsi="Calibri"/>
                <w:b w:val="0"/>
                <w:i w:val="0"/>
                <w:color w:val="212121"/>
                <w:sz w:val="19"/>
              </w:rPr>
              <w:t>Rural India is now the majority of the online population; first-generation users often gain full-featured smartphones without digital-literacy support or parental familiarity, and low-cost data removes the traditional cost barrier.</w:t>
            </w:r>
          </w:p>
          <w:p>
            <w:pPr>
              <w:spacing w:after="40" w:before="60" w:line="259" w:lineRule="auto"/>
            </w:pPr>
            <w:r>
              <w:rPr>
                <w:rFonts w:ascii="Calibri" w:hAnsi="Calibri"/>
                <w:b w:val="0"/>
                <w:i w:val="0"/>
                <w:color w:val="212121"/>
                <w:sz w:val="19"/>
              </w:rPr>
              <w:t>Rural India accounts for 55% of Indian internet users (488 million) and is the primary growth driver of the &gt;900 million user base (IAMAI–Kantar, 2025).</w:t>
            </w:r>
          </w:p>
          <w:p>
            <w:pPr>
              <w:spacing w:after="40" w:line="252" w:lineRule="auto"/>
            </w:pPr>
            <w:hyperlink r:id="rId16">
              <w:r>
                <w:rPr>
                  <w:rFonts w:ascii="Calibri" w:hAnsi="Calibri" w:cs="Calibri"/>
                  <w:sz w:val="18"/>
                  <w:color w:val="1155CC"/>
                  <w:u w:val="single"/>
                </w:rPr>
                <w:t xml:space="preserve">ddnews.gov.in — IAMAI-Kantar Internet in India report</w:t>
              </w:r>
            </w:hyperlink>
          </w:p>
          <w:p>
            <w:pPr>
              <w:spacing w:before="60" w:after="40"/>
            </w:pPr>
            <w:r>
              <w:rPr>
                <w:rFonts w:ascii="Calibri" w:hAnsi="Calibri"/>
                <w:b w:val="0"/>
                <w:i w:val="0"/>
                <w:color w:val="5A5A5A"/>
                <w:sz w:val="18"/>
              </w:rPr>
              <w:t>#ruralindia  #cheapdata  #firstgenusers  #digitaldivide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IT/desk workers, online-schooled students, homebound youth</w:t>
            </w:r>
          </w:p>
        </w:tc>
        <w:tc>
          <w:tcPr>
            <w:tcW w:type="dxa" w:w="4276"/>
            <w:vAlign w:val="top"/>
          </w:tcPr>
          <w:p>
            <w:pPr>
              <w:spacing w:after="60" w:line="259" w:lineRule="auto"/>
            </w:pPr>
            <w:r>
              <w:rPr>
                <w:rFonts w:ascii="Calibri" w:hAnsi="Calibri"/>
                <w:b w:val="0"/>
                <w:i w:val="0"/>
                <w:color w:val="212121"/>
                <w:sz w:val="19"/>
              </w:rPr>
              <w:t>Occupational screen exposure blurs into recreational overuse; low physical activity both results from and reinforces excessive screen time, and structured exercise measurably reduces internet-addiction severity.</w:t>
            </w:r>
          </w:p>
          <w:p>
            <w:pPr>
              <w:spacing w:after="40" w:before="60" w:line="259" w:lineRule="auto"/>
            </w:pPr>
            <w:r>
              <w:rPr>
                <w:rFonts w:ascii="Calibri" w:hAnsi="Calibri"/>
                <w:b w:val="0"/>
                <w:i w:val="0"/>
                <w:color w:val="212121"/>
                <w:sz w:val="19"/>
              </w:rPr>
              <w:t>Screen time rose by ~1.0 h/day in adults and ~1.4 h/day in primary-school children during COVID-19 (89-study meta-analysis); exercise interventions across intensities significantly reduce internet addiction (22 RCTs).</w:t>
            </w:r>
          </w:p>
          <w:p>
            <w:pPr>
              <w:spacing w:after="40" w:line="252" w:lineRule="auto"/>
            </w:pPr>
            <w:hyperlink r:id="rId17">
              <w:r>
                <w:rPr>
                  <w:rFonts w:ascii="Calibri" w:hAnsi="Calibri" w:cs="Calibri"/>
                  <w:sz w:val="18"/>
                  <w:color w:val="1155CC"/>
                  <w:u w:val="single"/>
                </w:rPr>
                <w:t xml:space="preserve">pubmed.ncbi.nlm.nih.gov/35615691 — screen-time meta-analysis</w:t>
              </w:r>
            </w:hyperlink>
          </w:p>
          <w:p>
            <w:pPr>
              <w:spacing w:before="60" w:after="40"/>
            </w:pPr>
            <w:r>
              <w:rPr>
                <w:rFonts w:ascii="Calibri" w:hAnsi="Calibri"/>
                <w:b w:val="0"/>
                <w:i w:val="0"/>
                <w:color w:val="5A5A5A"/>
                <w:sz w:val="18"/>
              </w:rPr>
              <w:t>#sedentary  #WFH  #screenbound  #deconditioning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Late-night device use</w:t>
            </w:r>
          </w:p>
        </w:tc>
        <w:tc>
          <w:tcPr>
            <w:tcW w:type="dxa" w:w="2160"/>
            <w:vAlign w:val="top"/>
          </w:tcPr>
          <w:p>
            <w:pPr>
              <w:spacing w:after="40" w:before="0" w:line="259" w:lineRule="auto"/>
            </w:pPr>
            <w:r>
              <w:rPr>
                <w:rFonts w:ascii="Calibri" w:hAnsi="Calibri"/>
                <w:b w:val="0"/>
                <w:i w:val="0"/>
                <w:color w:val="212121"/>
                <w:sz w:val="19"/>
              </w:rPr>
              <w:t>Night gamers, bedtime scrollers</w:t>
            </w:r>
          </w:p>
        </w:tc>
        <w:tc>
          <w:tcPr>
            <w:tcW w:type="dxa" w:w="4276"/>
            <w:vAlign w:val="top"/>
          </w:tcPr>
          <w:p>
            <w:pPr>
              <w:spacing w:after="60" w:line="259" w:lineRule="auto"/>
            </w:pPr>
            <w:r>
              <w:rPr>
                <w:rFonts w:ascii="Calibri" w:hAnsi="Calibri"/>
                <w:b w:val="0"/>
                <w:i w:val="0"/>
                <w:color w:val="212121"/>
                <w:sz w:val="19"/>
              </w:rPr>
              <w:t>Gaming servers, OTT releases and social feeds peak at night; blue light and arousal delay melatonin release and sleep onset, and the resulting sleep debt increases next-day craving and use — a self-perpetuating loop.</w:t>
            </w:r>
          </w:p>
          <w:p>
            <w:pPr>
              <w:spacing w:after="40" w:before="60" w:line="259" w:lineRule="auto"/>
            </w:pPr>
            <w:r>
              <w:rPr>
                <w:rFonts w:ascii="Calibri" w:hAnsi="Calibri"/>
                <w:b w:val="0"/>
                <w:i w:val="0"/>
                <w:color w:val="212121"/>
                <w:sz w:val="19"/>
              </w:rPr>
              <w:t>Among heavy smartphone-using university students, 27.2% used phones &gt;8 h/day and 43% reported reduced sleep hours and next-day lack of energy.</w:t>
            </w:r>
          </w:p>
          <w:p>
            <w:pPr>
              <w:spacing w:after="40" w:line="252" w:lineRule="auto"/>
            </w:pPr>
            <w:hyperlink r:id="rId18">
              <w:r>
                <w:rPr>
                  <w:rFonts w:ascii="Calibri" w:hAnsi="Calibri" w:cs="Calibri"/>
                  <w:sz w:val="18"/>
                  <w:color w:val="1155CC"/>
                  <w:u w:val="single"/>
                </w:rPr>
                <w:t xml:space="preserve">pubmed.ncbi.nlm.nih.gov/27279515 — university smartphone use study</w:t>
              </w:r>
            </w:hyperlink>
          </w:p>
          <w:p>
            <w:pPr>
              <w:spacing w:before="60" w:after="40"/>
            </w:pPr>
            <w:r>
              <w:rPr>
                <w:rFonts w:ascii="Calibri" w:hAnsi="Calibri"/>
                <w:b w:val="0"/>
                <w:i w:val="0"/>
                <w:color w:val="5A5A5A"/>
                <w:sz w:val="18"/>
              </w:rPr>
              <w:t>#bluelight  #bingegaming  #midnightscrolling  #sleepdebt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substance co-use</w:t>
            </w:r>
          </w:p>
        </w:tc>
        <w:tc>
          <w:tcPr>
            <w:tcW w:type="dxa" w:w="2160"/>
            <w:vAlign w:val="top"/>
          </w:tcPr>
          <w:p>
            <w:pPr>
              <w:spacing w:after="40" w:before="0" w:line="259" w:lineRule="auto"/>
            </w:pPr>
            <w:r>
              <w:rPr>
                <w:rFonts w:ascii="Calibri" w:hAnsi="Calibri"/>
                <w:b w:val="0"/>
                <w:i w:val="0"/>
                <w:color w:val="212121"/>
                <w:sz w:val="19"/>
              </w:rPr>
              <w:t>Adolescents and young adults who smoke or use substances</w:t>
            </w:r>
          </w:p>
        </w:tc>
        <w:tc>
          <w:tcPr>
            <w:tcW w:type="dxa" w:w="4276"/>
            <w:vAlign w:val="top"/>
          </w:tcPr>
          <w:p>
            <w:pPr>
              <w:spacing w:after="60" w:line="259" w:lineRule="auto"/>
            </w:pPr>
            <w:r>
              <w:rPr>
                <w:rFonts w:ascii="Calibri" w:hAnsi="Calibri"/>
                <w:b w:val="0"/>
                <w:i w:val="0"/>
                <w:color w:val="212121"/>
                <w:sz w:val="19"/>
              </w:rPr>
              <w:t>Problematic digital use and substance use share impulsivity and reward-seeking traits and frequently cluster; nicotine and caffeine are used to sustain long sessions, and each addiction lowers the threshold for the other.</w:t>
            </w:r>
          </w:p>
          <w:p>
            <w:pPr>
              <w:spacing w:after="40" w:before="60" w:line="259" w:lineRule="auto"/>
            </w:pPr>
            <w:r>
              <w:rPr>
                <w:rFonts w:ascii="Calibri" w:hAnsi="Calibri"/>
                <w:b w:val="0"/>
                <w:i w:val="0"/>
                <w:color w:val="212121"/>
                <w:sz w:val="19"/>
              </w:rPr>
              <w:t>Reviews of internet gaming disorder consistently report co-occurring substance-related problems and shared psychopathology (impulsivity, ADHD, mood symptoms).</w:t>
            </w:r>
          </w:p>
          <w:p>
            <w:pPr>
              <w:spacing w:after="40" w:line="252" w:lineRule="auto"/>
            </w:pPr>
            <w:hyperlink r:id="rId19">
              <w:r>
                <w:rPr>
                  <w:rFonts w:ascii="Calibri" w:hAnsi="Calibri" w:cs="Calibri"/>
                  <w:sz w:val="18"/>
                  <w:color w:val="1155CC"/>
                  <w:u w:val="single"/>
                </w:rPr>
                <w:t xml:space="preserve">pmc.ncbi.nlm.nih.gov — PMC5923710, IGD comorbidity review</w:t>
              </w:r>
            </w:hyperlink>
          </w:p>
          <w:p>
            <w:pPr>
              <w:spacing w:before="60" w:after="40"/>
            </w:pPr>
            <w:r>
              <w:rPr>
                <w:rFonts w:ascii="Calibri" w:hAnsi="Calibri"/>
                <w:b w:val="0"/>
                <w:i w:val="0"/>
                <w:color w:val="5A5A5A"/>
                <w:sz w:val="18"/>
              </w:rPr>
              <w:t>#rewardpathway  #impulsivity  #polyaddiction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Harmful/hazardous drinkers</w:t>
            </w:r>
          </w:p>
        </w:tc>
        <w:tc>
          <w:tcPr>
            <w:tcW w:type="dxa" w:w="4276"/>
            <w:vAlign w:val="top"/>
          </w:tcPr>
          <w:p>
            <w:pPr>
              <w:spacing w:after="60" w:line="259" w:lineRule="auto"/>
            </w:pPr>
            <w:r>
              <w:rPr>
                <w:rFonts w:ascii="Calibri" w:hAnsi="Calibri"/>
                <w:b w:val="0"/>
                <w:i w:val="0"/>
                <w:color w:val="212121"/>
                <w:sz w:val="19"/>
              </w:rPr>
              <w:t>Alcohol misuse and problematic internet use co-occur through shared disinhibition, escape-motivated coping and disturbed sleep; online drinking cues and late-night use reinforce both behaviours.</w:t>
            </w:r>
          </w:p>
          <w:p>
            <w:pPr>
              <w:spacing w:before="60" w:after="40"/>
            </w:pPr>
            <w:r>
              <w:rPr>
                <w:rFonts w:ascii="Calibri" w:hAnsi="Calibri"/>
                <w:b w:val="0"/>
                <w:i w:val="0"/>
                <w:color w:val="5A5A5A"/>
                <w:sz w:val="18"/>
              </w:rPr>
              <w:t>#alcohol  #escapecoping  #disinhibition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Irregular, screen-side eating</w:t>
            </w:r>
          </w:p>
        </w:tc>
        <w:tc>
          <w:tcPr>
            <w:tcW w:type="dxa" w:w="2160"/>
            <w:vAlign w:val="top"/>
          </w:tcPr>
          <w:p>
            <w:pPr>
              <w:spacing w:after="40" w:before="0" w:line="259" w:lineRule="auto"/>
            </w:pPr>
            <w:r>
              <w:rPr>
                <w:rFonts w:ascii="Calibri" w:hAnsi="Calibri"/>
                <w:b w:val="0"/>
                <w:i w:val="0"/>
                <w:color w:val="212121"/>
                <w:sz w:val="19"/>
              </w:rPr>
              <w:t>Meal-skippers, fast-food/junk-snack consumers while gaming</w:t>
            </w:r>
          </w:p>
        </w:tc>
        <w:tc>
          <w:tcPr>
            <w:tcW w:type="dxa" w:w="4276"/>
            <w:vAlign w:val="top"/>
          </w:tcPr>
          <w:p>
            <w:pPr>
              <w:spacing w:after="60" w:line="259" w:lineRule="auto"/>
            </w:pPr>
            <w:r>
              <w:rPr>
                <w:rFonts w:ascii="Calibri" w:hAnsi="Calibri"/>
                <w:b w:val="0"/>
                <w:i w:val="0"/>
                <w:color w:val="212121"/>
                <w:sz w:val="19"/>
              </w:rPr>
              <w:t>Immersive sessions displace regular meals; users graze on energy-dense snacks, sugary/caffeinated drinks and delivery fast food, while a subset skips meals altogether — producing both weight gain and undernutrition.</w:t>
            </w:r>
          </w:p>
          <w:p>
            <w:pPr>
              <w:spacing w:after="40" w:before="60" w:line="259" w:lineRule="auto"/>
            </w:pPr>
            <w:r>
              <w:rPr>
                <w:rFonts w:ascii="Calibri" w:hAnsi="Calibri"/>
                <w:b w:val="0"/>
                <w:i w:val="0"/>
                <w:color w:val="212121"/>
                <w:sz w:val="19"/>
              </w:rPr>
              <w:t>30% of heavy student smartphone users reported unhealthier lifestyle (more fast food, weight gain, less exercise); smartphone-addicted young adults in Delhi had a 2.5-fold higher risk of being underweight.</w:t>
            </w:r>
          </w:p>
          <w:p>
            <w:pPr>
              <w:spacing w:after="40" w:line="252" w:lineRule="auto"/>
            </w:pPr>
            <w:hyperlink r:id="rId20">
              <w:r>
                <w:rPr>
                  <w:rFonts w:ascii="Calibri" w:hAnsi="Calibri" w:cs="Calibri"/>
                  <w:sz w:val="18"/>
                  <w:color w:val="1155CC"/>
                  <w:u w:val="single"/>
                </w:rPr>
                <w:t xml:space="preserve">pmc.ncbi.nlm.nih.gov — PMC11198534, Delhi smartphone addiction &amp; nutrition</w:t>
              </w:r>
            </w:hyperlink>
          </w:p>
          <w:p>
            <w:pPr>
              <w:spacing w:before="60" w:after="40"/>
            </w:pPr>
            <w:r>
              <w:rPr>
                <w:rFonts w:ascii="Calibri" w:hAnsi="Calibri"/>
                <w:b w:val="0"/>
                <w:i w:val="0"/>
                <w:color w:val="5A5A5A"/>
                <w:sz w:val="18"/>
              </w:rPr>
              <w:t>#junkfood  #mealskipping  #energydrinks  #underweight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Heritability / family history</w:t>
            </w:r>
          </w:p>
        </w:tc>
        <w:tc>
          <w:tcPr>
            <w:tcW w:type="dxa" w:w="2160"/>
            <w:vAlign w:val="top"/>
          </w:tcPr>
          <w:p>
            <w:pPr>
              <w:spacing w:after="40" w:before="0" w:line="259" w:lineRule="auto"/>
            </w:pPr>
            <w:r>
              <w:rPr>
                <w:rFonts w:ascii="Calibri" w:hAnsi="Calibri"/>
                <w:b w:val="0"/>
                <w:i w:val="0"/>
                <w:color w:val="212121"/>
                <w:sz w:val="19"/>
              </w:rPr>
              <w:t>First-degree relatives of people with addictive disorders; children of heavy-phone-use parents</w:t>
            </w:r>
          </w:p>
        </w:tc>
        <w:tc>
          <w:tcPr>
            <w:tcW w:type="dxa" w:w="4276"/>
            <w:vAlign w:val="top"/>
          </w:tcPr>
          <w:p>
            <w:pPr>
              <w:spacing w:after="60" w:line="259" w:lineRule="auto"/>
            </w:pPr>
            <w:r>
              <w:rPr>
                <w:rFonts w:ascii="Calibri" w:hAnsi="Calibri"/>
                <w:b w:val="0"/>
                <w:i w:val="0"/>
                <w:color w:val="212121"/>
                <w:sz w:val="19"/>
              </w:rPr>
              <w:t>Twin data show substantial genetic contribution to compulsive internet use; familial addictive-behaviour loading plus parental modelling and non-authoritative (permissive/authoritarian) parenting styles transmit risk to children.</w:t>
            </w:r>
          </w:p>
          <w:p>
            <w:pPr>
              <w:spacing w:after="40" w:before="60" w:line="259" w:lineRule="auto"/>
            </w:pPr>
            <w:r>
              <w:rPr>
                <w:rFonts w:ascii="Calibri" w:hAnsi="Calibri"/>
                <w:b w:val="0"/>
                <w:i w:val="0"/>
                <w:color w:val="212121"/>
                <w:sz w:val="19"/>
              </w:rPr>
              <w:t>48% of individual differences in compulsive internet use scores were attributable to genetic factors in 5,247 adolescent twins.</w:t>
            </w:r>
          </w:p>
          <w:p>
            <w:pPr>
              <w:spacing w:after="40" w:line="252" w:lineRule="auto"/>
            </w:pPr>
            <w:hyperlink r:id="rId13">
              <w:r>
                <w:rPr>
                  <w:rFonts w:ascii="Calibri" w:hAnsi="Calibri" w:cs="Calibri"/>
                  <w:sz w:val="18"/>
                  <w:color w:val="1155CC"/>
                  <w:u w:val="single"/>
                </w:rPr>
                <w:t xml:space="preserve">pmc.ncbi.nlm.nih.gov — PMC5006854, heritability of compulsive internet use</w:t>
              </w:r>
            </w:hyperlink>
          </w:p>
          <w:p>
            <w:pPr>
              <w:spacing w:before="60" w:after="40"/>
            </w:pPr>
            <w:r>
              <w:rPr>
                <w:rFonts w:ascii="Calibri" w:hAnsi="Calibri"/>
                <w:b w:val="0"/>
                <w:i w:val="0"/>
                <w:color w:val="5A5A5A"/>
                <w:sz w:val="18"/>
              </w:rPr>
              <w:t>#heritability  #familyhistory  #parentalmodelling</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ADHD</w:t>
            </w:r>
          </w:p>
        </w:tc>
        <w:tc>
          <w:tcPr>
            <w:tcW w:type="dxa" w:w="2160"/>
            <w:vAlign w:val="top"/>
          </w:tcPr>
          <w:p>
            <w:pPr>
              <w:spacing w:after="40" w:before="0" w:line="259" w:lineRule="auto"/>
            </w:pPr>
            <w:r>
              <w:rPr>
                <w:rFonts w:ascii="Calibri" w:hAnsi="Calibri"/>
                <w:b w:val="0"/>
                <w:i w:val="0"/>
                <w:color w:val="212121"/>
                <w:sz w:val="19"/>
              </w:rPr>
              <w:t>Children, adolescents and adults with ADHD</w:t>
            </w:r>
          </w:p>
        </w:tc>
        <w:tc>
          <w:tcPr>
            <w:tcW w:type="dxa" w:w="4276"/>
            <w:vAlign w:val="top"/>
          </w:tcPr>
          <w:p>
            <w:pPr>
              <w:spacing w:after="60" w:line="259" w:lineRule="auto"/>
            </w:pPr>
            <w:r>
              <w:rPr>
                <w:rFonts w:ascii="Calibri" w:hAnsi="Calibri"/>
                <w:b w:val="0"/>
                <w:i w:val="0"/>
                <w:color w:val="212121"/>
                <w:sz w:val="19"/>
              </w:rPr>
              <w:t>Reward-deficiency, novelty-seeking and poor inhibitory control make fast-feedback games and feeds uniquely captivating for ADHD brains; ADHD is the most consistent neurodevelopmental correlate of gaming disorder.</w:t>
            </w:r>
          </w:p>
          <w:p>
            <w:pPr>
              <w:spacing w:after="40" w:before="60" w:line="259" w:lineRule="auto"/>
            </w:pPr>
            <w:r>
              <w:rPr>
                <w:rFonts w:ascii="Calibri" w:hAnsi="Calibri"/>
                <w:b w:val="0"/>
                <w:i w:val="0"/>
                <w:color w:val="212121"/>
                <w:sz w:val="19"/>
              </w:rPr>
              <w:t>85% of studies in a systematic review found significant correlations between internet gaming disorder and ADHD symptoms.</w:t>
            </w:r>
          </w:p>
          <w:p>
            <w:pPr>
              <w:spacing w:after="40" w:line="252" w:lineRule="auto"/>
            </w:pPr>
            <w:hyperlink r:id="rId19">
              <w:r>
                <w:rPr>
                  <w:rFonts w:ascii="Calibri" w:hAnsi="Calibri" w:cs="Calibri"/>
                  <w:sz w:val="18"/>
                  <w:color w:val="1155CC"/>
                  <w:u w:val="single"/>
                </w:rPr>
                <w:t xml:space="preserve">pmc.ncbi.nlm.nih.gov — PMC5923710, IGD comorbidity review</w:t>
              </w:r>
            </w:hyperlink>
          </w:p>
          <w:p>
            <w:pPr>
              <w:spacing w:before="60" w:after="40"/>
            </w:pPr>
            <w:r>
              <w:rPr>
                <w:rFonts w:ascii="Calibri" w:hAnsi="Calibri"/>
                <w:b w:val="0"/>
                <w:i w:val="0"/>
                <w:color w:val="5A5A5A"/>
                <w:sz w:val="18"/>
              </w:rPr>
              <w:t>#adhd  #dopamine  #inhibitorycontrol  #hyperfocus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anxiety</w:t>
            </w:r>
          </w:p>
        </w:tc>
        <w:tc>
          <w:tcPr>
            <w:tcW w:type="dxa" w:w="2160"/>
            <w:vAlign w:val="top"/>
          </w:tcPr>
          <w:p>
            <w:pPr>
              <w:spacing w:after="40" w:before="0" w:line="259" w:lineRule="auto"/>
            </w:pPr>
            <w:r>
              <w:rPr>
                <w:rFonts w:ascii="Calibri" w:hAnsi="Calibri"/>
                <w:b w:val="0"/>
                <w:i w:val="0"/>
                <w:color w:val="212121"/>
                <w:sz w:val="19"/>
              </w:rPr>
              <w:t>Adolescents and adults with depressive or anxiety disorders</w:t>
            </w:r>
          </w:p>
        </w:tc>
        <w:tc>
          <w:tcPr>
            <w:tcW w:type="dxa" w:w="4276"/>
            <w:vAlign w:val="top"/>
          </w:tcPr>
          <w:p>
            <w:pPr>
              <w:spacing w:after="60" w:line="259" w:lineRule="auto"/>
            </w:pPr>
            <w:r>
              <w:rPr>
                <w:rFonts w:ascii="Calibri" w:hAnsi="Calibri"/>
                <w:b w:val="0"/>
                <w:i w:val="0"/>
                <w:color w:val="212121"/>
                <w:sz w:val="19"/>
              </w:rPr>
              <w:t>Dysphoric mood drives escape into screens, while addiction-related isolation, sleep loss and academic failure deepen depression and anxiety — a bidirectional spiral confirmed across meta-analyses.</w:t>
            </w:r>
          </w:p>
          <w:p>
            <w:pPr>
              <w:spacing w:after="40" w:before="60" w:line="259" w:lineRule="auto"/>
            </w:pPr>
            <w:r>
              <w:rPr>
                <w:rFonts w:ascii="Calibri" w:hAnsi="Calibri"/>
                <w:b w:val="0"/>
                <w:i w:val="0"/>
                <w:color w:val="212121"/>
                <w:sz w:val="19"/>
              </w:rPr>
              <w:t>Problematic smartphone use in children/young people carries increased odds of depression (OR 3.17), anxiety (OR 3.05), perceived stress (OR 1.86) and poor sleep (OR 2.60).</w:t>
            </w:r>
          </w:p>
          <w:p>
            <w:pPr>
              <w:spacing w:after="40" w:line="252" w:lineRule="auto"/>
            </w:pPr>
            <w:hyperlink r:id="rId21">
              <w:r>
                <w:rPr>
                  <w:rFonts w:ascii="Calibri" w:hAnsi="Calibri" w:cs="Calibri"/>
                  <w:sz w:val="18"/>
                  <w:color w:val="1155CC"/>
                  <w:u w:val="single"/>
                </w:rPr>
                <w:t xml:space="preserve">pmc.ncbi.nlm.nih.gov — PMC6883663, Sohn 2019 BMC Psychiatry meta-analysis</w:t>
              </w:r>
            </w:hyperlink>
          </w:p>
          <w:p>
            <w:pPr>
              <w:spacing w:before="60" w:after="40"/>
            </w:pPr>
            <w:r>
              <w:rPr>
                <w:rFonts w:ascii="Calibri" w:hAnsi="Calibri"/>
                <w:b w:val="0"/>
                <w:i w:val="0"/>
                <w:color w:val="5A5A5A"/>
                <w:sz w:val="18"/>
              </w:rPr>
              <w:t>#depression  #anxiety  #escapism  #viciouscycle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Social anxiety / loneliness</w:t>
            </w:r>
          </w:p>
        </w:tc>
        <w:tc>
          <w:tcPr>
            <w:tcW w:type="dxa" w:w="2160"/>
            <w:vAlign w:val="top"/>
          </w:tcPr>
          <w:p>
            <w:pPr>
              <w:spacing w:after="40" w:before="0" w:line="259" w:lineRule="auto"/>
            </w:pPr>
            <w:r>
              <w:rPr>
                <w:rFonts w:ascii="Calibri" w:hAnsi="Calibri"/>
                <w:b w:val="0"/>
                <w:i w:val="0"/>
                <w:color w:val="212121"/>
                <w:sz w:val="19"/>
              </w:rPr>
              <w:t>Socially anxious, lonely or bullied youth</w:t>
            </w:r>
          </w:p>
        </w:tc>
        <w:tc>
          <w:tcPr>
            <w:tcW w:type="dxa" w:w="4276"/>
            <w:vAlign w:val="top"/>
          </w:tcPr>
          <w:p>
            <w:pPr>
              <w:spacing w:after="60" w:line="259" w:lineRule="auto"/>
            </w:pPr>
            <w:r>
              <w:rPr>
                <w:rFonts w:ascii="Calibri" w:hAnsi="Calibri"/>
                <w:b w:val="0"/>
                <w:i w:val="0"/>
                <w:color w:val="212121"/>
                <w:sz w:val="19"/>
              </w:rPr>
              <w:t>Preference for online social interaction lowers immediate social threat but prevents exposure-based learning, consolidating both the social anxiety and the compulsive online refuge; loneliness is a key mediating factor in Indian data.</w:t>
            </w:r>
          </w:p>
          <w:p>
            <w:pPr>
              <w:spacing w:after="40" w:before="60" w:line="259" w:lineRule="auto"/>
            </w:pPr>
            <w:r>
              <w:rPr>
                <w:rFonts w:ascii="Calibri" w:hAnsi="Calibri"/>
                <w:b w:val="0"/>
                <w:i w:val="0"/>
                <w:color w:val="212121"/>
                <w:sz w:val="19"/>
              </w:rPr>
              <w:t>75% of studies found significant correlations between IGD and social phobia/anxiety; Indian meta-analysis identified loneliness and single-parent families as correlates.</w:t>
            </w:r>
          </w:p>
          <w:p>
            <w:pPr>
              <w:spacing w:after="40" w:line="252" w:lineRule="auto"/>
            </w:pPr>
            <w:hyperlink r:id="rId11">
              <w:r>
                <w:rPr>
                  <w:rFonts w:ascii="Calibri" w:hAnsi="Calibri" w:cs="Calibri"/>
                  <w:sz w:val="18"/>
                  <w:color w:val="1155CC"/>
                  <w:u w:val="single"/>
                </w:rPr>
                <w:t xml:space="preserve">pmc.ncbi.nlm.nih.gov — PMC11558713, IAT meta-analysis India</w:t>
              </w:r>
            </w:hyperlink>
          </w:p>
          <w:p>
            <w:pPr>
              <w:spacing w:before="60" w:after="40"/>
            </w:pPr>
            <w:r>
              <w:rPr>
                <w:rFonts w:ascii="Calibri" w:hAnsi="Calibri"/>
                <w:b w:val="0"/>
                <w:i w:val="0"/>
                <w:color w:val="5A5A5A"/>
                <w:sz w:val="18"/>
              </w:rPr>
              <w:t>#socialanxiety  #loneliness  #onlinerefuge  #cyberbullying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Screen use displaces physical activity and vice versa: ≥2 h/day recreational screen time raises childhood overweight/obesity odds (OR 1.67), while a 22-RCT network meta-analysis shows light, moderate and vigorous exercise all significantly reduce internet-addiction severity (SMD ≈ −2.5 to −2.7).</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users shift to energy-dense snacks, sugary/caffeinated drinks and app-delivered fast food eaten at the screen; 30% of heavy student users report unhealthier diet and weight gain, while addicted users in Delhi showed a 2.5-fold higher underweight risk from meal displacement.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Problematic smartphone use carries 2.6-fold odds of poor sleep quality; blue-light melatonin suppression, pre-sleep arousal and night-time notifications delay sleep onset, and 43% of heavy users report reduced sleep hours — sleep debt in turn worsens craving and next-day use.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Problematic internet/gaming use clusters with nicotine use through shared impulsivity and reward-seeking; smoking is commonly used to sustain long sessions and each behaviour reinforces the other in adolescent samples.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Escape-motivated coping and disinhibition link harmful alcohol use with problematic internet use in young adults; both disturb sleep and mood, mutually maintaining each other.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Bidirectional and strong: problematic use raises odds of depression (OR 3.17), anxiety (OR 3.05) and suicidal ideation (OR 2.95), while 85–92% of studies find significant IGD correlations with ADHD, anxiety and depression; media-addiction scores correlate with adolescent ill-being (r = 0.434).</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evidence; immersive sessions are associated with neglected hydration and holding urine for long periods, contributing to headaches, constipation and urinary discomfort in heavy users.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Caffeinated energy drinks and coffee are habitually used by gamers to extend late-night sessions; evening caffeine compounds screen-related sleep-onset delay, entrenching the addiction–insomnia cycle.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 severe gaming/internet addiction, self-care is neglected (skipped baths, unwashed clothes, unkempt appearance) — a marker of severity; shared devices and screens are also high-touch fomites.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Persuasive design (infinite scroll, autoplay, loot boxes, streak rewards, push notifications), 24/7 cheap data, exam/work stress, boredom, loneliness and lockdown-type confinement (COVID-era screen time rose 1.0–1.4 h/day) are potent triggers of relapse and escalation.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Sustained forward-flexed neck ("text neck"), slouched sitting and repetitive thumb/wrist strain during prolonged device use cause cervical pain, myofascial strain and tendinopathies in children and adults.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Moderate-to-vigorous physical activity (min/week)</w:t>
            </w:r>
          </w:p>
        </w:tc>
        <w:tc>
          <w:tcPr>
            <w:tcW w:type="dxa" w:w="1655"/>
            <w:vAlign w:val="top"/>
          </w:tcPr>
          <w:p>
            <w:pPr>
              <w:spacing w:after="40" w:before="0" w:line="259" w:lineRule="auto"/>
            </w:pPr>
            <w:r>
              <w:rPr>
                <w:rFonts w:ascii="Calibri" w:hAnsi="Calibri"/>
                <w:b w:val="0"/>
                <w:i w:val="0"/>
                <w:color w:val="212121"/>
                <w:sz w:val="19"/>
              </w:rPr>
              <w:t>Adolescents, students, adults</w:t>
            </w:r>
          </w:p>
        </w:tc>
        <w:tc>
          <w:tcPr>
            <w:tcW w:type="dxa" w:w="1512"/>
            <w:vAlign w:val="top"/>
          </w:tcPr>
          <w:p>
            <w:pPr>
              <w:spacing w:after="40" w:before="0" w:line="259" w:lineRule="auto"/>
            </w:pPr>
            <w:r>
              <w:rPr>
                <w:rFonts w:ascii="Calibri" w:hAnsi="Calibri"/>
                <w:b w:val="0"/>
                <w:i w:val="0"/>
                <w:color w:val="212121"/>
                <w:sz w:val="19"/>
              </w:rPr>
              <w:t>≥ 150 min/week adults; ≥ 60 min/day adolescents (WHO)</w:t>
            </w:r>
          </w:p>
        </w:tc>
        <w:tc>
          <w:tcPr>
            <w:tcW w:type="dxa" w:w="1512"/>
            <w:vAlign w:val="top"/>
          </w:tcPr>
          <w:p>
            <w:pPr>
              <w:spacing w:after="40" w:before="0" w:line="259" w:lineRule="auto"/>
            </w:pPr>
            <w:r>
              <w:rPr>
                <w:rFonts w:ascii="Calibri" w:hAnsi="Calibri"/>
                <w:b w:val="0"/>
                <w:i w:val="0"/>
                <w:color w:val="212121"/>
                <w:sz w:val="19"/>
              </w:rPr>
              <w:t>Below WHO minimum with screen time replacing outdoor play</w:t>
            </w:r>
          </w:p>
        </w:tc>
        <w:tc>
          <w:tcPr>
            <w:tcW w:type="dxa" w:w="1468"/>
            <w:vAlign w:val="top"/>
          </w:tcPr>
          <w:p>
            <w:pPr>
              <w:spacing w:after="60" w:line="259" w:lineRule="auto"/>
            </w:pPr>
            <w:r>
              <w:rPr>
                <w:rFonts w:ascii="Calibri" w:hAnsi="Calibri"/>
                <w:b w:val="0"/>
                <w:i w:val="0"/>
                <w:color w:val="212121"/>
                <w:sz w:val="19"/>
              </w:rPr>
              <w:t>Exercise of any intensity reduces internet-addiction severity and comorbid anxiety/depression</w:t>
            </w:r>
          </w:p>
          <w:p>
            <w:pPr>
              <w:spacing w:after="40" w:line="252" w:lineRule="auto"/>
            </w:pPr>
            <w:hyperlink r:id="rId22">
              <w:r>
                <w:rPr>
                  <w:rFonts w:ascii="Calibri" w:hAnsi="Calibri" w:cs="Calibri"/>
                  <w:sz w:val="18"/>
                  <w:color w:val="1155CC"/>
                  <w:u w:val="single"/>
                </w:rPr>
                <w:t xml:space="preserve">https://pubmed.ncbi.nlm.nih.gov/42409604/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Recreational screen time (h/day)</w:t>
            </w:r>
          </w:p>
        </w:tc>
        <w:tc>
          <w:tcPr>
            <w:tcW w:type="dxa" w:w="1655"/>
            <w:vAlign w:val="top"/>
          </w:tcPr>
          <w:p>
            <w:pPr>
              <w:spacing w:after="40" w:before="0" w:line="259" w:lineRule="auto"/>
            </w:pPr>
            <w:r>
              <w:rPr>
                <w:rFonts w:ascii="Calibri" w:hAnsi="Calibri"/>
                <w:b w:val="0"/>
                <w:i w:val="0"/>
                <w:color w:val="212121"/>
                <w:sz w:val="19"/>
              </w:rPr>
              <w:t>Children, adolescents, young adults</w:t>
            </w:r>
          </w:p>
        </w:tc>
        <w:tc>
          <w:tcPr>
            <w:tcW w:type="dxa" w:w="1512"/>
            <w:vAlign w:val="top"/>
          </w:tcPr>
          <w:p>
            <w:pPr>
              <w:spacing w:after="40" w:before="0" w:line="259" w:lineRule="auto"/>
            </w:pPr>
            <w:r>
              <w:rPr>
                <w:rFonts w:ascii="Calibri" w:hAnsi="Calibri"/>
                <w:b w:val="0"/>
                <w:i w:val="0"/>
                <w:color w:val="212121"/>
                <w:sz w:val="19"/>
              </w:rPr>
              <w:t>≤ 2 h/day recreational (school-age); zero for &lt; 1 y and ≤ 1 h for 2–4 y (WHO)</w:t>
            </w:r>
          </w:p>
        </w:tc>
        <w:tc>
          <w:tcPr>
            <w:tcW w:type="dxa" w:w="1512"/>
            <w:vAlign w:val="top"/>
          </w:tcPr>
          <w:p>
            <w:pPr>
              <w:spacing w:after="40" w:before="0" w:line="259" w:lineRule="auto"/>
            </w:pPr>
            <w:r>
              <w:rPr>
                <w:rFonts w:ascii="Calibri" w:hAnsi="Calibri"/>
                <w:b w:val="0"/>
                <w:i w:val="0"/>
                <w:color w:val="212121"/>
                <w:sz w:val="19"/>
              </w:rPr>
              <w:t>&gt; 2 h/day (children); &gt; 4–6 h/day recreational (any age)</w:t>
            </w:r>
          </w:p>
        </w:tc>
        <w:tc>
          <w:tcPr>
            <w:tcW w:type="dxa" w:w="1468"/>
            <w:vAlign w:val="top"/>
          </w:tcPr>
          <w:p>
            <w:pPr>
              <w:spacing w:after="60" w:line="259" w:lineRule="auto"/>
            </w:pPr>
            <w:r>
              <w:rPr>
                <w:rFonts w:ascii="Calibri" w:hAnsi="Calibri"/>
                <w:b w:val="0"/>
                <w:i w:val="0"/>
                <w:color w:val="212121"/>
                <w:sz w:val="19"/>
              </w:rPr>
              <w:t>≥ 2 h/day screen time carries OR 1.67 for childhood overweight/obesity</w:t>
            </w:r>
          </w:p>
          <w:p>
            <w:pPr>
              <w:spacing w:after="40" w:line="252" w:lineRule="auto"/>
            </w:pPr>
            <w:hyperlink r:id="rId23">
              <w:r>
                <w:rPr>
                  <w:rFonts w:ascii="Calibri" w:hAnsi="Calibri" w:cs="Calibri"/>
                  <w:sz w:val="18"/>
                  <w:color w:val="1155CC"/>
                  <w:u w:val="single"/>
                </w:rPr>
                <w:t xml:space="preserve">https://www.who.int/news/item/24-04-2019-to-grow-up-healthy-children-need-to-sit-less-and-play-more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Heavy users (both directions of risk)</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(meal displacement) or ≥ 25 (sedentary snacking)</w:t>
            </w:r>
          </w:p>
        </w:tc>
        <w:tc>
          <w:tcPr>
            <w:tcW w:type="dxa" w:w="1468"/>
            <w:vAlign w:val="top"/>
          </w:tcPr>
          <w:p>
            <w:pPr>
              <w:spacing w:after="60" w:line="259" w:lineRule="auto"/>
            </w:pPr>
            <w:r>
              <w:rPr>
                <w:rFonts w:ascii="Calibri" w:hAnsi="Calibri"/>
                <w:b w:val="0"/>
                <w:i w:val="0"/>
                <w:color w:val="212121"/>
                <w:sz w:val="19"/>
              </w:rPr>
              <w:t>Smartphone-addicted young adults showed 2.5-fold underweight risk in Delhi; screen time also predicts overweight</w:t>
            </w:r>
          </w:p>
          <w:p>
            <w:pPr>
              <w:spacing w:after="40" w:line="252" w:lineRule="auto"/>
            </w:pPr>
            <w:hyperlink r:id="rId20">
              <w:r>
                <w:rPr>
                  <w:rFonts w:ascii="Calibri" w:hAnsi="Calibri" w:cs="Calibri"/>
                  <w:sz w:val="18"/>
                  <w:color w:val="1155CC"/>
                  <w:u w:val="single"/>
                </w:rPr>
                <w:t xml:space="preserve">https://pmc.ncbi.nlm.nih.gov/articles/PMC11198534/</w:t>
              </w:r>
            </w:hyperlink>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Adolescents, students, adults</w:t>
            </w:r>
          </w:p>
        </w:tc>
        <w:tc>
          <w:tcPr>
            <w:tcW w:type="dxa" w:w="1512"/>
            <w:vAlign w:val="top"/>
          </w:tcPr>
          <w:p>
            <w:pPr>
              <w:spacing w:after="40" w:before="0" w:line="259" w:lineRule="auto"/>
            </w:pPr>
            <w:r>
              <w:rPr>
                <w:rFonts w:ascii="Calibri" w:hAnsi="Calibri"/>
                <w:b w:val="0"/>
                <w:i w:val="0"/>
                <w:color w:val="212121"/>
                <w:sz w:val="19"/>
              </w:rPr>
              <w:t>8–10 h (teens); 7–9 h (adults)</w:t>
            </w:r>
          </w:p>
        </w:tc>
        <w:tc>
          <w:tcPr>
            <w:tcW w:type="dxa" w:w="1512"/>
            <w:vAlign w:val="top"/>
          </w:tcPr>
          <w:p>
            <w:pPr>
              <w:spacing w:after="40" w:before="0" w:line="259" w:lineRule="auto"/>
            </w:pPr>
            <w:r>
              <w:rPr>
                <w:rFonts w:ascii="Calibri" w:hAnsi="Calibri"/>
                <w:b w:val="0"/>
                <w:i w:val="0"/>
                <w:color w:val="212121"/>
                <w:sz w:val="19"/>
              </w:rPr>
              <w:t>&lt; 7 h with device use after lights-out</w:t>
            </w:r>
          </w:p>
        </w:tc>
        <w:tc>
          <w:tcPr>
            <w:tcW w:type="dxa" w:w="1468"/>
            <w:vAlign w:val="top"/>
          </w:tcPr>
          <w:p>
            <w:pPr>
              <w:spacing w:after="60" w:line="259" w:lineRule="auto"/>
            </w:pPr>
            <w:r>
              <w:rPr>
                <w:rFonts w:ascii="Calibri" w:hAnsi="Calibri"/>
                <w:b w:val="0"/>
                <w:i w:val="0"/>
                <w:color w:val="212121"/>
                <w:sz w:val="19"/>
              </w:rPr>
              <w:t>Problematic smartphone use doubles the odds of poor sleep quality (OR 2.60)</w:t>
            </w:r>
          </w:p>
          <w:p>
            <w:pPr>
              <w:spacing w:after="40" w:line="252" w:lineRule="auto"/>
            </w:pPr>
            <w:hyperlink r:id="rId21">
              <w:r>
                <w:rPr>
                  <w:rFonts w:ascii="Calibri" w:hAnsi="Calibri" w:cs="Calibri"/>
                  <w:sz w:val="18"/>
                  <w:color w:val="1155CC"/>
                  <w:u w:val="single"/>
                </w:rPr>
                <w:t xml:space="preserve">https://pmc.ncbi.nlm.nih.gov/articles/PMC6883663/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Pre-sleep device-free buffer (min)</w:t>
            </w:r>
          </w:p>
        </w:tc>
        <w:tc>
          <w:tcPr>
            <w:tcW w:type="dxa" w:w="1655"/>
            <w:vAlign w:val="top"/>
          </w:tcPr>
          <w:p>
            <w:pPr>
              <w:spacing w:after="40" w:before="0" w:line="259" w:lineRule="auto"/>
            </w:pPr>
            <w:r>
              <w:rPr>
                <w:rFonts w:ascii="Calibri" w:hAnsi="Calibri"/>
                <w:b w:val="0"/>
                <w:i w:val="0"/>
                <w:color w:val="212121"/>
                <w:sz w:val="19"/>
              </w:rPr>
              <w:t>All users, especially bedtime scrollers</w:t>
            </w:r>
          </w:p>
        </w:tc>
        <w:tc>
          <w:tcPr>
            <w:tcW w:type="dxa" w:w="1512"/>
            <w:vAlign w:val="top"/>
          </w:tcPr>
          <w:p>
            <w:pPr>
              <w:spacing w:after="40" w:before="0" w:line="259" w:lineRule="auto"/>
            </w:pPr>
            <w:r>
              <w:rPr>
                <w:rFonts w:ascii="Calibri" w:hAnsi="Calibri"/>
                <w:b w:val="0"/>
                <w:i w:val="0"/>
                <w:color w:val="212121"/>
                <w:sz w:val="19"/>
              </w:rPr>
              <w:t>≥ 60 min screen-free before bed; phone charged outside bedroom</w:t>
            </w:r>
          </w:p>
        </w:tc>
        <w:tc>
          <w:tcPr>
            <w:tcW w:type="dxa" w:w="1512"/>
            <w:vAlign w:val="top"/>
          </w:tcPr>
          <w:p>
            <w:pPr>
              <w:spacing w:after="40" w:before="0" w:line="259" w:lineRule="auto"/>
            </w:pPr>
            <w:r>
              <w:rPr>
                <w:rFonts w:ascii="Calibri" w:hAnsi="Calibri"/>
                <w:b w:val="0"/>
                <w:i w:val="0"/>
                <w:color w:val="212121"/>
                <w:sz w:val="19"/>
              </w:rPr>
              <w:t>Scrolling/gaming in bed; phone as alarm clock within reach</w:t>
            </w:r>
          </w:p>
        </w:tc>
        <w:tc>
          <w:tcPr>
            <w:tcW w:type="dxa" w:w="1468"/>
            <w:vAlign w:val="top"/>
          </w:tcPr>
          <w:p>
            <w:pPr>
              <w:spacing w:after="40" w:before="0" w:line="259" w:lineRule="auto"/>
            </w:pPr>
            <w:r>
              <w:rPr>
                <w:rFonts w:ascii="Calibri" w:hAnsi="Calibri"/>
                <w:b w:val="0"/>
                <w:i w:val="0"/>
                <w:color w:val="212121"/>
                <w:sz w:val="19"/>
              </w:rPr>
              <w:t>Blue light and arousal delay melatonin onset and prolong sleep latency</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Young's Internet Addiction Test (IAT) score</w:t>
            </w:r>
          </w:p>
        </w:tc>
        <w:tc>
          <w:tcPr>
            <w:tcW w:type="dxa" w:w="1655"/>
            <w:vAlign w:val="top"/>
          </w:tcPr>
          <w:p>
            <w:pPr>
              <w:spacing w:after="40" w:before="0" w:line="259" w:lineRule="auto"/>
            </w:pPr>
            <w:r>
              <w:rPr>
                <w:rFonts w:ascii="Calibri" w:hAnsi="Calibri"/>
                <w:b w:val="0"/>
                <w:i w:val="0"/>
                <w:color w:val="212121"/>
                <w:sz w:val="19"/>
              </w:rPr>
              <w:t>Adolescents, college students, adults</w:t>
            </w:r>
          </w:p>
        </w:tc>
        <w:tc>
          <w:tcPr>
            <w:tcW w:type="dxa" w:w="1512"/>
            <w:vAlign w:val="top"/>
          </w:tcPr>
          <w:p>
            <w:pPr>
              <w:spacing w:after="40" w:before="0" w:line="259" w:lineRule="auto"/>
            </w:pPr>
            <w:r>
              <w:rPr>
                <w:rFonts w:ascii="Calibri" w:hAnsi="Calibri"/>
                <w:b w:val="0"/>
                <w:i w:val="0"/>
                <w:color w:val="212121"/>
                <w:sz w:val="19"/>
              </w:rPr>
              <w:t>0–30 (normal); 31–49 (mild — counsel)</w:t>
            </w:r>
          </w:p>
        </w:tc>
        <w:tc>
          <w:tcPr>
            <w:tcW w:type="dxa" w:w="1512"/>
            <w:vAlign w:val="top"/>
          </w:tcPr>
          <w:p>
            <w:pPr>
              <w:spacing w:after="40" w:before="0" w:line="259" w:lineRule="auto"/>
            </w:pPr>
            <w:r>
              <w:rPr>
                <w:rFonts w:ascii="Calibri" w:hAnsi="Calibri"/>
                <w:b w:val="0"/>
                <w:i w:val="0"/>
                <w:color w:val="212121"/>
                <w:sz w:val="19"/>
              </w:rPr>
              <w:t>≥ 50 (moderate); ≥ 80 (severe)</w:t>
            </w:r>
          </w:p>
        </w:tc>
        <w:tc>
          <w:tcPr>
            <w:tcW w:type="dxa" w:w="1468"/>
            <w:vAlign w:val="top"/>
          </w:tcPr>
          <w:p>
            <w:pPr>
              <w:spacing w:after="60" w:line="259" w:lineRule="auto"/>
            </w:pPr>
            <w:r>
              <w:rPr>
                <w:rFonts w:ascii="Calibri" w:hAnsi="Calibri"/>
                <w:b w:val="0"/>
                <w:i w:val="0"/>
                <w:color w:val="212121"/>
                <w:sz w:val="19"/>
              </w:rPr>
              <w:t>Standard screening scale used across the 50-study Indian meta-analysis</w:t>
            </w:r>
          </w:p>
          <w:p>
            <w:pPr>
              <w:spacing w:after="40" w:line="252" w:lineRule="auto"/>
            </w:pPr>
            <w:hyperlink r:id="rId10">
              <w:r>
                <w:rPr>
                  <w:rFonts w:ascii="Calibri" w:hAnsi="Calibri" w:cs="Calibri"/>
                  <w:sz w:val="18"/>
                  <w:color w:val="1155CC"/>
                  <w:u w:val="single"/>
                </w:rPr>
                <w:t xml:space="preserve">https://pubmed.ncbi.nlm.nih.gov/34504996/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Smartphone Addiction Scale–Short Version (SAS-SV)</w:t>
            </w:r>
          </w:p>
        </w:tc>
        <w:tc>
          <w:tcPr>
            <w:tcW w:type="dxa" w:w="1655"/>
            <w:vAlign w:val="top"/>
          </w:tcPr>
          <w:p>
            <w:pPr>
              <w:spacing w:after="40" w:before="0" w:line="259" w:lineRule="auto"/>
            </w:pPr>
            <w:r>
              <w:rPr>
                <w:rFonts w:ascii="Calibri" w:hAnsi="Calibri"/>
                <w:b w:val="0"/>
                <w:i w:val="0"/>
                <w:color w:val="212121"/>
                <w:sz w:val="19"/>
              </w:rPr>
              <w:t>School and college students</w:t>
            </w:r>
          </w:p>
        </w:tc>
        <w:tc>
          <w:tcPr>
            <w:tcW w:type="dxa" w:w="1512"/>
            <w:vAlign w:val="top"/>
          </w:tcPr>
          <w:p>
            <w:pPr>
              <w:spacing w:after="40" w:before="0" w:line="259" w:lineRule="auto"/>
            </w:pPr>
            <w:r>
              <w:rPr>
                <w:rFonts w:ascii="Calibri" w:hAnsi="Calibri"/>
                <w:b w:val="0"/>
                <w:i w:val="0"/>
                <w:color w:val="212121"/>
                <w:sz w:val="19"/>
              </w:rPr>
              <w:t>&lt; 31 (males); &lt; 33 (females)</w:t>
            </w:r>
          </w:p>
        </w:tc>
        <w:tc>
          <w:tcPr>
            <w:tcW w:type="dxa" w:w="1512"/>
            <w:vAlign w:val="top"/>
          </w:tcPr>
          <w:p>
            <w:pPr>
              <w:spacing w:after="40" w:before="0" w:line="259" w:lineRule="auto"/>
            </w:pPr>
            <w:r>
              <w:rPr>
                <w:rFonts w:ascii="Calibri" w:hAnsi="Calibri"/>
                <w:b w:val="0"/>
                <w:i w:val="0"/>
                <w:color w:val="212121"/>
                <w:sz w:val="19"/>
              </w:rPr>
              <w:t>≥ 31 (males); ≥ 33 (females)</w:t>
            </w:r>
          </w:p>
        </w:tc>
        <w:tc>
          <w:tcPr>
            <w:tcW w:type="dxa" w:w="1468"/>
            <w:vAlign w:val="top"/>
          </w:tcPr>
          <w:p>
            <w:pPr>
              <w:spacing w:after="60" w:line="259" w:lineRule="auto"/>
            </w:pPr>
            <w:r>
              <w:rPr>
                <w:rFonts w:ascii="Calibri" w:hAnsi="Calibri"/>
                <w:b w:val="0"/>
                <w:i w:val="0"/>
                <w:color w:val="212121"/>
                <w:sz w:val="19"/>
              </w:rPr>
              <w:t>Validated 10-item screen used in Indian adolescent surveys (e.g., Gujarat 64.6%)</w:t>
            </w:r>
          </w:p>
          <w:p>
            <w:pPr>
              <w:spacing w:after="40" w:line="252" w:lineRule="auto"/>
            </w:pPr>
            <w:hyperlink r:id="rId14">
              <w:r>
                <w:rPr>
                  <w:rFonts w:ascii="Calibri" w:hAnsi="Calibri" w:cs="Calibri"/>
                  <w:sz w:val="18"/>
                  <w:color w:val="1155CC"/>
                  <w:u w:val="single"/>
                </w:rPr>
                <w:t xml:space="preserve">https://bmcpublichealth.biomedcentral.com/articles/10.1186/s12889-024-19991-9</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and timing</w:t>
            </w:r>
          </w:p>
        </w:tc>
        <w:tc>
          <w:tcPr>
            <w:tcW w:type="dxa" w:w="1655"/>
            <w:vAlign w:val="top"/>
          </w:tcPr>
          <w:p>
            <w:pPr>
              <w:spacing w:after="40" w:before="0" w:line="259" w:lineRule="auto"/>
            </w:pPr>
            <w:r>
              <w:rPr>
                <w:rFonts w:ascii="Calibri" w:hAnsi="Calibri"/>
                <w:b w:val="0"/>
                <w:i w:val="0"/>
                <w:color w:val="212121"/>
                <w:sz w:val="19"/>
              </w:rPr>
              <w:t>Gamers, night-shift scrollers, students</w:t>
            </w:r>
          </w:p>
        </w:tc>
        <w:tc>
          <w:tcPr>
            <w:tcW w:type="dxa" w:w="1512"/>
            <w:vAlign w:val="top"/>
          </w:tcPr>
          <w:p>
            <w:pPr>
              <w:spacing w:after="40" w:before="0" w:line="259" w:lineRule="auto"/>
            </w:pPr>
            <w:r>
              <w:rPr>
                <w:rFonts w:ascii="Calibri" w:hAnsi="Calibri"/>
                <w:b w:val="0"/>
                <w:i w:val="0"/>
                <w:color w:val="212121"/>
                <w:sz w:val="19"/>
              </w:rPr>
              <w:t>≤ 400 mg/day (adults), none after mid-afternoon; avoid energy drinks in &lt;18 y</w:t>
            </w:r>
          </w:p>
        </w:tc>
        <w:tc>
          <w:tcPr>
            <w:tcW w:type="dxa" w:w="1512"/>
            <w:vAlign w:val="top"/>
          </w:tcPr>
          <w:p>
            <w:pPr>
              <w:spacing w:after="40" w:before="0" w:line="259" w:lineRule="auto"/>
            </w:pPr>
            <w:r>
              <w:rPr>
                <w:rFonts w:ascii="Calibri" w:hAnsi="Calibri"/>
                <w:b w:val="0"/>
                <w:i w:val="0"/>
                <w:color w:val="212121"/>
                <w:sz w:val="19"/>
              </w:rPr>
              <w:t>Energy drinks/coffee used to extend night sessions</w:t>
            </w:r>
          </w:p>
        </w:tc>
        <w:tc>
          <w:tcPr>
            <w:tcW w:type="dxa" w:w="1468"/>
            <w:vAlign w:val="top"/>
          </w:tcPr>
          <w:p>
            <w:pPr>
              <w:spacing w:after="40" w:before="0" w:line="259" w:lineRule="auto"/>
            </w:pPr>
            <w:r>
              <w:rPr>
                <w:rFonts w:ascii="Calibri" w:hAnsi="Calibri"/>
                <w:b w:val="0"/>
                <w:i w:val="0"/>
                <w:color w:val="212121"/>
                <w:sz w:val="19"/>
              </w:rPr>
              <w:t>Evening caffeine plus screens compounds insomnia and next-day fatigue-driven use</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Continuous session length / micro-breaks</w:t>
            </w:r>
          </w:p>
        </w:tc>
        <w:tc>
          <w:tcPr>
            <w:tcW w:type="dxa" w:w="1655"/>
            <w:vAlign w:val="top"/>
          </w:tcPr>
          <w:p>
            <w:pPr>
              <w:spacing w:after="40" w:before="0" w:line="259" w:lineRule="auto"/>
            </w:pPr>
            <w:r>
              <w:rPr>
                <w:rFonts w:ascii="Calibri" w:hAnsi="Calibri"/>
                <w:b w:val="0"/>
                <w:i w:val="0"/>
                <w:color w:val="212121"/>
                <w:sz w:val="19"/>
              </w:rPr>
              <w:t>Gamers, desk workers, students</w:t>
            </w:r>
          </w:p>
        </w:tc>
        <w:tc>
          <w:tcPr>
            <w:tcW w:type="dxa" w:w="1512"/>
            <w:vAlign w:val="top"/>
          </w:tcPr>
          <w:p>
            <w:pPr>
              <w:spacing w:after="40" w:before="0" w:line="259" w:lineRule="auto"/>
            </w:pPr>
            <w:r>
              <w:rPr>
                <w:rFonts w:ascii="Calibri" w:hAnsi="Calibri"/>
                <w:b w:val="0"/>
                <w:i w:val="0"/>
                <w:color w:val="212121"/>
                <w:sz w:val="19"/>
              </w:rPr>
              <w:t>Break every 30–60 min; 20-20-20 rule for eyes; neutral neck</w:t>
            </w:r>
          </w:p>
        </w:tc>
        <w:tc>
          <w:tcPr>
            <w:tcW w:type="dxa" w:w="1512"/>
            <w:vAlign w:val="top"/>
          </w:tcPr>
          <w:p>
            <w:pPr>
              <w:spacing w:after="40" w:before="0" w:line="259" w:lineRule="auto"/>
            </w:pPr>
            <w:r>
              <w:rPr>
                <w:rFonts w:ascii="Calibri" w:hAnsi="Calibri"/>
                <w:b w:val="0"/>
                <w:i w:val="0"/>
                <w:color w:val="212121"/>
                <w:sz w:val="19"/>
              </w:rPr>
              <w:t>Unbroken sessions &gt; 2 h; sustained neck flexion &gt; 45°</w:t>
            </w:r>
          </w:p>
        </w:tc>
        <w:tc>
          <w:tcPr>
            <w:tcW w:type="dxa" w:w="1468"/>
            <w:vAlign w:val="top"/>
          </w:tcPr>
          <w:p>
            <w:pPr>
              <w:spacing w:after="60" w:line="259" w:lineRule="auto"/>
            </w:pPr>
            <w:r>
              <w:rPr>
                <w:rFonts w:ascii="Calibri" w:hAnsi="Calibri"/>
                <w:b w:val="0"/>
                <w:i w:val="0"/>
                <w:color w:val="212121"/>
                <w:sz w:val="19"/>
              </w:rPr>
              <w:t>Prevents text-neck syndrome, digital eye strain and thumb/wrist tendinopathy</w:t>
            </w:r>
          </w:p>
          <w:p>
            <w:pPr>
              <w:spacing w:after="40" w:line="252" w:lineRule="auto"/>
            </w:pPr>
            <w:hyperlink r:id="rId24">
              <w:r>
                <w:rPr>
                  <w:rFonts w:ascii="Calibri" w:hAnsi="Calibri" w:cs="Calibri"/>
                  <w:sz w:val="18"/>
                  <w:color w:val="1155CC"/>
                  <w:u w:val="single"/>
                </w:rPr>
                <w:t xml:space="preserve">https://pmc.ncbi.nlm.nih.gov/articles/PMC7914771/</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Meal regularity (meals eaten off-screen/day)</w:t>
            </w:r>
          </w:p>
        </w:tc>
        <w:tc>
          <w:tcPr>
            <w:tcW w:type="dxa" w:w="1655"/>
            <w:vAlign w:val="top"/>
          </w:tcPr>
          <w:p>
            <w:pPr>
              <w:spacing w:after="40" w:before="0" w:line="259" w:lineRule="auto"/>
            </w:pPr>
            <w:r>
              <w:rPr>
                <w:rFonts w:ascii="Calibri" w:hAnsi="Calibri"/>
                <w:b w:val="0"/>
                <w:i w:val="0"/>
                <w:color w:val="212121"/>
                <w:sz w:val="19"/>
              </w:rPr>
              <w:t>Adolescents, gamers, hostel students</w:t>
            </w:r>
          </w:p>
        </w:tc>
        <w:tc>
          <w:tcPr>
            <w:tcW w:type="dxa" w:w="1512"/>
            <w:vAlign w:val="top"/>
          </w:tcPr>
          <w:p>
            <w:pPr>
              <w:spacing w:after="40" w:before="0" w:line="259" w:lineRule="auto"/>
            </w:pPr>
            <w:r>
              <w:rPr>
                <w:rFonts w:ascii="Calibri" w:hAnsi="Calibri"/>
                <w:b w:val="0"/>
                <w:i w:val="0"/>
                <w:color w:val="212121"/>
                <w:sz w:val="19"/>
              </w:rPr>
              <w:t>3 regular family/table meals without devices</w:t>
            </w:r>
          </w:p>
        </w:tc>
        <w:tc>
          <w:tcPr>
            <w:tcW w:type="dxa" w:w="1512"/>
            <w:vAlign w:val="top"/>
          </w:tcPr>
          <w:p>
            <w:pPr>
              <w:spacing w:after="40" w:before="0" w:line="259" w:lineRule="auto"/>
            </w:pPr>
            <w:r>
              <w:rPr>
                <w:rFonts w:ascii="Calibri" w:hAnsi="Calibri"/>
                <w:b w:val="0"/>
                <w:i w:val="0"/>
                <w:color w:val="212121"/>
                <w:sz w:val="19"/>
              </w:rPr>
              <w:t>Skipped meals, grazing at the screen, meal-delivery dependence</w:t>
            </w:r>
          </w:p>
        </w:tc>
        <w:tc>
          <w:tcPr>
            <w:tcW w:type="dxa" w:w="1468"/>
            <w:vAlign w:val="top"/>
          </w:tcPr>
          <w:p>
            <w:pPr>
              <w:spacing w:after="60" w:line="259" w:lineRule="auto"/>
            </w:pPr>
            <w:r>
              <w:rPr>
                <w:rFonts w:ascii="Calibri" w:hAnsi="Calibri"/>
                <w:b w:val="0"/>
                <w:i w:val="0"/>
                <w:color w:val="212121"/>
                <w:sz w:val="19"/>
              </w:rPr>
              <w:t>30% of heavy users report unhealthier diet; device-free meals are a core behavioural prescription</w:t>
            </w:r>
          </w:p>
          <w:p>
            <w:pPr>
              <w:spacing w:after="40" w:line="252" w:lineRule="auto"/>
            </w:pPr>
            <w:hyperlink r:id="rId18">
              <w:r>
                <w:rPr>
                  <w:rFonts w:ascii="Calibri" w:hAnsi="Calibri" w:cs="Calibri"/>
                  <w:sz w:val="18"/>
                  <w:color w:val="1155CC"/>
                  <w:u w:val="single"/>
                </w:rPr>
                <w:t xml:space="preserve">https://pubmed.ncbi.nlm.nih.gov/27279515/</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Notification load / cue exposure</w:t>
            </w:r>
          </w:p>
        </w:tc>
        <w:tc>
          <w:tcPr>
            <w:tcW w:type="dxa" w:w="1655"/>
            <w:vAlign w:val="top"/>
          </w:tcPr>
          <w:p>
            <w:pPr>
              <w:spacing w:after="40" w:before="0" w:line="259" w:lineRule="auto"/>
            </w:pPr>
            <w:r>
              <w:rPr>
                <w:rFonts w:ascii="Calibri" w:hAnsi="Calibri"/>
                <w:b w:val="0"/>
                <w:i w:val="0"/>
                <w:color w:val="212121"/>
                <w:sz w:val="19"/>
              </w:rPr>
              <w:t>All users</w:t>
            </w:r>
          </w:p>
        </w:tc>
        <w:tc>
          <w:tcPr>
            <w:tcW w:type="dxa" w:w="1512"/>
            <w:vAlign w:val="top"/>
          </w:tcPr>
          <w:p>
            <w:pPr>
              <w:spacing w:after="40" w:before="0" w:line="259" w:lineRule="auto"/>
            </w:pPr>
            <w:r>
              <w:rPr>
                <w:rFonts w:ascii="Calibri" w:hAnsi="Calibri"/>
                <w:b w:val="0"/>
                <w:i w:val="0"/>
                <w:color w:val="212121"/>
                <w:sz w:val="19"/>
              </w:rPr>
              <w:t>Batched notifications, night Do-Not-Disturb, home-screen free of feeds/games</w:t>
            </w:r>
          </w:p>
        </w:tc>
        <w:tc>
          <w:tcPr>
            <w:tcW w:type="dxa" w:w="1512"/>
            <w:vAlign w:val="top"/>
          </w:tcPr>
          <w:p>
            <w:pPr>
              <w:spacing w:after="40" w:before="0" w:line="259" w:lineRule="auto"/>
            </w:pPr>
            <w:r>
              <w:rPr>
                <w:rFonts w:ascii="Calibri" w:hAnsi="Calibri"/>
                <w:b w:val="0"/>
                <w:i w:val="0"/>
                <w:color w:val="212121"/>
                <w:sz w:val="19"/>
              </w:rPr>
              <w:t>Constant push alerts; checking within minutes of waking</w:t>
            </w:r>
          </w:p>
        </w:tc>
        <w:tc>
          <w:tcPr>
            <w:tcW w:type="dxa" w:w="1468"/>
            <w:vAlign w:val="top"/>
          </w:tcPr>
          <w:p>
            <w:pPr>
              <w:spacing w:after="40" w:before="0" w:line="259" w:lineRule="auto"/>
            </w:pPr>
            <w:r>
              <w:rPr>
                <w:rFonts w:ascii="Calibri" w:hAnsi="Calibri"/>
                <w:b w:val="0"/>
                <w:i w:val="0"/>
                <w:color w:val="212121"/>
                <w:sz w:val="19"/>
              </w:rPr>
              <w:t>Cue-triggered checking maintains the compulsion loop; app-timer limits reduce relapse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Psychometric</w:t>
            </w:r>
          </w:p>
        </w:tc>
        <w:tc>
          <w:tcPr>
            <w:tcW w:type="dxa" w:w="1036"/>
            <w:vAlign w:val="top"/>
          </w:tcPr>
          <w:p>
            <w:pPr>
              <w:spacing w:after="40" w:before="0" w:line="259" w:lineRule="auto"/>
            </w:pPr>
            <w:r>
              <w:rPr>
                <w:rFonts w:ascii="Calibri" w:hAnsi="Calibri"/>
                <w:b w:val="0"/>
                <w:i w:val="0"/>
                <w:color w:val="212121"/>
                <w:sz w:val="16"/>
              </w:rPr>
              <w:t>Young's Internet Addiction Test (IAT, 20 items, 20–100)</w:t>
            </w:r>
          </w:p>
        </w:tc>
        <w:tc>
          <w:tcPr>
            <w:tcW w:type="dxa" w:w="892"/>
            <w:vAlign w:val="top"/>
          </w:tcPr>
          <w:p>
            <w:pPr>
              <w:spacing w:after="40" w:before="0" w:line="259" w:lineRule="auto"/>
            </w:pPr>
            <w:r>
              <w:rPr>
                <w:rFonts w:ascii="Calibri" w:hAnsi="Calibri"/>
                <w:b w:val="0"/>
                <w:i w:val="0"/>
                <w:color w:val="212121"/>
                <w:sz w:val="16"/>
              </w:rPr>
              <w:t>Structured screening scale</w:t>
            </w:r>
          </w:p>
        </w:tc>
        <w:tc>
          <w:tcPr>
            <w:tcW w:type="dxa" w:w="950"/>
            <w:vAlign w:val="top"/>
          </w:tcPr>
          <w:p>
            <w:pPr>
              <w:spacing w:after="40" w:before="0" w:line="259" w:lineRule="auto"/>
            </w:pPr>
            <w:r>
              <w:rPr>
                <w:rFonts w:ascii="Calibri" w:hAnsi="Calibri"/>
                <w:b w:val="0"/>
                <w:i w:val="0"/>
                <w:color w:val="212121"/>
                <w:sz w:val="16"/>
              </w:rPr>
              <w:t>&lt; 50 (0–30 normal; 31–49 mild)</w:t>
            </w:r>
          </w:p>
        </w:tc>
        <w:tc>
          <w:tcPr>
            <w:tcW w:type="dxa" w:w="950"/>
            <w:vAlign w:val="top"/>
          </w:tcPr>
          <w:p>
            <w:pPr>
              <w:spacing w:after="40" w:before="0" w:line="259" w:lineRule="auto"/>
            </w:pPr>
            <w:r>
              <w:rPr>
                <w:rFonts w:ascii="Calibri" w:hAnsi="Calibri"/>
                <w:b w:val="0"/>
                <w:i w:val="0"/>
                <w:color w:val="212121"/>
                <w:sz w:val="16"/>
              </w:rPr>
              <w:t>≥ 50 (moderate); ≥ 80 (severe)</w:t>
            </w:r>
          </w:p>
        </w:tc>
        <w:tc>
          <w:tcPr>
            <w:tcW w:type="dxa" w:w="1036"/>
            <w:vAlign w:val="top"/>
          </w:tcPr>
          <w:p>
            <w:pPr>
              <w:spacing w:after="40" w:before="0" w:line="259" w:lineRule="auto"/>
            </w:pPr>
            <w:r>
              <w:rPr>
                <w:rFonts w:ascii="Calibri" w:hAnsi="Calibri"/>
                <w:b w:val="0"/>
                <w:i w:val="0"/>
                <w:color w:val="212121"/>
                <w:sz w:val="16"/>
              </w:rPr>
              <w:t>Quantifies severity of generalized problematic internet use; tracks treatment response</w:t>
            </w:r>
          </w:p>
        </w:tc>
        <w:tc>
          <w:tcPr>
            <w:tcW w:type="dxa" w:w="1036"/>
            <w:vAlign w:val="top"/>
          </w:tcPr>
          <w:p>
            <w:pPr>
              <w:spacing w:after="40" w:before="0" w:line="259" w:lineRule="auto"/>
            </w:pPr>
            <w:r>
              <w:rPr>
                <w:rFonts w:ascii="Calibri" w:hAnsi="Calibri"/>
                <w:b w:val="0"/>
                <w:i w:val="0"/>
                <w:color w:val="212121"/>
                <w:sz w:val="16"/>
              </w:rPr>
              <w:t>Adolescents, college students, young adults</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Gold standard (screening)</w:t>
            </w:r>
          </w:p>
        </w:tc>
        <w:tc>
          <w:tcPr>
            <w:tcW w:type="dxa" w:w="720"/>
            <w:vAlign w:val="top"/>
          </w:tcPr>
          <w:p>
            <w:pPr>
              <w:spacing w:after="40" w:before="0" w:line="259" w:lineRule="auto"/>
            </w:pPr>
            <w:r>
              <w:rPr>
                <w:rFonts w:ascii="Calibri" w:hAnsi="Calibri"/>
                <w:b w:val="0"/>
                <w:i w:val="0"/>
                <w:color w:val="212121"/>
                <w:sz w:val="16"/>
              </w:rPr>
              <w:t>Cut-off validity in Indian samples debated (50 vs 40)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Psychometric</w:t>
            </w:r>
          </w:p>
        </w:tc>
        <w:tc>
          <w:tcPr>
            <w:tcW w:type="dxa" w:w="1036"/>
            <w:vAlign w:val="top"/>
          </w:tcPr>
          <w:p>
            <w:pPr>
              <w:spacing w:after="40" w:before="0" w:line="259" w:lineRule="auto"/>
            </w:pPr>
            <w:r>
              <w:rPr>
                <w:rFonts w:ascii="Calibri" w:hAnsi="Calibri"/>
                <w:b w:val="0"/>
                <w:i w:val="0"/>
                <w:color w:val="212121"/>
                <w:sz w:val="16"/>
              </w:rPr>
              <w:t>Smartphone Addiction Scale–Short Version (SAS-SV, 10–60)</w:t>
            </w:r>
          </w:p>
        </w:tc>
        <w:tc>
          <w:tcPr>
            <w:tcW w:type="dxa" w:w="892"/>
            <w:vAlign w:val="top"/>
          </w:tcPr>
          <w:p>
            <w:pPr>
              <w:spacing w:after="40" w:before="0" w:line="259" w:lineRule="auto"/>
            </w:pPr>
            <w:r>
              <w:rPr>
                <w:rFonts w:ascii="Calibri" w:hAnsi="Calibri"/>
                <w:b w:val="0"/>
                <w:i w:val="0"/>
                <w:color w:val="212121"/>
                <w:sz w:val="16"/>
              </w:rPr>
              <w:t>Structured screening scale</w:t>
            </w:r>
          </w:p>
        </w:tc>
        <w:tc>
          <w:tcPr>
            <w:tcW w:type="dxa" w:w="950"/>
            <w:vAlign w:val="top"/>
          </w:tcPr>
          <w:p>
            <w:pPr>
              <w:spacing w:after="40" w:before="0" w:line="259" w:lineRule="auto"/>
            </w:pPr>
            <w:r>
              <w:rPr>
                <w:rFonts w:ascii="Calibri" w:hAnsi="Calibri"/>
                <w:b w:val="0"/>
                <w:i w:val="0"/>
                <w:color w:val="212121"/>
                <w:sz w:val="16"/>
              </w:rPr>
              <w:t>&lt; 31 (M); &lt; 33 (F)</w:t>
            </w:r>
          </w:p>
        </w:tc>
        <w:tc>
          <w:tcPr>
            <w:tcW w:type="dxa" w:w="950"/>
            <w:vAlign w:val="top"/>
          </w:tcPr>
          <w:p>
            <w:pPr>
              <w:spacing w:after="40" w:before="0" w:line="259" w:lineRule="auto"/>
            </w:pPr>
            <w:r>
              <w:rPr>
                <w:rFonts w:ascii="Calibri" w:hAnsi="Calibri"/>
                <w:b w:val="0"/>
                <w:i w:val="0"/>
                <w:color w:val="212121"/>
                <w:sz w:val="16"/>
              </w:rPr>
              <w:t>≥ 31 (M); ≥ 33 (F)</w:t>
            </w:r>
          </w:p>
        </w:tc>
        <w:tc>
          <w:tcPr>
            <w:tcW w:type="dxa" w:w="1036"/>
            <w:vAlign w:val="top"/>
          </w:tcPr>
          <w:p>
            <w:pPr>
              <w:spacing w:after="40" w:before="0" w:line="259" w:lineRule="auto"/>
            </w:pPr>
            <w:r>
              <w:rPr>
                <w:rFonts w:ascii="Calibri" w:hAnsi="Calibri"/>
                <w:b w:val="0"/>
                <w:i w:val="0"/>
                <w:color w:val="212121"/>
                <w:sz w:val="16"/>
              </w:rPr>
              <w:t>Screens problematic smartphone use in school/college populations</w:t>
            </w:r>
          </w:p>
        </w:tc>
        <w:tc>
          <w:tcPr>
            <w:tcW w:type="dxa" w:w="1036"/>
            <w:vAlign w:val="top"/>
          </w:tcPr>
          <w:p>
            <w:pPr>
              <w:spacing w:after="40" w:before="0" w:line="259" w:lineRule="auto"/>
            </w:pPr>
            <w:r>
              <w:rPr>
                <w:rFonts w:ascii="Calibri" w:hAnsi="Calibri"/>
                <w:b w:val="0"/>
                <w:i w:val="0"/>
                <w:color w:val="212121"/>
                <w:sz w:val="16"/>
              </w:rPr>
              <w:t>School adolescents, students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 adjunct</w:t>
            </w:r>
          </w:p>
        </w:tc>
        <w:tc>
          <w:tcPr>
            <w:tcW w:type="dxa" w:w="720"/>
            <w:vAlign w:val="top"/>
          </w:tcPr>
          <w:p>
            <w:pPr>
              <w:spacing w:after="40" w:before="0" w:line="259" w:lineRule="auto"/>
            </w:pPr>
            <w:r>
              <w:rPr>
                <w:rFonts w:ascii="Calibri" w:hAnsi="Calibri"/>
                <w:b w:val="0"/>
                <w:i w:val="0"/>
                <w:color w:val="212121"/>
                <w:sz w:val="16"/>
              </w:rPr>
              <w:t>Self-report; corroborate with parent/teacher input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Psychometric</w:t>
            </w:r>
          </w:p>
        </w:tc>
        <w:tc>
          <w:tcPr>
            <w:tcW w:type="dxa" w:w="1036"/>
            <w:vAlign w:val="top"/>
          </w:tcPr>
          <w:p>
            <w:pPr>
              <w:spacing w:after="40" w:before="0" w:line="259" w:lineRule="auto"/>
            </w:pPr>
            <w:r>
              <w:rPr>
                <w:rFonts w:ascii="Calibri" w:hAnsi="Calibri"/>
                <w:b w:val="0"/>
                <w:i w:val="0"/>
                <w:color w:val="212121"/>
                <w:sz w:val="16"/>
              </w:rPr>
              <w:t>IGDS9-SF / DSM-5 criteria count (9 items)</w:t>
            </w:r>
          </w:p>
        </w:tc>
        <w:tc>
          <w:tcPr>
            <w:tcW w:type="dxa" w:w="892"/>
            <w:vAlign w:val="top"/>
          </w:tcPr>
          <w:p>
            <w:pPr>
              <w:spacing w:after="40" w:before="0" w:line="259" w:lineRule="auto"/>
            </w:pPr>
            <w:r>
              <w:rPr>
                <w:rFonts w:ascii="Calibri" w:hAnsi="Calibri"/>
                <w:b w:val="0"/>
                <w:i w:val="0"/>
                <w:color w:val="212121"/>
                <w:sz w:val="16"/>
              </w:rPr>
              <w:t>Structured diagnostic scale</w:t>
            </w:r>
          </w:p>
        </w:tc>
        <w:tc>
          <w:tcPr>
            <w:tcW w:type="dxa" w:w="950"/>
            <w:vAlign w:val="top"/>
          </w:tcPr>
          <w:p>
            <w:pPr>
              <w:spacing w:after="40" w:before="0" w:line="259" w:lineRule="auto"/>
            </w:pPr>
            <w:r>
              <w:rPr>
                <w:rFonts w:ascii="Calibri" w:hAnsi="Calibri"/>
                <w:b w:val="0"/>
                <w:i w:val="0"/>
                <w:color w:val="212121"/>
                <w:sz w:val="16"/>
              </w:rPr>
              <w:t>&lt; 5 of 9 criteria; IGDS9-SF &lt; 32</w:t>
            </w:r>
          </w:p>
        </w:tc>
        <w:tc>
          <w:tcPr>
            <w:tcW w:type="dxa" w:w="950"/>
            <w:vAlign w:val="top"/>
          </w:tcPr>
          <w:p>
            <w:pPr>
              <w:spacing w:after="40" w:before="0" w:line="259" w:lineRule="auto"/>
            </w:pPr>
            <w:r>
              <w:rPr>
                <w:rFonts w:ascii="Calibri" w:hAnsi="Calibri"/>
                <w:b w:val="0"/>
                <w:i w:val="0"/>
                <w:color w:val="212121"/>
                <w:sz w:val="16"/>
              </w:rPr>
              <w:t>≥ 5 of 9 criteria over 12 months; IGDS9-SF ≥ 32</w:t>
            </w:r>
          </w:p>
        </w:tc>
        <w:tc>
          <w:tcPr>
            <w:tcW w:type="dxa" w:w="1036"/>
            <w:vAlign w:val="top"/>
          </w:tcPr>
          <w:p>
            <w:pPr>
              <w:spacing w:after="40" w:before="0" w:line="259" w:lineRule="auto"/>
            </w:pPr>
            <w:r>
              <w:rPr>
                <w:rFonts w:ascii="Calibri" w:hAnsi="Calibri"/>
                <w:b w:val="0"/>
                <w:i w:val="0"/>
                <w:color w:val="212121"/>
                <w:sz w:val="16"/>
              </w:rPr>
              <w:t>Operationalizes DSM-5 Internet Gaming Disorder; ICD-11 GDHGS scale is an alternative</w:t>
            </w:r>
          </w:p>
        </w:tc>
        <w:tc>
          <w:tcPr>
            <w:tcW w:type="dxa" w:w="1036"/>
            <w:vAlign w:val="top"/>
          </w:tcPr>
          <w:p>
            <w:pPr>
              <w:spacing w:after="40" w:before="0" w:line="259" w:lineRule="auto"/>
            </w:pPr>
            <w:r>
              <w:rPr>
                <w:rFonts w:ascii="Calibri" w:hAnsi="Calibri"/>
                <w:b w:val="0"/>
                <w:i w:val="0"/>
                <w:color w:val="212121"/>
                <w:sz w:val="16"/>
              </w:rPr>
              <w:t>Gamers, esports aspirants</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Distinguish from professional/competitive but controlled play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Digital audit</w:t>
            </w:r>
          </w:p>
        </w:tc>
        <w:tc>
          <w:tcPr>
            <w:tcW w:type="dxa" w:w="1036"/>
            <w:vAlign w:val="top"/>
          </w:tcPr>
          <w:p>
            <w:pPr>
              <w:spacing w:after="40" w:before="0" w:line="259" w:lineRule="auto"/>
            </w:pPr>
            <w:r>
              <w:rPr>
                <w:rFonts w:ascii="Calibri" w:hAnsi="Calibri"/>
                <w:b w:val="0"/>
                <w:i w:val="0"/>
                <w:color w:val="212121"/>
                <w:sz w:val="16"/>
              </w:rPr>
              <w:t>Objective screen time (digital-wellbeing dashboard, h/day)</w:t>
            </w:r>
          </w:p>
        </w:tc>
        <w:tc>
          <w:tcPr>
            <w:tcW w:type="dxa" w:w="892"/>
            <w:vAlign w:val="top"/>
          </w:tcPr>
          <w:p>
            <w:pPr>
              <w:spacing w:after="40" w:before="0" w:line="259" w:lineRule="auto"/>
            </w:pPr>
            <w:r>
              <w:rPr>
                <w:rFonts w:ascii="Calibri" w:hAnsi="Calibri"/>
                <w:b w:val="0"/>
                <w:i w:val="0"/>
                <w:color w:val="212121"/>
                <w:sz w:val="16"/>
              </w:rPr>
              <w:t>Device usage log</w:t>
            </w:r>
          </w:p>
        </w:tc>
        <w:tc>
          <w:tcPr>
            <w:tcW w:type="dxa" w:w="950"/>
            <w:vAlign w:val="top"/>
          </w:tcPr>
          <w:p>
            <w:pPr>
              <w:spacing w:after="40" w:before="0" w:line="259" w:lineRule="auto"/>
            </w:pPr>
            <w:r>
              <w:rPr>
                <w:rFonts w:ascii="Calibri" w:hAnsi="Calibri"/>
                <w:b w:val="0"/>
                <w:i w:val="0"/>
                <w:color w:val="212121"/>
                <w:sz w:val="16"/>
              </w:rPr>
              <w:t>≤ 2 h/day recreational</w:t>
            </w:r>
          </w:p>
        </w:tc>
        <w:tc>
          <w:tcPr>
            <w:tcW w:type="dxa" w:w="950"/>
            <w:vAlign w:val="top"/>
          </w:tcPr>
          <w:p>
            <w:pPr>
              <w:spacing w:after="40" w:before="0" w:line="259" w:lineRule="auto"/>
            </w:pPr>
            <w:r>
              <w:rPr>
                <w:rFonts w:ascii="Calibri" w:hAnsi="Calibri"/>
                <w:b w:val="0"/>
                <w:i w:val="0"/>
                <w:color w:val="212121"/>
                <w:sz w:val="16"/>
              </w:rPr>
              <w:t>&gt; 4–6 h/day recreational; &gt; 8 h/day total non-occupational</w:t>
            </w:r>
          </w:p>
        </w:tc>
        <w:tc>
          <w:tcPr>
            <w:tcW w:type="dxa" w:w="1036"/>
            <w:vAlign w:val="top"/>
          </w:tcPr>
          <w:p>
            <w:pPr>
              <w:spacing w:after="40" w:before="0" w:line="259" w:lineRule="auto"/>
            </w:pPr>
            <w:r>
              <w:rPr>
                <w:rFonts w:ascii="Calibri" w:hAnsi="Calibri"/>
                <w:b w:val="0"/>
                <w:i w:val="0"/>
                <w:color w:val="212121"/>
                <w:sz w:val="16"/>
              </w:rPr>
              <w:t>Objective corroboration of self-report; baseline for graded reduction targets</w:t>
            </w:r>
          </w:p>
        </w:tc>
        <w:tc>
          <w:tcPr>
            <w:tcW w:type="dxa" w:w="1036"/>
            <w:vAlign w:val="top"/>
          </w:tcPr>
          <w:p>
            <w:pPr>
              <w:spacing w:after="40" w:before="0" w:line="259" w:lineRule="auto"/>
            </w:pPr>
            <w:r>
              <w:rPr>
                <w:rFonts w:ascii="Calibri" w:hAnsi="Calibri"/>
                <w:b w:val="0"/>
                <w:i w:val="0"/>
                <w:color w:val="212121"/>
                <w:sz w:val="16"/>
              </w:rPr>
              <w:t>All users under evaluation</w:t>
            </w:r>
          </w:p>
        </w:tc>
        <w:tc>
          <w:tcPr>
            <w:tcW w:type="dxa" w:w="720"/>
            <w:vAlign w:val="top"/>
          </w:tcPr>
          <w:p>
            <w:pPr>
              <w:spacing w:after="40" w:before="0" w:line="259" w:lineRule="auto"/>
            </w:pPr>
            <w:r>
              <w:rPr>
                <w:rFonts w:ascii="Calibri" w:hAnsi="Calibri"/>
                <w:b w:val="0"/>
                <w:i w:val="0"/>
                <w:color w:val="212121"/>
                <w:sz w:val="16"/>
              </w:rPr>
              <w:t>Provoking factors; 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27.2% of heavy student users exceed 8 h/day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 vitamin D</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30–100 ng/mL</w:t>
            </w:r>
          </w:p>
        </w:tc>
        <w:tc>
          <w:tcPr>
            <w:tcW w:type="dxa" w:w="950"/>
            <w:vAlign w:val="top"/>
          </w:tcPr>
          <w:p>
            <w:pPr>
              <w:spacing w:after="40" w:before="0" w:line="259" w:lineRule="auto"/>
            </w:pPr>
            <w:r>
              <w:rPr>
                <w:rFonts w:ascii="Calibri" w:hAnsi="Calibri"/>
                <w:b w:val="0"/>
                <w:i w:val="0"/>
                <w:color w:val="212121"/>
                <w:sz w:val="16"/>
              </w:rPr>
              <w:t>&lt; 20 ng/mL (deficiency)</w:t>
            </w:r>
          </w:p>
        </w:tc>
        <w:tc>
          <w:tcPr>
            <w:tcW w:type="dxa" w:w="1036"/>
            <w:vAlign w:val="top"/>
          </w:tcPr>
          <w:p>
            <w:pPr>
              <w:spacing w:after="40" w:before="0" w:line="259" w:lineRule="auto"/>
            </w:pPr>
            <w:r>
              <w:rPr>
                <w:rFonts w:ascii="Calibri" w:hAnsi="Calibri"/>
                <w:b w:val="0"/>
                <w:i w:val="0"/>
                <w:color w:val="212121"/>
                <w:sz w:val="16"/>
              </w:rPr>
              <w:t>Indoor-confined heavy users lose sun exposure; deficiency worsens fatigue and musculoskeletal pain</w:t>
            </w:r>
          </w:p>
        </w:tc>
        <w:tc>
          <w:tcPr>
            <w:tcW w:type="dxa" w:w="1036"/>
            <w:vAlign w:val="top"/>
          </w:tcPr>
          <w:p>
            <w:pPr>
              <w:spacing w:after="40" w:before="0" w:line="259" w:lineRule="auto"/>
            </w:pPr>
            <w:r>
              <w:rPr>
                <w:rFonts w:ascii="Calibri" w:hAnsi="Calibri"/>
                <w:b w:val="0"/>
                <w:i w:val="0"/>
                <w:color w:val="212121"/>
                <w:sz w:val="16"/>
              </w:rPr>
              <w:t>Homebound gamers, night-pattern users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Correct with supplementation plus outdoor-activity prescription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&amp; lipid profile</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FPG 70–99 mg/dL; LDL &lt; 100 mg/dL; TG &lt; 150 mg/dL</w:t>
            </w:r>
          </w:p>
        </w:tc>
        <w:tc>
          <w:tcPr>
            <w:tcW w:type="dxa" w:w="950"/>
            <w:vAlign w:val="top"/>
          </w:tcPr>
          <w:p>
            <w:pPr>
              <w:spacing w:after="40" w:before="0" w:line="259" w:lineRule="auto"/>
            </w:pPr>
            <w:r>
              <w:rPr>
                <w:rFonts w:ascii="Calibri" w:hAnsi="Calibri"/>
                <w:b w:val="0"/>
                <w:i w:val="0"/>
                <w:color w:val="212121"/>
                <w:sz w:val="16"/>
              </w:rPr>
              <w:t>FPG ≥ 100 mg/dL; atherogenic dyslipidemia</w:t>
            </w:r>
          </w:p>
        </w:tc>
        <w:tc>
          <w:tcPr>
            <w:tcW w:type="dxa" w:w="1036"/>
            <w:vAlign w:val="top"/>
          </w:tcPr>
          <w:p>
            <w:pPr>
              <w:spacing w:after="40" w:before="0" w:line="259" w:lineRule="auto"/>
            </w:pPr>
            <w:r>
              <w:rPr>
                <w:rFonts w:ascii="Calibri" w:hAnsi="Calibri"/>
                <w:b w:val="0"/>
                <w:i w:val="0"/>
                <w:color w:val="212121"/>
                <w:sz w:val="16"/>
              </w:rPr>
              <w:t>Screens metabolic consequences of chronic sedentary screen exposure and junk-snacking</w:t>
            </w:r>
          </w:p>
        </w:tc>
        <w:tc>
          <w:tcPr>
            <w:tcW w:type="dxa" w:w="1036"/>
            <w:vAlign w:val="top"/>
          </w:tcPr>
          <w:p>
            <w:pPr>
              <w:spacing w:after="40" w:before="0" w:line="259" w:lineRule="auto"/>
            </w:pPr>
            <w:r>
              <w:rPr>
                <w:rFonts w:ascii="Calibri" w:hAnsi="Calibri"/>
                <w:b w:val="0"/>
                <w:i w:val="0"/>
                <w:color w:val="212121"/>
                <w:sz w:val="16"/>
              </w:rPr>
              <w:t>Chronic heavy users, obese users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Screen ≥2 h/day predicts childhood overweight (OR 1.67)</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Anthropometry</w:t>
            </w:r>
          </w:p>
        </w:tc>
        <w:tc>
          <w:tcPr>
            <w:tcW w:type="dxa" w:w="1036"/>
            <w:vAlign w:val="top"/>
          </w:tcPr>
          <w:p>
            <w:pPr>
              <w:spacing w:after="40" w:before="0" w:line="259" w:lineRule="auto"/>
            </w:pPr>
            <w:r>
              <w:rPr>
                <w:rFonts w:ascii="Calibri" w:hAnsi="Calibri"/>
                <w:b w:val="0"/>
                <w:i w:val="0"/>
                <w:color w:val="212121"/>
                <w:sz w:val="16"/>
              </w:rPr>
              <w:t>BMI &amp; waist circumference</w:t>
            </w:r>
          </w:p>
        </w:tc>
        <w:tc>
          <w:tcPr>
            <w:tcW w:type="dxa" w:w="892"/>
            <w:vAlign w:val="top"/>
          </w:tcPr>
          <w:p>
            <w:pPr>
              <w:spacing w:after="40" w:before="0" w:line="259" w:lineRule="auto"/>
            </w:pPr>
            <w:r>
              <w:rPr>
                <w:rFonts w:ascii="Calibri" w:hAnsi="Calibri"/>
                <w:b w:val="0"/>
                <w:i w:val="0"/>
                <w:color w:val="212121"/>
                <w:sz w:val="16"/>
              </w:rPr>
              <w:t>Somatometry</w:t>
            </w:r>
          </w:p>
        </w:tc>
        <w:tc>
          <w:tcPr>
            <w:tcW w:type="dxa" w:w="950"/>
            <w:vAlign w:val="top"/>
          </w:tcPr>
          <w:p>
            <w:pPr>
              <w:spacing w:after="40" w:before="0" w:line="259" w:lineRule="auto"/>
            </w:pPr>
            <w:r>
              <w:rPr>
                <w:rFonts w:ascii="Calibri" w:hAnsi="Calibri"/>
                <w:b w:val="0"/>
                <w:i w:val="0"/>
                <w:color w:val="212121"/>
                <w:sz w:val="16"/>
              </w:rPr>
              <w:t>BMI 18.5–24.9 kg/m²; WC M &lt; 90 cm, F &lt; 80 cm (Asian)</w:t>
            </w:r>
          </w:p>
        </w:tc>
        <w:tc>
          <w:tcPr>
            <w:tcW w:type="dxa" w:w="950"/>
            <w:vAlign w:val="top"/>
          </w:tcPr>
          <w:p>
            <w:pPr>
              <w:spacing w:after="40" w:before="0" w:line="259" w:lineRule="auto"/>
            </w:pPr>
            <w:r>
              <w:rPr>
                <w:rFonts w:ascii="Calibri" w:hAnsi="Calibri"/>
                <w:b w:val="0"/>
                <w:i w:val="0"/>
                <w:color w:val="212121"/>
                <w:sz w:val="16"/>
              </w:rPr>
              <w:t>BMI &lt; 18.5 or ≥ 25; central obesity</w:t>
            </w:r>
          </w:p>
        </w:tc>
        <w:tc>
          <w:tcPr>
            <w:tcW w:type="dxa" w:w="1036"/>
            <w:vAlign w:val="top"/>
          </w:tcPr>
          <w:p>
            <w:pPr>
              <w:spacing w:after="40" w:before="0" w:line="259" w:lineRule="auto"/>
            </w:pPr>
            <w:r>
              <w:rPr>
                <w:rFonts w:ascii="Calibri" w:hAnsi="Calibri"/>
                <w:b w:val="0"/>
                <w:i w:val="0"/>
                <w:color w:val="212121"/>
                <w:sz w:val="16"/>
              </w:rPr>
              <w:t>Detects both meal-displacement underweight and sedentary weight gain</w:t>
            </w:r>
          </w:p>
        </w:tc>
        <w:tc>
          <w:tcPr>
            <w:tcW w:type="dxa" w:w="1036"/>
            <w:vAlign w:val="top"/>
          </w:tcPr>
          <w:p>
            <w:pPr>
              <w:spacing w:after="40" w:before="0" w:line="259" w:lineRule="auto"/>
            </w:pPr>
            <w:r>
              <w:rPr>
                <w:rFonts w:ascii="Calibri" w:hAnsi="Calibri"/>
                <w:b w:val="0"/>
                <w:i w:val="0"/>
                <w:color w:val="212121"/>
                <w:sz w:val="16"/>
              </w:rPr>
              <w:t>Adolescent and young-adult heavy users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Track at each visit alongside usage log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Tear break-up time (TBUT) / Schirmer test</w:t>
            </w:r>
          </w:p>
        </w:tc>
        <w:tc>
          <w:tcPr>
            <w:tcW w:type="dxa" w:w="892"/>
            <w:vAlign w:val="top"/>
          </w:tcPr>
          <w:p>
            <w:pPr>
              <w:spacing w:after="40" w:before="0" w:line="259" w:lineRule="auto"/>
            </w:pPr>
            <w:r>
              <w:rPr>
                <w:rFonts w:ascii="Calibri" w:hAnsi="Calibri"/>
                <w:b w:val="0"/>
                <w:i w:val="0"/>
                <w:color w:val="212121"/>
                <w:sz w:val="16"/>
              </w:rPr>
              <w:t>Dry-eye workup</w:t>
            </w:r>
          </w:p>
        </w:tc>
        <w:tc>
          <w:tcPr>
            <w:tcW w:type="dxa" w:w="950"/>
            <w:vAlign w:val="top"/>
          </w:tcPr>
          <w:p>
            <w:pPr>
              <w:spacing w:after="40" w:before="0" w:line="259" w:lineRule="auto"/>
            </w:pPr>
            <w:r>
              <w:rPr>
                <w:rFonts w:ascii="Calibri" w:hAnsi="Calibri"/>
                <w:b w:val="0"/>
                <w:i w:val="0"/>
                <w:color w:val="212121"/>
                <w:sz w:val="16"/>
              </w:rPr>
              <w:t>TBUT ≥ 10 s; Schirmer ≥ 10 mm/5 min</w:t>
            </w:r>
          </w:p>
        </w:tc>
        <w:tc>
          <w:tcPr>
            <w:tcW w:type="dxa" w:w="950"/>
            <w:vAlign w:val="top"/>
          </w:tcPr>
          <w:p>
            <w:pPr>
              <w:spacing w:after="40" w:before="0" w:line="259" w:lineRule="auto"/>
            </w:pPr>
            <w:r>
              <w:rPr>
                <w:rFonts w:ascii="Calibri" w:hAnsi="Calibri"/>
                <w:b w:val="0"/>
                <w:i w:val="0"/>
                <w:color w:val="212121"/>
                <w:sz w:val="16"/>
              </w:rPr>
              <w:t>TBUT &lt; 10 s; Schirmer &lt; 10 mm</w:t>
            </w:r>
          </w:p>
        </w:tc>
        <w:tc>
          <w:tcPr>
            <w:tcW w:type="dxa" w:w="1036"/>
            <w:vAlign w:val="top"/>
          </w:tcPr>
          <w:p>
            <w:pPr>
              <w:spacing w:after="40" w:before="0" w:line="259" w:lineRule="auto"/>
            </w:pPr>
            <w:r>
              <w:rPr>
                <w:rFonts w:ascii="Calibri" w:hAnsi="Calibri"/>
                <w:b w:val="0"/>
                <w:i w:val="0"/>
                <w:color w:val="212121"/>
                <w:sz w:val="16"/>
              </w:rPr>
              <w:t>Reduced blink rate during screen fixation causes evaporative dry eye (digital eye strain)</w:t>
            </w:r>
          </w:p>
        </w:tc>
        <w:tc>
          <w:tcPr>
            <w:tcW w:type="dxa" w:w="1036"/>
            <w:vAlign w:val="top"/>
          </w:tcPr>
          <w:p>
            <w:pPr>
              <w:spacing w:after="40" w:before="0" w:line="259" w:lineRule="auto"/>
            </w:pPr>
            <w:r>
              <w:rPr>
                <w:rFonts w:ascii="Calibri" w:hAnsi="Calibri"/>
                <w:b w:val="0"/>
                <w:i w:val="0"/>
                <w:color w:val="212121"/>
                <w:sz w:val="16"/>
              </w:rPr>
              <w:t>Heavy users with ocular symptoms</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Refer for refraction — screen era accelerates myopia in children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Usage history</w:t>
            </w:r>
          </w:p>
        </w:tc>
        <w:tc>
          <w:tcPr>
            <w:tcW w:type="dxa" w:w="979"/>
            <w:vAlign w:val="top"/>
          </w:tcPr>
          <w:p>
            <w:pPr>
              <w:spacing w:after="40" w:before="0" w:line="259" w:lineRule="auto"/>
            </w:pPr>
            <w:r>
              <w:rPr>
                <w:rFonts w:ascii="Calibri" w:hAnsi="Calibri"/>
                <w:b w:val="0"/>
                <w:i w:val="0"/>
                <w:color w:val="212121"/>
                <w:sz w:val="16"/>
              </w:rPr>
              <w:t>Hours/day, platforms (gaming/social/streaming), night use, failed cut-down attempts</w:t>
            </w:r>
          </w:p>
        </w:tc>
        <w:tc>
          <w:tcPr>
            <w:tcW w:type="dxa" w:w="950"/>
            <w:vAlign w:val="top"/>
          </w:tcPr>
          <w:p>
            <w:pPr>
              <w:spacing w:after="40" w:before="0" w:line="259" w:lineRule="auto"/>
            </w:pPr>
            <w:r>
              <w:rPr>
                <w:rFonts w:ascii="Calibri" w:hAnsi="Calibri"/>
                <w:b w:val="0"/>
                <w:i w:val="0"/>
                <w:color w:val="212121"/>
                <w:sz w:val="16"/>
              </w:rPr>
              <w:t>Controlled, purposeful use</w:t>
            </w:r>
          </w:p>
        </w:tc>
        <w:tc>
          <w:tcPr>
            <w:tcW w:type="dxa" w:w="950"/>
            <w:vAlign w:val="top"/>
          </w:tcPr>
          <w:p>
            <w:pPr>
              <w:spacing w:after="40" w:before="0" w:line="259" w:lineRule="auto"/>
            </w:pPr>
            <w:r>
              <w:rPr>
                <w:rFonts w:ascii="Calibri" w:hAnsi="Calibri"/>
                <w:b w:val="0"/>
                <w:i w:val="0"/>
                <w:color w:val="212121"/>
                <w:sz w:val="16"/>
              </w:rPr>
              <w:t>Escalating hours, loss-of-control episodes, unsuccessful quitting</w:t>
            </w:r>
          </w:p>
        </w:tc>
        <w:tc>
          <w:tcPr>
            <w:tcW w:type="dxa" w:w="1036"/>
            <w:vAlign w:val="top"/>
          </w:tcPr>
          <w:p>
            <w:pPr>
              <w:spacing w:after="40" w:before="0" w:line="259" w:lineRule="auto"/>
            </w:pPr>
            <w:r>
              <w:rPr>
                <w:rFonts w:ascii="Calibri" w:hAnsi="Calibri"/>
                <w:b w:val="0"/>
                <w:i w:val="0"/>
                <w:color w:val="212121"/>
                <w:sz w:val="16"/>
              </w:rPr>
              <w:t>Establishes the pattern, subtype and tolerance/withdrawal features</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Corroborate with digital-wellbeing dashboard and family report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ICD-11 core-criteria probe</w:t>
            </w:r>
          </w:p>
        </w:tc>
        <w:tc>
          <w:tcPr>
            <w:tcW w:type="dxa" w:w="979"/>
            <w:vAlign w:val="top"/>
          </w:tcPr>
          <w:p>
            <w:pPr>
              <w:spacing w:after="40" w:before="0" w:line="259" w:lineRule="auto"/>
            </w:pPr>
            <w:r>
              <w:rPr>
                <w:rFonts w:ascii="Calibri" w:hAnsi="Calibri"/>
                <w:b w:val="0"/>
                <w:i w:val="0"/>
                <w:color w:val="212121"/>
                <w:sz w:val="16"/>
              </w:rPr>
              <w:t>Impaired control; priority over other activities; continuation despite harm; ≥ 12 months</w:t>
            </w:r>
          </w:p>
        </w:tc>
        <w:tc>
          <w:tcPr>
            <w:tcW w:type="dxa" w:w="950"/>
            <w:vAlign w:val="top"/>
          </w:tcPr>
          <w:p>
            <w:pPr>
              <w:spacing w:after="40" w:before="0" w:line="259" w:lineRule="auto"/>
            </w:pPr>
            <w:r>
              <w:rPr>
                <w:rFonts w:ascii="Calibri" w:hAnsi="Calibri"/>
                <w:b w:val="0"/>
                <w:i w:val="0"/>
                <w:color w:val="212121"/>
                <w:sz w:val="16"/>
              </w:rPr>
              <w:t>Criteria absent</w:t>
            </w:r>
          </w:p>
        </w:tc>
        <w:tc>
          <w:tcPr>
            <w:tcW w:type="dxa" w:w="950"/>
            <w:vAlign w:val="top"/>
          </w:tcPr>
          <w:p>
            <w:pPr>
              <w:spacing w:after="40" w:before="0" w:line="259" w:lineRule="auto"/>
            </w:pPr>
            <w:r>
              <w:rPr>
                <w:rFonts w:ascii="Calibri" w:hAnsi="Calibri"/>
                <w:b w:val="0"/>
                <w:i w:val="0"/>
                <w:color w:val="212121"/>
                <w:sz w:val="16"/>
              </w:rPr>
              <w:t>All three criteria with functional impairment</w:t>
            </w:r>
          </w:p>
        </w:tc>
        <w:tc>
          <w:tcPr>
            <w:tcW w:type="dxa" w:w="1036"/>
            <w:vAlign w:val="top"/>
          </w:tcPr>
          <w:p>
            <w:pPr>
              <w:spacing w:after="40" w:before="0" w:line="259" w:lineRule="auto"/>
            </w:pPr>
            <w:r>
              <w:rPr>
                <w:rFonts w:ascii="Calibri" w:hAnsi="Calibri"/>
                <w:b w:val="0"/>
                <w:i w:val="0"/>
                <w:color w:val="212121"/>
                <w:sz w:val="16"/>
              </w:rPr>
              <w:t>Diagnostic backbone for gaming disorder, applied analogously to other digital behaviours</w:t>
            </w:r>
          </w:p>
        </w:tc>
        <w:tc>
          <w:tcPr>
            <w:tcW w:type="dxa" w:w="1036"/>
            <w:vAlign w:val="top"/>
          </w:tcPr>
          <w:p>
            <w:pPr>
              <w:spacing w:after="40" w:before="0" w:line="259" w:lineRule="auto"/>
            </w:pPr>
            <w:r>
              <w:rPr>
                <w:rFonts w:ascii="Calibri" w:hAnsi="Calibri"/>
                <w:b w:val="0"/>
                <w:i w:val="0"/>
                <w:color w:val="212121"/>
                <w:sz w:val="16"/>
              </w:rPr>
              <w:t>Gamers, heavy internet/smartphone users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Duration may be shortened if all features severe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Functional impairment review</w:t>
            </w:r>
          </w:p>
        </w:tc>
        <w:tc>
          <w:tcPr>
            <w:tcW w:type="dxa" w:w="979"/>
            <w:vAlign w:val="top"/>
          </w:tcPr>
          <w:p>
            <w:pPr>
              <w:spacing w:after="40" w:before="0" w:line="259" w:lineRule="auto"/>
            </w:pPr>
            <w:r>
              <w:rPr>
                <w:rFonts w:ascii="Calibri" w:hAnsi="Calibri"/>
                <w:b w:val="0"/>
                <w:i w:val="0"/>
                <w:color w:val="212121"/>
                <w:sz w:val="16"/>
              </w:rPr>
              <w:t>Academic decline, absenteeism, job loss, relationship conflict, in-app/real-money spending</w:t>
            </w:r>
          </w:p>
        </w:tc>
        <w:tc>
          <w:tcPr>
            <w:tcW w:type="dxa" w:w="950"/>
            <w:vAlign w:val="top"/>
          </w:tcPr>
          <w:p>
            <w:pPr>
              <w:spacing w:after="40" w:before="0" w:line="259" w:lineRule="auto"/>
            </w:pPr>
            <w:r>
              <w:rPr>
                <w:rFonts w:ascii="Calibri" w:hAnsi="Calibri"/>
                <w:b w:val="0"/>
                <w:i w:val="0"/>
                <w:color w:val="212121"/>
                <w:sz w:val="16"/>
              </w:rPr>
              <w:t>Preserved functioning</w:t>
            </w:r>
          </w:p>
        </w:tc>
        <w:tc>
          <w:tcPr>
            <w:tcW w:type="dxa" w:w="950"/>
            <w:vAlign w:val="top"/>
          </w:tcPr>
          <w:p>
            <w:pPr>
              <w:spacing w:after="40" w:before="0" w:line="259" w:lineRule="auto"/>
            </w:pPr>
            <w:r>
              <w:rPr>
                <w:rFonts w:ascii="Calibri" w:hAnsi="Calibri"/>
                <w:b w:val="0"/>
                <w:i w:val="0"/>
                <w:color w:val="212121"/>
                <w:sz w:val="16"/>
              </w:rPr>
              <w:t>Falling grades, dropped activities, debts, family conflict</w:t>
            </w:r>
          </w:p>
        </w:tc>
        <w:tc>
          <w:tcPr>
            <w:tcW w:type="dxa" w:w="1036"/>
            <w:vAlign w:val="top"/>
          </w:tcPr>
          <w:p>
            <w:pPr>
              <w:spacing w:after="40" w:before="0" w:line="259" w:lineRule="auto"/>
            </w:pPr>
            <w:r>
              <w:rPr>
                <w:rFonts w:ascii="Calibri" w:hAnsi="Calibri"/>
                <w:b w:val="0"/>
                <w:i w:val="0"/>
                <w:color w:val="212121"/>
                <w:sz w:val="16"/>
              </w:rPr>
              <w:t>Separates disorder from heavy-but-controlled use; quantifies severity</w:t>
            </w:r>
          </w:p>
        </w:tc>
        <w:tc>
          <w:tcPr>
            <w:tcW w:type="dxa" w:w="1036"/>
            <w:vAlign w:val="top"/>
          </w:tcPr>
          <w:p>
            <w:pPr>
              <w:spacing w:after="40" w:before="0" w:line="259" w:lineRule="auto"/>
            </w:pPr>
            <w:r>
              <w:rPr>
                <w:rFonts w:ascii="Calibri" w:hAnsi="Calibri"/>
                <w:b w:val="0"/>
                <w:i w:val="0"/>
                <w:color w:val="212121"/>
                <w:sz w:val="16"/>
              </w:rPr>
              <w:t>Students, working adults</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Ask specifically about loot boxes and real-money gaming losses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Psychiatric comorbidity screen</w:t>
            </w:r>
          </w:p>
        </w:tc>
        <w:tc>
          <w:tcPr>
            <w:tcW w:type="dxa" w:w="979"/>
            <w:vAlign w:val="top"/>
          </w:tcPr>
          <w:p>
            <w:pPr>
              <w:spacing w:after="40" w:before="0" w:line="259" w:lineRule="auto"/>
            </w:pPr>
            <w:r>
              <w:rPr>
                <w:rFonts w:ascii="Calibri" w:hAnsi="Calibri"/>
                <w:b w:val="0"/>
                <w:i w:val="0"/>
                <w:color w:val="212121"/>
                <w:sz w:val="16"/>
              </w:rPr>
              <w:t>PHQ-9, GAD-7, ASRS (ADHD), substance use (ASSIST), suicidality</w:t>
            </w:r>
          </w:p>
        </w:tc>
        <w:tc>
          <w:tcPr>
            <w:tcW w:type="dxa" w:w="950"/>
            <w:vAlign w:val="top"/>
          </w:tcPr>
          <w:p>
            <w:pPr>
              <w:spacing w:after="40" w:before="0" w:line="259" w:lineRule="auto"/>
            </w:pPr>
            <w:r>
              <w:rPr>
                <w:rFonts w:ascii="Calibri" w:hAnsi="Calibri"/>
                <w:b w:val="0"/>
                <w:i w:val="0"/>
                <w:color w:val="212121"/>
                <w:sz w:val="16"/>
              </w:rPr>
              <w:t>No comorbidity</w:t>
            </w:r>
          </w:p>
        </w:tc>
        <w:tc>
          <w:tcPr>
            <w:tcW w:type="dxa" w:w="950"/>
            <w:vAlign w:val="top"/>
          </w:tcPr>
          <w:p>
            <w:pPr>
              <w:spacing w:after="40" w:before="0" w:line="259" w:lineRule="auto"/>
            </w:pPr>
            <w:r>
              <w:rPr>
                <w:rFonts w:ascii="Calibri" w:hAnsi="Calibri"/>
                <w:b w:val="0"/>
                <w:i w:val="0"/>
                <w:color w:val="212121"/>
                <w:sz w:val="16"/>
              </w:rPr>
              <w:t>Positive screens — depression, anxiety, ADHD, substance use, self-harm</w:t>
            </w:r>
          </w:p>
        </w:tc>
        <w:tc>
          <w:tcPr>
            <w:tcW w:type="dxa" w:w="1036"/>
            <w:vAlign w:val="top"/>
          </w:tcPr>
          <w:p>
            <w:pPr>
              <w:spacing w:after="40" w:before="0" w:line="259" w:lineRule="auto"/>
            </w:pPr>
            <w:r>
              <w:rPr>
                <w:rFonts w:ascii="Calibri" w:hAnsi="Calibri"/>
                <w:b w:val="0"/>
                <w:i w:val="0"/>
                <w:color w:val="212121"/>
                <w:sz w:val="16"/>
              </w:rPr>
              <w:t>Comorbidity is the rule, not the exception; directs the treatment plan</w:t>
            </w:r>
          </w:p>
        </w:tc>
        <w:tc>
          <w:tcPr>
            <w:tcW w:type="dxa" w:w="1036"/>
            <w:vAlign w:val="top"/>
          </w:tcPr>
          <w:p>
            <w:pPr>
              <w:spacing w:after="40" w:before="0" w:line="259" w:lineRule="auto"/>
            </w:pPr>
            <w:r>
              <w:rPr>
                <w:rFonts w:ascii="Calibri" w:hAnsi="Calibri"/>
                <w:b w:val="0"/>
                <w:i w:val="0"/>
                <w:color w:val="212121"/>
                <w:sz w:val="16"/>
              </w:rPr>
              <w:t>All confirmed cases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Suicidal ideation odds are ~3-fold in internet addiction — always ask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Sleep history</w:t>
            </w:r>
          </w:p>
        </w:tc>
        <w:tc>
          <w:tcPr>
            <w:tcW w:type="dxa" w:w="979"/>
            <w:vAlign w:val="top"/>
          </w:tcPr>
          <w:p>
            <w:pPr>
              <w:spacing w:after="40" w:before="0" w:line="259" w:lineRule="auto"/>
            </w:pPr>
            <w:r>
              <w:rPr>
                <w:rFonts w:ascii="Calibri" w:hAnsi="Calibri"/>
                <w:b w:val="0"/>
                <w:i w:val="0"/>
                <w:color w:val="212121"/>
                <w:sz w:val="16"/>
              </w:rPr>
              <w:t>Bedtime scrolling, sleep latency, night awakenings to check phone, daytime somnolence</w:t>
            </w:r>
          </w:p>
        </w:tc>
        <w:tc>
          <w:tcPr>
            <w:tcW w:type="dxa" w:w="950"/>
            <w:vAlign w:val="top"/>
          </w:tcPr>
          <w:p>
            <w:pPr>
              <w:spacing w:after="40" w:before="0" w:line="259" w:lineRule="auto"/>
            </w:pPr>
            <w:r>
              <w:rPr>
                <w:rFonts w:ascii="Calibri" w:hAnsi="Calibri"/>
                <w:b w:val="0"/>
                <w:i w:val="0"/>
                <w:color w:val="212121"/>
                <w:sz w:val="16"/>
              </w:rPr>
              <w:t>Regular sleep, device-free bedroom</w:t>
            </w:r>
          </w:p>
        </w:tc>
        <w:tc>
          <w:tcPr>
            <w:tcW w:type="dxa" w:w="950"/>
            <w:vAlign w:val="top"/>
          </w:tcPr>
          <w:p>
            <w:pPr>
              <w:spacing w:after="40" w:before="0" w:line="259" w:lineRule="auto"/>
            </w:pPr>
            <w:r>
              <w:rPr>
                <w:rFonts w:ascii="Calibri" w:hAnsi="Calibri"/>
                <w:b w:val="0"/>
                <w:i w:val="0"/>
                <w:color w:val="212121"/>
                <w:sz w:val="16"/>
              </w:rPr>
              <w:t>Delayed sleep phase, &lt; 7 h sleep, phone-checking at night</w:t>
            </w:r>
          </w:p>
        </w:tc>
        <w:tc>
          <w:tcPr>
            <w:tcW w:type="dxa" w:w="1036"/>
            <w:vAlign w:val="top"/>
          </w:tcPr>
          <w:p>
            <w:pPr>
              <w:spacing w:after="40" w:before="0" w:line="259" w:lineRule="auto"/>
            </w:pPr>
            <w:r>
              <w:rPr>
                <w:rFonts w:ascii="Calibri" w:hAnsi="Calibri"/>
                <w:b w:val="0"/>
                <w:i w:val="0"/>
                <w:color w:val="212121"/>
                <w:sz w:val="16"/>
              </w:rPr>
              <w:t>Sleep disruption is both a complication and a maintaining factor</w:t>
            </w:r>
          </w:p>
        </w:tc>
        <w:tc>
          <w:tcPr>
            <w:tcW w:type="dxa" w:w="1036"/>
            <w:vAlign w:val="top"/>
          </w:tcPr>
          <w:p>
            <w:pPr>
              <w:spacing w:after="40" w:before="0" w:line="259" w:lineRule="auto"/>
            </w:pPr>
            <w:r>
              <w:rPr>
                <w:rFonts w:ascii="Calibri" w:hAnsi="Calibri"/>
                <w:b w:val="0"/>
                <w:i w:val="0"/>
                <w:color w:val="212121"/>
                <w:sz w:val="16"/>
              </w:rPr>
              <w:t>Adolescents, students, night gamers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Diagnostic adjunct</w:t>
            </w:r>
          </w:p>
        </w:tc>
        <w:tc>
          <w:tcPr>
            <w:tcW w:type="dxa" w:w="720"/>
            <w:vAlign w:val="top"/>
          </w:tcPr>
          <w:p>
            <w:pPr>
              <w:spacing w:after="40" w:before="0" w:line="259" w:lineRule="auto"/>
            </w:pPr>
            <w:r>
              <w:rPr>
                <w:rFonts w:ascii="Calibri" w:hAnsi="Calibri"/>
                <w:b w:val="0"/>
                <w:i w:val="0"/>
                <w:color w:val="212121"/>
                <w:sz w:val="16"/>
              </w:rPr>
              <w:t>Consider sleep diary ± actigraphy in refractory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digital-environment assessment</w:t>
            </w:r>
          </w:p>
        </w:tc>
        <w:tc>
          <w:tcPr>
            <w:tcW w:type="dxa" w:w="979"/>
            <w:vAlign w:val="top"/>
          </w:tcPr>
          <w:p>
            <w:pPr>
              <w:spacing w:after="40" w:before="0" w:line="259" w:lineRule="auto"/>
            </w:pPr>
            <w:r>
              <w:rPr>
                <w:rFonts w:ascii="Calibri" w:hAnsi="Calibri"/>
                <w:b w:val="0"/>
                <w:i w:val="0"/>
                <w:color w:val="212121"/>
                <w:sz w:val="16"/>
              </w:rPr>
              <w:t>Parental monitoring/mediation, parenting style, own device/bedroom screens, family phone norms</w:t>
            </w:r>
          </w:p>
        </w:tc>
        <w:tc>
          <w:tcPr>
            <w:tcW w:type="dxa" w:w="950"/>
            <w:vAlign w:val="top"/>
          </w:tcPr>
          <w:p>
            <w:pPr>
              <w:spacing w:after="40" w:before="0" w:line="259" w:lineRule="auto"/>
            </w:pPr>
            <w:r>
              <w:rPr>
                <w:rFonts w:ascii="Calibri" w:hAnsi="Calibri"/>
                <w:b w:val="0"/>
                <w:i w:val="0"/>
                <w:color w:val="212121"/>
                <w:sz w:val="16"/>
              </w:rPr>
              <w:t>Authoritative mediation, shared family rules</w:t>
            </w:r>
          </w:p>
        </w:tc>
        <w:tc>
          <w:tcPr>
            <w:tcW w:type="dxa" w:w="950"/>
            <w:vAlign w:val="top"/>
          </w:tcPr>
          <w:p>
            <w:pPr>
              <w:spacing w:after="40" w:before="0" w:line="259" w:lineRule="auto"/>
            </w:pPr>
            <w:r>
              <w:rPr>
                <w:rFonts w:ascii="Calibri" w:hAnsi="Calibri"/>
                <w:b w:val="0"/>
                <w:i w:val="0"/>
                <w:color w:val="212121"/>
                <w:sz w:val="16"/>
              </w:rPr>
              <w:t>No supervision, permissive/authoritarian extremes, bedroom devices, parental heavy use</w:t>
            </w:r>
          </w:p>
        </w:tc>
        <w:tc>
          <w:tcPr>
            <w:tcW w:type="dxa" w:w="1036"/>
            <w:vAlign w:val="top"/>
          </w:tcPr>
          <w:p>
            <w:pPr>
              <w:spacing w:after="40" w:before="0" w:line="259" w:lineRule="auto"/>
            </w:pPr>
            <w:r>
              <w:rPr>
                <w:rFonts w:ascii="Calibri" w:hAnsi="Calibri"/>
                <w:b w:val="0"/>
                <w:i w:val="0"/>
                <w:color w:val="212121"/>
                <w:sz w:val="16"/>
              </w:rPr>
              <w:t>Identifies modifiable family-system drivers; guides parent-based intervention</w:t>
            </w:r>
          </w:p>
        </w:tc>
        <w:tc>
          <w:tcPr>
            <w:tcW w:type="dxa" w:w="1036"/>
            <w:vAlign w:val="top"/>
          </w:tcPr>
          <w:p>
            <w:pPr>
              <w:spacing w:after="40" w:before="0" w:line="259" w:lineRule="auto"/>
            </w:pPr>
            <w:r>
              <w:rPr>
                <w:rFonts w:ascii="Calibri" w:hAnsi="Calibri"/>
                <w:b w:val="0"/>
                <w:i w:val="0"/>
                <w:color w:val="212121"/>
                <w:sz w:val="16"/>
              </w:rPr>
              <w:t>Children and adolescents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Authoritative parenting is protective in Indian data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Musculoskeletal, hand &amp; ocular exam</w:t>
            </w:r>
          </w:p>
        </w:tc>
        <w:tc>
          <w:tcPr>
            <w:tcW w:type="dxa" w:w="979"/>
            <w:vAlign w:val="top"/>
          </w:tcPr>
          <w:p>
            <w:pPr>
              <w:spacing w:after="40" w:before="0" w:line="259" w:lineRule="auto"/>
            </w:pPr>
            <w:r>
              <w:rPr>
                <w:rFonts w:ascii="Calibri" w:hAnsi="Calibri"/>
                <w:b w:val="0"/>
                <w:i w:val="0"/>
                <w:color w:val="212121"/>
                <w:sz w:val="16"/>
              </w:rPr>
              <w:t>Neck ROM/tenderness, forward-head posture, Finkelstein test, grip pain, conjunctival injection, reduced blink</w:t>
            </w:r>
          </w:p>
        </w:tc>
        <w:tc>
          <w:tcPr>
            <w:tcW w:type="dxa" w:w="950"/>
            <w:vAlign w:val="top"/>
          </w:tcPr>
          <w:p>
            <w:pPr>
              <w:spacing w:after="40" w:before="0" w:line="259" w:lineRule="auto"/>
            </w:pPr>
            <w:r>
              <w:rPr>
                <w:rFonts w:ascii="Calibri" w:hAnsi="Calibri"/>
                <w:b w:val="0"/>
                <w:i w:val="0"/>
                <w:color w:val="212121"/>
                <w:sz w:val="16"/>
              </w:rPr>
              <w:t>Normal posture and exam</w:t>
            </w:r>
          </w:p>
        </w:tc>
        <w:tc>
          <w:tcPr>
            <w:tcW w:type="dxa" w:w="950"/>
            <w:vAlign w:val="top"/>
          </w:tcPr>
          <w:p>
            <w:pPr>
              <w:spacing w:after="40" w:before="0" w:line="259" w:lineRule="auto"/>
            </w:pPr>
            <w:r>
              <w:rPr>
                <w:rFonts w:ascii="Calibri" w:hAnsi="Calibri"/>
                <w:b w:val="0"/>
                <w:i w:val="0"/>
                <w:color w:val="212121"/>
                <w:sz w:val="16"/>
              </w:rPr>
              <w:t>Text-neck strain, de Quervain's/'texting thumb', dry red eyes</w:t>
            </w:r>
          </w:p>
        </w:tc>
        <w:tc>
          <w:tcPr>
            <w:tcW w:type="dxa" w:w="1036"/>
            <w:vAlign w:val="top"/>
          </w:tcPr>
          <w:p>
            <w:pPr>
              <w:spacing w:after="40" w:before="0" w:line="259" w:lineRule="auto"/>
            </w:pPr>
            <w:r>
              <w:rPr>
                <w:rFonts w:ascii="Calibri" w:hAnsi="Calibri"/>
                <w:b w:val="0"/>
                <w:i w:val="0"/>
                <w:color w:val="212121"/>
                <w:sz w:val="16"/>
              </w:rPr>
              <w:t>Documents somatic complications of prolonged device use</w:t>
            </w:r>
          </w:p>
        </w:tc>
        <w:tc>
          <w:tcPr>
            <w:tcW w:type="dxa" w:w="1036"/>
            <w:vAlign w:val="top"/>
          </w:tcPr>
          <w:p>
            <w:pPr>
              <w:spacing w:after="40" w:before="0" w:line="259" w:lineRule="auto"/>
            </w:pPr>
            <w:r>
              <w:rPr>
                <w:rFonts w:ascii="Calibri" w:hAnsi="Calibri"/>
                <w:b w:val="0"/>
                <w:i w:val="0"/>
                <w:color w:val="212121"/>
                <w:sz w:val="16"/>
              </w:rPr>
              <w:t>Heavy users with pain/eye symptoms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Refer physiotherapy/ophthalmology as needed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Status Examination</w:t>
            </w:r>
          </w:p>
        </w:tc>
        <w:tc>
          <w:tcPr>
            <w:tcW w:type="dxa" w:w="950"/>
            <w:vAlign w:val="top"/>
          </w:tcPr>
          <w:p>
            <w:pPr>
              <w:spacing w:after="40" w:before="0" w:line="259" w:lineRule="auto"/>
            </w:pPr>
            <w:r>
              <w:rPr>
                <w:rFonts w:ascii="Calibri" w:hAnsi="Calibri"/>
                <w:b w:val="0"/>
                <w:i w:val="0"/>
                <w:color w:val="212121"/>
                <w:sz w:val="16"/>
              </w:rPr>
              <w:t>MSE</w:t>
            </w:r>
          </w:p>
        </w:tc>
        <w:tc>
          <w:tcPr>
            <w:tcW w:type="dxa" w:w="979"/>
            <w:vAlign w:val="top"/>
          </w:tcPr>
          <w:p>
            <w:pPr>
              <w:spacing w:after="40" w:before="0" w:line="259" w:lineRule="auto"/>
            </w:pPr>
            <w:r>
              <w:rPr>
                <w:rFonts w:ascii="Calibri" w:hAnsi="Calibri"/>
                <w:b w:val="0"/>
                <w:i w:val="0"/>
                <w:color w:val="212121"/>
                <w:sz w:val="16"/>
              </w:rPr>
              <w:t>Irritability on limit-setting, craving, preoccupation, mood, insight, psychomotor restlessness when offline</w:t>
            </w:r>
          </w:p>
        </w:tc>
        <w:tc>
          <w:tcPr>
            <w:tcW w:type="dxa" w:w="950"/>
            <w:vAlign w:val="top"/>
          </w:tcPr>
          <w:p>
            <w:pPr>
              <w:spacing w:after="40" w:before="0" w:line="259" w:lineRule="auto"/>
            </w:pPr>
            <w:r>
              <w:rPr>
                <w:rFonts w:ascii="Calibri" w:hAnsi="Calibri"/>
                <w:b w:val="0"/>
                <w:i w:val="0"/>
                <w:color w:val="212121"/>
                <w:sz w:val="16"/>
              </w:rPr>
              <w:t>Settled, engaged, good insight</w:t>
            </w:r>
          </w:p>
        </w:tc>
        <w:tc>
          <w:tcPr>
            <w:tcW w:type="dxa" w:w="950"/>
            <w:vAlign w:val="top"/>
          </w:tcPr>
          <w:p>
            <w:pPr>
              <w:spacing w:after="40" w:before="0" w:line="259" w:lineRule="auto"/>
            </w:pPr>
            <w:r>
              <w:rPr>
                <w:rFonts w:ascii="Calibri" w:hAnsi="Calibri"/>
                <w:b w:val="0"/>
                <w:i w:val="0"/>
                <w:color w:val="212121"/>
                <w:sz w:val="16"/>
              </w:rPr>
              <w:t>Agitation when device removed, minimization, poor insight, low mood</w:t>
            </w:r>
          </w:p>
        </w:tc>
        <w:tc>
          <w:tcPr>
            <w:tcW w:type="dxa" w:w="1036"/>
            <w:vAlign w:val="top"/>
          </w:tcPr>
          <w:p>
            <w:pPr>
              <w:spacing w:after="40" w:before="0" w:line="259" w:lineRule="auto"/>
            </w:pPr>
            <w:r>
              <w:rPr>
                <w:rFonts w:ascii="Calibri" w:hAnsi="Calibri"/>
                <w:b w:val="0"/>
                <w:i w:val="0"/>
                <w:color w:val="212121"/>
                <w:sz w:val="16"/>
              </w:rPr>
              <w:t>Withdrawal-type reactivity and impaired insight support addiction severity grading</w:t>
            </w:r>
          </w:p>
        </w:tc>
        <w:tc>
          <w:tcPr>
            <w:tcW w:type="dxa" w:w="1036"/>
            <w:vAlign w:val="top"/>
          </w:tcPr>
          <w:p>
            <w:pPr>
              <w:spacing w:after="40" w:before="0" w:line="259" w:lineRule="auto"/>
            </w:pPr>
            <w:r>
              <w:rPr>
                <w:rFonts w:ascii="Calibri" w:hAnsi="Calibri"/>
                <w:b w:val="0"/>
                <w:i w:val="0"/>
                <w:color w:val="212121"/>
                <w:sz w:val="16"/>
              </w:rPr>
              <w:t>All confirmed cases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 adjunct</w:t>
            </w:r>
          </w:p>
        </w:tc>
        <w:tc>
          <w:tcPr>
            <w:tcW w:type="dxa" w:w="720"/>
            <w:vAlign w:val="top"/>
          </w:tcPr>
          <w:p>
            <w:pPr>
              <w:spacing w:after="40" w:before="0" w:line="259" w:lineRule="auto"/>
            </w:pPr>
            <w:r>
              <w:rPr>
                <w:rFonts w:ascii="Calibri" w:hAnsi="Calibri"/>
                <w:b w:val="0"/>
                <w:i w:val="0"/>
                <w:color w:val="212121"/>
                <w:sz w:val="16"/>
              </w:rPr>
              <w:t>Observe behaviour when phone is silenced/kept away during interview</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Preoccupation with the internet/game/phone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Thinking about previous or next sessions dominates idle time; core salience symptom.</w:t>
            </w:r>
          </w:p>
        </w:tc>
      </w:tr>
      <w:tr>
        <w:trPr>
          <w:cantSplit/>
        </w:trPr>
        <w:tc>
          <w:tcPr>
            <w:tcW w:type="dxa" w:w="2304"/>
            <w:vAlign w:val="top"/>
          </w:tcPr>
          <w:p>
            <w:pPr>
              <w:spacing w:after="40" w:before="0" w:line="259" w:lineRule="auto"/>
            </w:pPr>
            <w:r>
              <w:rPr>
                <w:rFonts w:ascii="Calibri" w:hAnsi="Calibri"/>
                <w:b/>
                <w:i w:val="0"/>
                <w:color w:val="212121"/>
                <w:sz w:val="19"/>
              </w:rPr>
              <w:t>Loss of control over duration of use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Sessions repeatedly run far beyond intention ('one more game/reel'); failed self-imposed limits.</w:t>
            </w:r>
          </w:p>
        </w:tc>
      </w:tr>
      <w:tr>
        <w:trPr>
          <w:cantSplit/>
        </w:trPr>
        <w:tc>
          <w:tcPr>
            <w:tcW w:type="dxa" w:w="2304"/>
            <w:vAlign w:val="top"/>
          </w:tcPr>
          <w:p>
            <w:pPr>
              <w:spacing w:after="40" w:before="0" w:line="259" w:lineRule="auto"/>
            </w:pPr>
            <w:r>
              <w:rPr>
                <w:rFonts w:ascii="Calibri" w:hAnsi="Calibri"/>
                <w:b/>
                <w:i w:val="0"/>
                <w:color w:val="212121"/>
                <w:sz w:val="19"/>
              </w:rPr>
              <w:t>Withdrawal-type restlessness, irritability or anxiety when offline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Distress when the device is unavailable, forgotten, out of charge or out of network (nomophobia).</w:t>
            </w:r>
          </w:p>
        </w:tc>
      </w:tr>
      <w:tr>
        <w:trPr>
          <w:cantSplit/>
        </w:trPr>
        <w:tc>
          <w:tcPr>
            <w:tcW w:type="dxa" w:w="2304"/>
            <w:vAlign w:val="top"/>
          </w:tcPr>
          <w:p>
            <w:pPr>
              <w:spacing w:after="40" w:before="0" w:line="259" w:lineRule="auto"/>
            </w:pPr>
            <w:r>
              <w:rPr>
                <w:rFonts w:ascii="Calibri" w:hAnsi="Calibri"/>
                <w:b/>
                <w:i w:val="0"/>
                <w:color w:val="212121"/>
                <w:sz w:val="19"/>
              </w:rPr>
              <w:t>Tolerance — needing more time or more stimulating content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Escalating hours, faster content, higher-stakes games to obtain the same satisfaction.</w:t>
            </w:r>
          </w:p>
        </w:tc>
      </w:tr>
      <w:tr>
        <w:trPr>
          <w:cantSplit/>
        </w:trPr>
        <w:tc>
          <w:tcPr>
            <w:tcW w:type="dxa" w:w="2304"/>
            <w:vAlign w:val="top"/>
          </w:tcPr>
          <w:p>
            <w:pPr>
              <w:spacing w:after="40" w:before="0" w:line="259" w:lineRule="auto"/>
            </w:pPr>
            <w:r>
              <w:rPr>
                <w:rFonts w:ascii="Calibri" w:hAnsi="Calibri"/>
                <w:b/>
                <w:i w:val="0"/>
                <w:color w:val="212121"/>
                <w:sz w:val="19"/>
              </w:rPr>
              <w:t>Neglect of studies, work and offline hobbies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Falling grades/appraisals, abandoned sports and hobbies; increasing priority to the behaviour (ICD-11).</w:t>
            </w:r>
          </w:p>
        </w:tc>
      </w:tr>
      <w:tr>
        <w:trPr>
          <w:cantSplit/>
        </w:trPr>
        <w:tc>
          <w:tcPr>
            <w:tcW w:type="dxa" w:w="2304"/>
            <w:vAlign w:val="top"/>
          </w:tcPr>
          <w:p>
            <w:pPr>
              <w:spacing w:after="40" w:before="0" w:line="259" w:lineRule="auto"/>
            </w:pPr>
            <w:r>
              <w:rPr>
                <w:rFonts w:ascii="Calibri" w:hAnsi="Calibri"/>
                <w:b/>
                <w:i w:val="0"/>
                <w:color w:val="212121"/>
                <w:sz w:val="19"/>
              </w:rPr>
              <w:t>Continued use despite obvious harm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Persisting despite conflicts, warnings, financial loss or health effects — third ICD-11 criterion.</w:t>
            </w:r>
          </w:p>
        </w:tc>
      </w:tr>
      <w:tr>
        <w:trPr>
          <w:cantSplit/>
        </w:trPr>
        <w:tc>
          <w:tcPr>
            <w:tcW w:type="dxa" w:w="2304"/>
            <w:vAlign w:val="top"/>
          </w:tcPr>
          <w:p>
            <w:pPr>
              <w:spacing w:after="40" w:before="0" w:line="259" w:lineRule="auto"/>
            </w:pPr>
            <w:r>
              <w:rPr>
                <w:rFonts w:ascii="Calibri" w:hAnsi="Calibri"/>
                <w:b/>
                <w:i w:val="0"/>
                <w:color w:val="212121"/>
                <w:sz w:val="19"/>
              </w:rPr>
              <w:t>Daytime fatigue and sleepiness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delayed sleep onset and curtailed sleep after night sessions; impairs concentration and memory.</w:t>
            </w:r>
          </w:p>
        </w:tc>
      </w:tr>
      <w:tr>
        <w:trPr>
          <w:cantSplit/>
        </w:trPr>
        <w:tc>
          <w:tcPr>
            <w:tcW w:type="dxa" w:w="2304"/>
            <w:vAlign w:val="top"/>
          </w:tcPr>
          <w:p>
            <w:pPr>
              <w:spacing w:after="40" w:before="0" w:line="259" w:lineRule="auto"/>
            </w:pPr>
            <w:r>
              <w:rPr>
                <w:rFonts w:ascii="Calibri" w:hAnsi="Calibri"/>
                <w:b/>
                <w:i w:val="0"/>
                <w:color w:val="212121"/>
                <w:sz w:val="19"/>
              </w:rPr>
              <w:t>Eye strain, dryness, blurred vision, 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Digital eye strain from reduced blink rate and sustained near-focus; frontal/temporal headaches.</w:t>
            </w:r>
          </w:p>
        </w:tc>
      </w:tr>
      <w:tr>
        <w:trPr>
          <w:cantSplit/>
        </w:trPr>
        <w:tc>
          <w:tcPr>
            <w:tcW w:type="dxa" w:w="2304"/>
            <w:vAlign w:val="top"/>
          </w:tcPr>
          <w:p>
            <w:pPr>
              <w:spacing w:after="40" w:before="0" w:line="259" w:lineRule="auto"/>
            </w:pPr>
            <w:r>
              <w:rPr>
                <w:rFonts w:ascii="Calibri" w:hAnsi="Calibri"/>
                <w:b/>
                <w:i w:val="0"/>
                <w:color w:val="212121"/>
                <w:sz w:val="19"/>
              </w:rPr>
              <w:t>Neck, shoulder, thumb or wrist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Text-neck and repetitive-strain symptoms after long device sessions.</w:t>
            </w:r>
          </w:p>
        </w:tc>
      </w:tr>
      <w:tr>
        <w:trPr>
          <w:cantSplit/>
        </w:trPr>
        <w:tc>
          <w:tcPr>
            <w:tcW w:type="dxa" w:w="2304"/>
            <w:vAlign w:val="top"/>
          </w:tcPr>
          <w:p>
            <w:pPr>
              <w:spacing w:after="40" w:before="0" w:line="259" w:lineRule="auto"/>
            </w:pPr>
            <w:r>
              <w:rPr>
                <w:rFonts w:ascii="Calibri" w:hAnsi="Calibri"/>
                <w:b/>
                <w:i w:val="0"/>
                <w:color w:val="212121"/>
                <w:sz w:val="19"/>
              </w:rPr>
              <w:t>Lying about or hiding the extent of use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Concealment from family/teachers; deleted histories, secret night use — marks progression.</w:t>
            </w:r>
          </w:p>
        </w:tc>
      </w:tr>
      <w:tr>
        <w:trPr>
          <w:cantSplit/>
        </w:trPr>
        <w:tc>
          <w:tcPr>
            <w:tcW w:type="dxa" w:w="2304"/>
            <w:vAlign w:val="top"/>
          </w:tcPr>
          <w:p>
            <w:pPr>
              <w:spacing w:after="40" w:before="0" w:line="259" w:lineRule="auto"/>
            </w:pPr>
            <w:r>
              <w:rPr>
                <w:rFonts w:ascii="Calibri" w:hAnsi="Calibri"/>
                <w:b/>
                <w:i w:val="0"/>
                <w:color w:val="212121"/>
                <w:sz w:val="19"/>
              </w:rPr>
              <w:t>Using screens to escape low mood or problems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Escape/avoidance coping motive; predicts persistence and comorbid depression.</w:t>
            </w:r>
          </w:p>
        </w:tc>
      </w:tr>
      <w:tr>
        <w:trPr>
          <w:cantSplit/>
        </w:trPr>
        <w:tc>
          <w:tcPr>
            <w:tcW w:type="dxa" w:w="2304"/>
            <w:vAlign w:val="top"/>
          </w:tcPr>
          <w:p>
            <w:pPr>
              <w:spacing w:after="40" w:before="0" w:line="259" w:lineRule="auto"/>
            </w:pPr>
            <w:r>
              <w:rPr>
                <w:rFonts w:ascii="Calibri" w:hAnsi="Calibri"/>
                <w:b/>
                <w:i w:val="0"/>
                <w:color w:val="212121"/>
                <w:sz w:val="19"/>
              </w:rPr>
              <w:t>Phantom vibration or ringing sensations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Perceiving alerts that did not occur — a conditioning phenomenon of heavy checking.</w:t>
            </w:r>
          </w:p>
        </w:tc>
      </w:tr>
      <w:tr>
        <w:trPr>
          <w:cantSplit/>
        </w:trPr>
        <w:tc>
          <w:tcPr>
            <w:tcW w:type="dxa" w:w="2304"/>
            <w:vAlign w:val="top"/>
          </w:tcPr>
          <w:p>
            <w:pPr>
              <w:spacing w:after="40" w:before="0" w:line="259" w:lineRule="auto"/>
            </w:pPr>
            <w:r>
              <w:rPr>
                <w:rFonts w:ascii="Calibri" w:hAnsi="Calibri"/>
                <w:b/>
                <w:i w:val="0"/>
                <w:color w:val="212121"/>
                <w:sz w:val="19"/>
              </w:rPr>
              <w:t>Large unexplained spending on games/apps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Loot boxes, in-app purchases, real-money gaming losses; may present as family financial conflict.</w:t>
            </w:r>
          </w:p>
        </w:tc>
      </w:tr>
      <w:tr>
        <w:trPr>
          <w:cantSplit/>
        </w:trPr>
        <w:tc>
          <w:tcPr>
            <w:tcW w:type="dxa" w:w="2304"/>
            <w:vAlign w:val="top"/>
          </w:tcPr>
          <w:p>
            <w:pPr>
              <w:spacing w:after="40" w:before="0" w:line="259" w:lineRule="auto"/>
            </w:pPr>
            <w:r>
              <w:rPr>
                <w:rFonts w:ascii="Calibri" w:hAnsi="Calibri"/>
                <w:b/>
                <w:i w:val="0"/>
                <w:color w:val="212121"/>
                <w:sz w:val="19"/>
              </w:rPr>
              <w:t>Seizures during gaming (photosensitive epilepsy)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Flashing-stimulus-triggered seizures in predisposed individuals during prolonged play.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Agitation or anger when the device is removed or limited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Observable withdrawal-type reactivity during consultation or reported at home on limit-setting.</w:t>
            </w:r>
          </w:p>
        </w:tc>
      </w:tr>
      <w:tr>
        <w:trPr>
          <w:cantSplit/>
        </w:trPr>
        <w:tc>
          <w:tcPr>
            <w:tcW w:type="dxa" w:w="3456"/>
            <w:vAlign w:val="top"/>
          </w:tcPr>
          <w:p>
            <w:pPr>
              <w:spacing w:after="40" w:before="0" w:line="259" w:lineRule="auto"/>
            </w:pPr>
            <w:r>
              <w:rPr>
                <w:rFonts w:ascii="Calibri" w:hAnsi="Calibri"/>
                <w:b/>
                <w:i w:val="0"/>
                <w:color w:val="212121"/>
                <w:sz w:val="19"/>
              </w:rPr>
              <w:t>Sleep-deprived appearance (dark circles, yawning, fatigue)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chronic late-night use and curtailed sleep.</w:t>
            </w:r>
          </w:p>
        </w:tc>
      </w:tr>
      <w:tr>
        <w:trPr>
          <w:cantSplit/>
        </w:trPr>
        <w:tc>
          <w:tcPr>
            <w:tcW w:type="dxa" w:w="3456"/>
            <w:vAlign w:val="top"/>
          </w:tcPr>
          <w:p>
            <w:pPr>
              <w:spacing w:after="40" w:before="0" w:line="259" w:lineRule="auto"/>
            </w:pPr>
            <w:r>
              <w:rPr>
                <w:rFonts w:ascii="Calibri" w:hAnsi="Calibri"/>
                <w:b/>
                <w:i w:val="0"/>
                <w:color w:val="212121"/>
                <w:sz w:val="19"/>
              </w:rPr>
              <w:t>Repeated phone-checking during the interview</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Compulsive checking within minutes despite instructions; poor interview engagement and attention.</w:t>
            </w:r>
          </w:p>
        </w:tc>
      </w:tr>
      <w:tr>
        <w:trPr>
          <w:cantSplit/>
        </w:trPr>
        <w:tc>
          <w:tcPr>
            <w:tcW w:type="dxa" w:w="3456"/>
            <w:vAlign w:val="top"/>
          </w:tcPr>
          <w:p>
            <w:pPr>
              <w:spacing w:after="40" w:before="0" w:line="259" w:lineRule="auto"/>
            </w:pPr>
            <w:r>
              <w:rPr>
                <w:rFonts w:ascii="Calibri" w:hAnsi="Calibri"/>
                <w:b/>
                <w:i w:val="0"/>
                <w:color w:val="212121"/>
                <w:sz w:val="19"/>
              </w:rPr>
              <w:t>Conjunctival redness, reduced blink rate, dry eyes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correlates of digital eye strain; TBUT often &lt; 10 s.</w:t>
            </w:r>
          </w:p>
        </w:tc>
      </w:tr>
      <w:tr>
        <w:trPr>
          <w:cantSplit/>
        </w:trPr>
        <w:tc>
          <w:tcPr>
            <w:tcW w:type="dxa" w:w="3456"/>
            <w:vAlign w:val="top"/>
          </w:tcPr>
          <w:p>
            <w:pPr>
              <w:spacing w:after="40" w:before="0" w:line="259" w:lineRule="auto"/>
            </w:pPr>
            <w:r>
              <w:rPr>
                <w:rFonts w:ascii="Calibri" w:hAnsi="Calibri"/>
                <w:b/>
                <w:i w:val="0"/>
                <w:color w:val="212121"/>
                <w:sz w:val="19"/>
              </w:rPr>
              <w:t>Forward-head posture with cervical paraspinal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'Text neck' — reduced neck range of motion and trapezius spasm on examination.</w:t>
            </w:r>
          </w:p>
        </w:tc>
      </w:tr>
      <w:tr>
        <w:trPr>
          <w:cantSplit/>
        </w:trPr>
        <w:tc>
          <w:tcPr>
            <w:tcW w:type="dxa" w:w="3456"/>
            <w:vAlign w:val="top"/>
          </w:tcPr>
          <w:p>
            <w:pPr>
              <w:spacing w:after="40" w:before="0" w:line="259" w:lineRule="auto"/>
            </w:pPr>
            <w:r>
              <w:rPr>
                <w:rFonts w:ascii="Calibri" w:hAnsi="Calibri"/>
                <w:b/>
                <w:i w:val="0"/>
                <w:color w:val="212121"/>
                <w:sz w:val="19"/>
              </w:rPr>
              <w:t>Academic/occupational report deterioration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Collateral evidence: falling marks, missed deadlines, absenteeism documented by school/employer.</w:t>
            </w:r>
          </w:p>
        </w:tc>
      </w:tr>
      <w:tr>
        <w:trPr>
          <w:cantSplit/>
        </w:trPr>
        <w:tc>
          <w:tcPr>
            <w:tcW w:type="dxa" w:w="3456"/>
            <w:vAlign w:val="top"/>
          </w:tcPr>
          <w:p>
            <w:pPr>
              <w:spacing w:after="40" w:before="0" w:line="259" w:lineRule="auto"/>
            </w:pPr>
            <w:r>
              <w:rPr>
                <w:rFonts w:ascii="Calibri" w:hAnsi="Calibri"/>
                <w:b/>
                <w:i w:val="0"/>
                <w:color w:val="212121"/>
                <w:sz w:val="19"/>
              </w:rPr>
              <w:t>Thumb-base tenderness with positive Finkelstein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 Quervain's tenosynovitis ('texting thumb'/'gamer's thumb') from repetitive strain.</w:t>
            </w:r>
          </w:p>
        </w:tc>
      </w:tr>
      <w:tr>
        <w:trPr>
          <w:cantSplit/>
        </w:trPr>
        <w:tc>
          <w:tcPr>
            <w:tcW w:type="dxa" w:w="3456"/>
            <w:vAlign w:val="top"/>
          </w:tcPr>
          <w:p>
            <w:pPr>
              <w:spacing w:after="40" w:before="0" w:line="259" w:lineRule="auto"/>
            </w:pPr>
            <w:r>
              <w:rPr>
                <w:rFonts w:ascii="Calibri" w:hAnsi="Calibri"/>
                <w:b/>
                <w:i w:val="0"/>
                <w:color w:val="212121"/>
                <w:sz w:val="19"/>
              </w:rPr>
              <w:t>Weight change — underweight or new central adiposity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Meal displacement causes underweight in some; sedentary snacking causes weight gain in others.</w:t>
            </w:r>
          </w:p>
        </w:tc>
      </w:tr>
      <w:tr>
        <w:trPr>
          <w:cantSplit/>
        </w:trPr>
        <w:tc>
          <w:tcPr>
            <w:tcW w:type="dxa" w:w="3456"/>
            <w:vAlign w:val="top"/>
          </w:tcPr>
          <w:p>
            <w:pPr>
              <w:spacing w:after="40" w:before="0" w:line="259" w:lineRule="auto"/>
            </w:pPr>
            <w:r>
              <w:rPr>
                <w:rFonts w:ascii="Calibri" w:hAnsi="Calibri"/>
                <w:b/>
                <w:i w:val="0"/>
                <w:color w:val="212121"/>
                <w:sz w:val="19"/>
              </w:rPr>
              <w:t>Poor grooming and self-neglect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Skipped baths, unkempt appearance in severe immersive gaming — severity marker.</w:t>
            </w:r>
          </w:p>
        </w:tc>
      </w:tr>
      <w:tr>
        <w:trPr>
          <w:cantSplit/>
        </w:trPr>
        <w:tc>
          <w:tcPr>
            <w:tcW w:type="dxa" w:w="3456"/>
            <w:vAlign w:val="top"/>
          </w:tcPr>
          <w:p>
            <w:pPr>
              <w:spacing w:after="40" w:before="0" w:line="259" w:lineRule="auto"/>
            </w:pPr>
            <w:r>
              <w:rPr>
                <w:rFonts w:ascii="Calibri" w:hAnsi="Calibri"/>
                <w:b/>
                <w:i w:val="0"/>
                <w:color w:val="212121"/>
                <w:sz w:val="19"/>
              </w:rPr>
              <w:t>Callus or blister over gaming fingers; headset marks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Physical stigmata of marathon sessions in extreme cases.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deprivation and circadian rhythm disruption (delayed sleep phase)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Academic decline, absenteeism and job underperformance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Digital eye strain (dry eye, blurred vision,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Text-neck strain and thumb/wrist repetitive-strain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Withdrawal-type distress, irritability and family conflict on limit-setting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Distracted-use accidents (mobile-use road traffic and railway-track injuries)</w:t>
            </w:r>
          </w:p>
        </w:tc>
        <w:tc>
          <w:tcPr>
            <w:tcW w:type="dxa" w:w="2980"/>
            <w:vAlign w:val="top"/>
          </w:tcPr>
          <w:p>
            <w:pPr>
              <w:spacing w:after="40" w:before="0" w:line="259" w:lineRule="auto"/>
            </w:pPr>
            <w:r>
              <w:rPr>
                <w:rFonts w:ascii="Calibri" w:hAnsi="Calibri"/>
                <w:b w:val="0"/>
                <w:i w:val="0"/>
                <w:color w:val="212121"/>
                <w:sz w:val="19"/>
              </w:rPr>
              <w:t>Direct, early consequences of excessive use and the compulsion loop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disorders and worsening ADHD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withdrawal, loneliness and cyberbullying victimization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Obesity/metabolic risk from sedentarism — or undernutrition from meal displacement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insomnia and daytime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Myopia onset/progression and chronic dry eye disease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Substance use (nicotine, alcohol, energy-drink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Financial harm from in-app purchases and real-money gaming; concealment and family breakdown</w:t>
            </w:r>
          </w:p>
        </w:tc>
        <w:tc>
          <w:tcPr>
            <w:tcW w:type="dxa" w:w="2980"/>
            <w:vAlign w:val="top"/>
          </w:tcPr>
          <w:p>
            <w:pPr>
              <w:spacing w:after="40" w:before="0" w:line="259" w:lineRule="auto"/>
            </w:pPr>
            <w:r>
              <w:rPr>
                <w:rFonts w:ascii="Calibri" w:hAnsi="Calibri"/>
                <w:b w:val="0"/>
                <w:i w:val="0"/>
                <w:color w:val="212121"/>
                <w:sz w:val="19"/>
              </w:rPr>
              <w:t>Consequences of sustained addiction acting through sleep loss, inactivity, isolation and reward dysregulation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psychiatric disorder with suicidal ideation/attempts (ideation OR ~2.95)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dropout, chronic unemployment and severe social disability (hikikomori-like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musculoskeletal pain syndromes and cervical degeneration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thromboembolism from prolonged immobility ('gamer's thrombosis' — rare case reports, occasionally fatal)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Entrenched relapsing addiction requiring residential/tertiary de-addiction care (e.g., NIMHANS SHUT clinic)</w:t>
            </w:r>
          </w:p>
        </w:tc>
        <w:tc>
          <w:tcPr>
            <w:tcW w:type="dxa" w:w="2980"/>
            <w:vAlign w:val="top"/>
          </w:tcPr>
          <w:p>
            <w:pPr>
              <w:spacing w:after="40" w:before="0" w:line="259" w:lineRule="auto"/>
            </w:pPr>
            <w:r>
              <w:rPr>
                <w:rFonts w:ascii="Calibri" w:hAnsi="Calibri"/>
                <w:b w:val="0"/>
                <w:i w:val="0"/>
                <w:color w:val="212121"/>
                <w:sz w:val="19"/>
              </w:rPr>
              <w:t>Long-standing, disabling or life-threatening outcomes of untreated severe addiction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Dysphoria drives escape into screens; addiction-related isolation, sleep loss and failure deepen depression. Problematic smartphone use carries OR 3.17 for depression; 89% of IGD studies find significant depression correlations. Treating either without the other predicts relapse.</w:t>
            </w:r>
          </w:p>
        </w:tc>
      </w:tr>
      <w:tr>
        <w:trPr>
          <w:cantSplit/>
        </w:trPr>
        <w:tc>
          <w:tcPr>
            <w:tcW w:type="dxa" w:w="2232"/>
            <w:vAlign w:val="top"/>
          </w:tcPr>
          <w:p>
            <w:pPr>
              <w:spacing w:after="40" w:before="0" w:line="259" w:lineRule="auto"/>
            </w:pPr>
            <w:r>
              <w:rPr>
                <w:rFonts w:ascii="Calibri" w:hAnsi="Calibri"/>
                <w:b/>
                <w:i w:val="0"/>
                <w:color w:val="212121"/>
                <w:sz w:val="19"/>
              </w:rPr>
              <w:t>Anxiety disorders (incl. GAD)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Anxiety odds are ~3-fold (OR 3.05) in problematic smartphone use; constant alert-checking and FOMO maintain hyperarousal, while anxiety promotes safety-seeking online retreat.</w:t>
            </w:r>
          </w:p>
        </w:tc>
      </w:tr>
      <w:tr>
        <w:trPr>
          <w:cantSplit/>
        </w:trPr>
        <w:tc>
          <w:tcPr>
            <w:tcW w:type="dxa" w:w="2232"/>
            <w:vAlign w:val="top"/>
          </w:tcPr>
          <w:p>
            <w:pPr>
              <w:spacing w:after="40" w:before="0" w:line="259" w:lineRule="auto"/>
            </w:pPr>
            <w:r>
              <w:rPr>
                <w:rFonts w:ascii="Calibri" w:hAnsi="Calibri"/>
                <w:b/>
                <w:i w:val="0"/>
                <w:color w:val="212121"/>
                <w:sz w:val="19"/>
              </w:rPr>
              <w:t>Attention-deficit/hyperactivity disorder (ADHD)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Reward-deficiency and poor inhibitory control underlie both; 85% of studies find significant IGD–ADHD correlations. Treating ADHD (e.g., stimulants/atomoxetine) measurably reduces problematic gaming in trials.</w:t>
            </w:r>
          </w:p>
        </w:tc>
      </w:tr>
      <w:tr>
        <w:trPr>
          <w:cantSplit/>
        </w:trPr>
        <w:tc>
          <w:tcPr>
            <w:tcW w:type="dxa" w:w="2232"/>
            <w:vAlign w:val="top"/>
          </w:tcPr>
          <w:p>
            <w:pPr>
              <w:spacing w:after="40" w:before="0" w:line="259" w:lineRule="auto"/>
            </w:pPr>
            <w:r>
              <w:rPr>
                <w:rFonts w:ascii="Calibri" w:hAnsi="Calibri"/>
                <w:b/>
                <w:i w:val="0"/>
                <w:color w:val="212121"/>
                <w:sz w:val="19"/>
              </w:rPr>
              <w:t>Social anxiety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Preference for online social interaction avoids feared face-to-face contact but blocks corrective exposure; 75% of studies report significant social-phobia correlations with IGD.</w:t>
            </w:r>
          </w:p>
        </w:tc>
      </w:tr>
      <w:tr>
        <w:trPr>
          <w:cantSplit/>
        </w:trPr>
        <w:tc>
          <w:tcPr>
            <w:tcW w:type="dxa" w:w="2232"/>
            <w:vAlign w:val="top"/>
          </w:tcPr>
          <w:p>
            <w:pPr>
              <w:spacing w:after="40" w:before="0" w:line="259" w:lineRule="auto"/>
            </w:pPr>
            <w:r>
              <w:rPr>
                <w:rFonts w:ascii="Calibri" w:hAnsi="Calibri"/>
                <w:b/>
                <w:i w:val="0"/>
                <w:color w:val="212121"/>
                <w:sz w:val="19"/>
              </w:rPr>
              <w:t>Insomnia &amp; circadian rhythm sleep-wake disorders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43% of heavy student users report reduced sleep; problematic use carries OR 2.60 for poor sleep quality. Sleep debt in turn increases craving and use — screen curfew is central to therapy.</w:t>
            </w:r>
          </w:p>
          <w:p>
            <w:pPr>
              <w:spacing w:after="40" w:before="0" w:line="259" w:lineRule="auto"/>
            </w:pPr>
            <w:r>
              <w:rPr>
                <w:rFonts w:ascii="Calibri" w:hAnsi="Calibri"/>
                <w:b/>
                <w:i w:val="0"/>
                <w:color w:val="212121"/>
                <w:sz w:val="19"/>
              </w:rPr>
              <w:t>Up to 43%</w:t>
            </w:r>
          </w:p>
        </w:tc>
      </w:tr>
      <w:tr>
        <w:trPr>
          <w:cantSplit/>
        </w:trPr>
        <w:tc>
          <w:tcPr>
            <w:tcW w:type="dxa" w:w="2232"/>
            <w:vAlign w:val="top"/>
          </w:tcPr>
          <w:p>
            <w:pPr>
              <w:spacing w:after="40" w:before="0" w:line="259" w:lineRule="auto"/>
            </w:pPr>
            <w:r>
              <w:rPr>
                <w:rFonts w:ascii="Calibri" w:hAnsi="Calibri"/>
                <w:b/>
                <w:i w:val="0"/>
                <w:color w:val="212121"/>
                <w:sz w:val="19"/>
              </w:rPr>
              <w:t>Obesity &amp; metabolic syndrome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Recreational screen time ≥ 2 h/day raises childhood overweight/obesity odds (OR 1.67) via sedentarism and snacking; coexisting obesity warrants activity prescription and metabolic screening in chronic heavy users.</w:t>
            </w:r>
          </w:p>
        </w:tc>
      </w:tr>
      <w:tr>
        <w:trPr>
          <w:cantSplit/>
        </w:trPr>
        <w:tc>
          <w:tcPr>
            <w:tcW w:type="dxa" w:w="2232"/>
            <w:vAlign w:val="top"/>
          </w:tcPr>
          <w:p>
            <w:pPr>
              <w:spacing w:after="40" w:before="0" w:line="259" w:lineRule="auto"/>
            </w:pPr>
            <w:r>
              <w:rPr>
                <w:rFonts w:ascii="Calibri" w:hAnsi="Calibri"/>
                <w:b/>
                <w:i w:val="0"/>
                <w:color w:val="212121"/>
                <w:sz w:val="19"/>
              </w:rPr>
              <w:t>Substance use disorders (nicotine, alcohol)</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Shared impulsivity/reward-seeking traits cluster behavioural and substance addictions; nicotine, alcohol and energy drinks are used to sustain sessions and each addiction lowers the threshold for the other.</w:t>
            </w:r>
          </w:p>
        </w:tc>
      </w:tr>
      <w:tr>
        <w:trPr>
          <w:cantSplit/>
        </w:trPr>
        <w:tc>
          <w:tcPr>
            <w:tcW w:type="dxa" w:w="2232"/>
            <w:vAlign w:val="top"/>
          </w:tcPr>
          <w:p>
            <w:pPr>
              <w:spacing w:after="40" w:before="0" w:line="259" w:lineRule="auto"/>
            </w:pPr>
            <w:r>
              <w:rPr>
                <w:rFonts w:ascii="Calibri" w:hAnsi="Calibri"/>
                <w:b/>
                <w:i w:val="0"/>
                <w:color w:val="212121"/>
                <w:sz w:val="19"/>
              </w:rPr>
              <w:t>Digital eye strain / dry eye disease &amp; myopia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Digital eye strain affected 50–60% of children during the high-exposure COVID era (pre-COVID range 5–65%); reduced blink and sustained near-work also accelerate myopia onset/progression in children.</w:t>
            </w:r>
          </w:p>
          <w:p>
            <w:pPr>
              <w:spacing w:after="40" w:before="0" w:line="259" w:lineRule="auto"/>
            </w:pPr>
            <w:r>
              <w:rPr>
                <w:rFonts w:ascii="Calibri" w:hAnsi="Calibri"/>
                <w:b/>
                <w:i w:val="0"/>
                <w:color w:val="212121"/>
                <w:sz w:val="19"/>
              </w:rPr>
              <w:t>50–60%</w:t>
            </w:r>
          </w:p>
        </w:tc>
      </w:tr>
      <w:tr>
        <w:trPr>
          <w:cantSplit/>
        </w:trPr>
        <w:tc>
          <w:tcPr>
            <w:tcW w:type="dxa" w:w="2232"/>
            <w:vAlign w:val="top"/>
          </w:tcPr>
          <w:p>
            <w:pPr>
              <w:spacing w:after="40" w:before="0" w:line="259" w:lineRule="auto"/>
            </w:pPr>
            <w:r>
              <w:rPr>
                <w:rFonts w:ascii="Calibri" w:hAnsi="Calibri"/>
                <w:b/>
                <w:i w:val="0"/>
                <w:color w:val="212121"/>
                <w:sz w:val="19"/>
              </w:rPr>
              <w:t>Musculoskeletal disorders (text neck, de Quervain's tenosynovitis)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Sustained cervical flexion and repetitive thumb use during long sessions produce neck pain, myofascial strain and 'texting thumb'; increasingly reported in paediatric ages.</w:t>
            </w:r>
          </w:p>
        </w:tc>
      </w:tr>
      <w:tr>
        <w:trPr>
          <w:cantSplit/>
        </w:trPr>
        <w:tc>
          <w:tcPr>
            <w:tcW w:type="dxa" w:w="2232"/>
            <w:vAlign w:val="top"/>
          </w:tcPr>
          <w:p>
            <w:pPr>
              <w:spacing w:after="40" w:before="0" w:line="259" w:lineRule="auto"/>
            </w:pPr>
            <w:r>
              <w:rPr>
                <w:rFonts w:ascii="Calibri" w:hAnsi="Calibri"/>
                <w:b/>
                <w:i w:val="0"/>
                <w:color w:val="212121"/>
                <w:sz w:val="19"/>
              </w:rPr>
              <w:t>Suicidality &amp; self-harm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Internet addiction carries significantly higher odds of suicidal ideation (OR 2.95), planning (OR 3.17) and attempts (OR 2.81), independent of depression after adjustment — mandates routine risk assessment in every confirmed case.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age-based screen norms: no screen time under 1 year, ≤ 1 hour supervised for ages 2–4 (WHO), ≤ 2 hours recreational for school-age children, with content co-viewed by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digital literacy in schools and homes — how persuasive design (infinite scroll, autoplay, streaks, loot boxes) manipulates attention, and how to disable non-essential notifications.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family media rules early: device-free meals, no screens in bedrooms, phone 'parking' spot at night, and a written family media plan reviewed each term.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Recognize early warning signs — rising hours, night use, irritability on limits, falling grades, abandoned hobbies, secret use — and seek help early (school counsellor, psychiatrist, or NIMHANS SHUT-clinic-type digital de-addiction services and the NIMHANS digital-detox helpline).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should model balanced use — parental heavy phone use and permissive or harsh-authoritarian styles increase child risk, while warm authoritative mediation is protective.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 first personal smartphone ownership where feasible; prefer shared family devices with supervised accounts through early adolescence.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teachers and counsellors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college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First-generation rural internet users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Psychoeducate the patient and family that this is a treatable behavioural addiction with a reward-circuit basis — not a moral failing; frame goals as controlled, purposeful use rather than total abstinence from technology.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Agree a written usage contract: objective app-timer limits, scheduled use windows, uninstalling the most problematic app/game, and grey-scale display to reduce salience.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self-monitoring: daily screen-time dashboard review and a craving/trigger diary to identify high-risk situations (boredom, exams, late night, arguments).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relapse prevention explicitly — anticipate triggers (new game releases, holidays, stress), rehearse refusal and distraction strategies, schedule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schools/colleges for graded reintegration where academic failure or absenteeism has occurred.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affected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cases attending de-addiction services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 60 min/day of moderate-to-vigorous activity for children/adolescents and ≥ 150 min/week for adults — outdoor play and sport directly displace screen hours.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daily outdoor time (evening park play, cycling, yoga) — outdoor light also protects against myopia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sitting: stand or walk 5 minutes every 30–60 minutes of screen work; use activity trackers or step goals (8,000–10,000 steps/day).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Enroll children in structured offline activities (sports teams, NCC/scouts, music, arts) so leisure identity is not built solely online.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students and IT professionals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planning family routines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Prescribe structured exercise as adjunct treatment — RCT network meta-analysis shows light, moderate and vigorous exercise all reduce internet-addiction severity, with moderate intensity additionally improving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with enjoyable, social, scheduled sessions (badminton, football, gym with a friend, group yoga) 3–5 days/week for 30–60 minutes to rebuild offline reward.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Time exercise in previous peak-use slots (evening/night) to break the habit loop.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physiotherapy-guided neck/scapular strengthening and stretching where text-neck pain exists.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treatment for internet/gaming/smartphone addiction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 or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Text-neck / musculoskeletal pain cases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all meals device-free at a table with family — screen-side eating promotes both overeating of snacks and skipped proper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energy-dense junk snacking and sugar-sweetened beverages during screen sessions; keep fruit/nuts as the accessible snack.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meal timing (3 main meals) even during exams or gaming events; do not let sessions replace breakfast or dinner.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app-based fast-food delivery frequency (set a weekly cap); monitor weight in heavy users for both gain and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energy drinks entirely in under-18s; hydrate with water during long study/screen periods.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hostel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Gamers and binge-streamers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school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Enforce a digital curfew: all screens off ≥ 60 minutes before bedtime; charge phones outside the bedroom and use an ordinary alarm clock.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sleep-wake times targeting 8–10 h (teens) / 7–9 h (adults); avoid weekend phase delays after Friday-night sessions.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Enable automatic night mode/Do-Not-Disturb from dinner to morning; disable auto-play and notification sounds at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Educate that pre-sleep scrolling delays melatonin and doubles the odds of poor sleep — and that sleep debt drives next-day craving.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adolescents and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Night-shift and 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setting household rules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established insomnia with CBT-I (stimulus control, sleep restriction, cognitive work) alongside the addiction programme — sleep recovery reduces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Reset delayed sleep phase gradually (15–30 min earlier every few days) with fixed morning light exposure and outdoor morning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and stop evening caffeine/energy drinks that are propping up night sessions.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comorbid conditions maintaining night use (depression, anxiety, ADHD).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addiction plus insomnia/delayed sleep phase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 gamers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mood disorder cases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every problematic user (especially adolescent/young-adult males) for nicotine use — the two addictions cluster through shared impulsivity.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cigarettes/vapes as session-sustainers or 'break markers' during long screen periods; substitute walk-breaks.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cessation support (behavioural counselling ± NRT) integrated into the digital de-addiction plan rather than separately.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Educate that nicotine's arousal effect worsens screen-related insomnia, feeding both addictions.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and young-adult male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College hostellers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substance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hazardous drinking (AUDIT-C) in young adults with problematic use — escape-motivated coping underlies both.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late-night gaming/streaming sessions; it deepens disinhibition, in-app overspending and sleep disruption.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common driver — stress and low mood — with healthier coping (exercise, social contact, counselling) rather than either escape behaviour.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co-occurring alcohol use disorder concurrently; treating one addiction alone predicts relapse of the other.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 heavy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Real-money gamers/online bettors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mood disorder cases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Cognitive-behavioural therapy is first-line — meta-analysis shows high efficacy for reducing IGD symptoms, anxiety and depression; add motivational interviewing for ambivalent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the family: parent-management training and family therapy improve outcomes in adolescents; align school and home limit-setting.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comorbidities actively — ADHD, depression and anxiety; pharmacotherapy evidence (bupropion, SSRIs like escitalopram, and opioid-receptor antagonists) is preliminary but supports use in comorbid or refractory cases under specialist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Assess suicide risk at every visit (ideation odds ~3-fold) and safety-plan where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severe/refractory cases to specialized services — e.g., NIMHANS SHUT clinic (Service for Healthy Use of Technology), Bengaluru, and district psychiatry/de-addiction units; structured digital-detox camps and residential care for extreme withdrawal-with-collapse of functioning.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Rebuild offline reward and identity: graded re-engagement with sports, friendships, hobbies and vocational goals is the durable endpoint of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family conflict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ADHD/depression/anxiety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or relapsing cases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4336980/" TargetMode="External"/><Relationship Id="rId10" Type="http://schemas.openxmlformats.org/officeDocument/2006/relationships/hyperlink" Target="https://pubmed.ncbi.nlm.nih.gov/34504996/" TargetMode="External"/><Relationship Id="rId11" Type="http://schemas.openxmlformats.org/officeDocument/2006/relationships/hyperlink" Target="https://pmc.ncbi.nlm.nih.gov/articles/PMC11558713/" TargetMode="External"/><Relationship Id="rId12" Type="http://schemas.openxmlformats.org/officeDocument/2006/relationships/hyperlink" Target="https://pubmed.ncbi.nlm.nih.gov/33028074/" TargetMode="External"/><Relationship Id="rId13" Type="http://schemas.openxmlformats.org/officeDocument/2006/relationships/hyperlink" Target="https://pmc.ncbi.nlm.nih.gov/articles/PMC5006854/" TargetMode="External"/><Relationship Id="rId14" Type="http://schemas.openxmlformats.org/officeDocument/2006/relationships/hyperlink" Target="https://bmcpublichealth.biomedcentral.com/articles/10.1186/s12889-024-19991-9" TargetMode="External"/><Relationship Id="rId15" Type="http://schemas.openxmlformats.org/officeDocument/2006/relationships/hyperlink" Target="https://pmc.ncbi.nlm.nih.gov/articles/PMC12468831/" TargetMode="External"/><Relationship Id="rId16" Type="http://schemas.openxmlformats.org/officeDocument/2006/relationships/hyperlink" Target="https://ddnews.gov.in/en/internet-users-to-surpass-900-million-in-india-this-year-ai-a-game-changer/" TargetMode="External"/><Relationship Id="rId17" Type="http://schemas.openxmlformats.org/officeDocument/2006/relationships/hyperlink" Target="https://pubmed.ncbi.nlm.nih.gov/35615691/" TargetMode="External"/><Relationship Id="rId18" Type="http://schemas.openxmlformats.org/officeDocument/2006/relationships/hyperlink" Target="https://pubmed.ncbi.nlm.nih.gov/27279515/" TargetMode="External"/><Relationship Id="rId19" Type="http://schemas.openxmlformats.org/officeDocument/2006/relationships/hyperlink" Target="https://pmc.ncbi.nlm.nih.gov/articles/PMC5923710/" TargetMode="External"/><Relationship Id="rId20" Type="http://schemas.openxmlformats.org/officeDocument/2006/relationships/hyperlink" Target="https://pmc.ncbi.nlm.nih.gov/articles/PMC11198534/" TargetMode="External"/><Relationship Id="rId21" Type="http://schemas.openxmlformats.org/officeDocument/2006/relationships/hyperlink" Target="https://pmc.ncbi.nlm.nih.gov/articles/PMC6883663/" TargetMode="External"/><Relationship Id="rId22" Type="http://schemas.openxmlformats.org/officeDocument/2006/relationships/hyperlink" Target="https://pubmed.ncbi.nlm.nih.gov/42409604/" TargetMode="External"/><Relationship Id="rId23" Type="http://schemas.openxmlformats.org/officeDocument/2006/relationships/hyperlink" Target="https://www.who.int/news/item/24-04-2019-to-grow-up-healthy-children-need-to-sit-less-and-play-more" TargetMode="External"/><Relationship Id="rId24" Type="http://schemas.openxmlformats.org/officeDocument/2006/relationships/hyperlink" Target="https://pmc.ncbi.nlm.nih.gov/articles/PMC79147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