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Acne Vulgaris</w:t>
      </w:r>
    </w:p>
    <w:p>
      <w:pPr>
        <w:spacing w:before="0" w:after="160"/>
      </w:pPr>
      <w:r>
        <w:rPr>
          <w:rFonts w:ascii="Calibri" w:hAnsi="Calibri"/>
          <w:b/>
          <w:i w:val="0"/>
          <w:color w:val="212121"/>
          <w:sz w:val="22"/>
        </w:rPr>
        <w:t xml:space="preserve">AKA </w:t>
      </w:r>
      <w:r>
        <w:rPr>
          <w:rFonts w:ascii="Calibri" w:hAnsi="Calibri"/>
          <w:b w:val="0"/>
          <w:i w:val="0"/>
          <w:color w:val="212121"/>
          <w:sz w:val="22"/>
        </w:rPr>
        <w:t>i.e., Acne, Pimples, Zits, Hormonal acne, Comedonal acne, Adult acne, Whiteheads and blackheads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Acne vulgaris is a chronic inflammatory disorder of the pilosebaceous unit (the hair follicle and its oil-producing sebaceous gland) driven by four interacting factors: increased and altered sebum production, abnormal follicular keratinisation, colonisation by Cutibacterium acnes (formerly Propionibacterium acnes), and perifollicular inflammation. It produces non-inflammatory comedones (blackheads and whiteheads) and inflammatory papules, pustules, and in severe disease nodules and cysts, distributed over the sebaceous-rich face, chest and back. Onset is usually around puberty under the influence of rising androgens. Because most Indians have Fitzpatrick skin phototypes IV-VI, acne here frequently heals with prominent, long-lasting post-inflammatory hyperpigmentation and scarring, which are often more distressing to patients than the active lesions.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Acne is among the commonest skin complaints in India and the single most frequent reason young people consult dermatologists and cosmetic clinics; it is also one of the highest-volume consumer skin-care search concerns. Community estimates put the overall burden at roughly 13% of the population, rising to more than half of adolescents during the peak pubertal years. In a large Indian multicentre study of 6,409 acne patients, 72% were adolescents and the mean age was about 24.6 years, while a hospital-based South Indian series recorded a mean age of onset of about 16 years. Globally, the age-standardised prevalence in those aged 10-24 rose to about 9,790 per 100,000 (roughly 1 in 10) by 2021 and is about 25% higher in young women than young men. Across Indian skin of colour, active acne is commonly accompanied by post-inflammatory hyperpigmentation (about 25-35% of patients) and scarring (about 29-40%).</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Acne vulgaris is a clinical diagnosis based on the characteristic lesions and their seborrhoeic distribution; investigations are reserved for atypical, treatment-resistant or hyperandrogenic presentations. Diagnosis and severity grading rest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Presence of comedones - open comedones (blackheads) and closed comedones (whiteheads) - which are the pathognomonic non-inflammatory lesion and distinguish acne from acneiform eruptions such as rosacea, folliculitis or drug eruptions that lack comedones.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Inflammatory lesions - erythematous papules and pustules, and in severe disease nodules and cysts - counted and typed; a widely used clinical scheme grades acne as Grade 1 (comedonal), Grade 2 (papular), Grade 3 (pustular/nodular) and Grade 4 (nodulocystic/conglobate).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typical seborrhoeic distribution over the face (forehead, cheeks, nose and chin) and frequently the chest, upper back and shoulders.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Overall severity categorised as mild, moderate or severe based on lesion counts, extent, and the presence of nodules, cysts and scarring; validated tools include the Investigator Global Assessment (IGA) and the Global Acne Grading System (GAGS).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Assessment for post-inflammatory hyperpigmentation and for scarring (atrophic ice-pick, boxcar and rolling scars, or hypertrophic/keloidal scars), which strongly influences management, especially in skin of colour.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Screening for hyperandrogenism in women (menstrual irregularity, hirsutism, androgenetic alopecia); laboratory androgen testing (total and free testosterone, DHEAS, LH/FSH) and pelvic ultrasound are indicated when these features are present or when acne is sudden, severe, virilising or treatment-resistant, to identify PCOS or other endocrine drivers.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Acne vulgaris is classified by predominant lesion type and severity, and by clinical subtype defined by age, sex and precipitating factors:</w:t>
      </w:r>
    </w:p>
    <w:p>
      <w:pPr>
        <w:spacing w:before="0" w:after="80"/>
      </w:pPr>
      <w:r>
        <w:rPr>
          <w:rFonts w:ascii="Calibri" w:hAnsi="Calibri"/>
          <w:b w:val="0"/>
          <w:i w:val="0"/>
          <w:color w:val="212121"/>
          <w:sz w:val="21"/>
        </w:rPr>
        <w:t>(1) By lesion type and severity: comedonal acne (non-inflammatory blackheads and whiteheads only); papulopustular acne (inflammatory papules and pustules, mild to moderate); nodulocystic or severe acne (deep, painful nodules and cysts with high scarring risk); and the rare, severe systemic forms acne conglobata and acne fulminans.</w:t>
      </w:r>
    </w:p>
    <w:p>
      <w:pPr>
        <w:spacing w:before="0" w:after="80"/>
      </w:pPr>
      <w:r>
        <w:rPr>
          <w:rFonts w:ascii="Calibri" w:hAnsi="Calibri"/>
          <w:b w:val="0"/>
          <w:i w:val="0"/>
          <w:color w:val="212121"/>
          <w:sz w:val="21"/>
        </w:rPr>
        <w:t>(2) Adolescent acne: the classic pubertal form driven by the androgen surge, usually starting on the central forehead, nose and chin (the T-zone) with prominent comedones; boys tend to develop more severe nodulocystic disease, whereas girls tend to develop acne earlier.</w:t>
      </w:r>
    </w:p>
    <w:p>
      <w:pPr>
        <w:spacing w:before="0" w:after="80"/>
      </w:pPr>
      <w:r>
        <w:rPr>
          <w:rFonts w:ascii="Calibri" w:hAnsi="Calibri"/>
          <w:b w:val="0"/>
          <w:i w:val="0"/>
          <w:color w:val="212121"/>
          <w:sz w:val="21"/>
        </w:rPr>
        <w:t>(3) Adult acne (persistent or late-onset), most often in women over 25 years: characteristically inflammatory papules and nodules concentrated on the lower third of the face, jawline and chin (the U-zone), with premenstrual flares, and frequently linked to hyperandrogenism, polycystic ovary syndrome or cosmetic use.</w:t>
      </w:r>
    </w:p>
    <w:p>
      <w:pPr>
        <w:spacing w:before="0" w:after="80"/>
      </w:pPr>
      <w:r>
        <w:rPr>
          <w:rFonts w:ascii="Calibri" w:hAnsi="Calibri"/>
          <w:b w:val="0"/>
          <w:i w:val="0"/>
          <w:color w:val="212121"/>
          <w:sz w:val="21"/>
        </w:rPr>
        <w:t>(4) Special and secondary variants: acne related to PCOS and other endocrinopathies; cosmetic acne (acne cosmetica) and pomade acne from comedogenic skin and hair products; drug-induced acne (corticosteroids, anabolic steroids, some progestins, lithium, certain anticonvulsants); mechanical acne (acne mechanica) from friction and occlusion such as helmets, straps and prolonged mask wear (maskne); and neonatal or infantile acne.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Androgen-driven sebum production: Rising androgens at puberty, and hyperandrogenism in adults, enlarge sebaceous glands and increase sebum output - the central initiating event - which is why acne begins around puberty and flares with hormonal shifts.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Follicular hyperkeratinisation: Abnormal shedding and increased stickiness of the keratinocytes lining the follicle plug the duct, forming the microcomedo that is the precursor of every acne lesion.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Cutibacterium acnes proliferation: This lipophilic commensal proliferates in the sebum-rich, blocked follicle, activating innate immunity (Toll-like receptor 2), releasing inflammatory mediators and forming biofilm; specific phylotypes are linked to disease.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Inflammation: Perifollicular inflammation is present from the earliest stage, even before visible lesions, and drives papules, pustules and nodules and, on resolution, pigmentation and scarring.</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Genetic predisposition: Acne clusters strongly in families, and a positive family history predicts earlier onset, greater severity, more truncal involvement and higher scarring risk.</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Diet and metabolic factors: High-glycaemic-load foods and dairy raise insulin and insulin-like growth factor-1 (IGF-1), which amplify androgen signalling and sebum production; insulin resistance, as in PCOS and obesity, is a key metabolic link.</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External and mechanical factors: Comedogenic cosmetics, hair oils and pomades, occlusion and friction, a hot humid climate with sweating, and certain drugs precipitate or aggravate acne.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Adolescents</w:t>
            </w:r>
          </w:p>
        </w:tc>
        <w:tc>
          <w:tcPr>
            <w:tcW w:type="dxa" w:w="4276"/>
            <w:vAlign w:val="top"/>
          </w:tcPr>
          <w:p>
            <w:pPr>
              <w:spacing w:after="60" w:line="259" w:lineRule="auto"/>
            </w:pPr>
            <w:r>
              <w:rPr>
                <w:rFonts w:ascii="Calibri" w:hAnsi="Calibri"/>
                <w:b w:val="0"/>
                <w:i w:val="0"/>
                <w:color w:val="212121"/>
                <w:sz w:val="19"/>
              </w:rPr>
              <w:t>The pubertal androgen surge enlarges sebaceous glands and drives comedone formation, so acne peaks during the teenage years and is the commonest skin problem in this age group. Early comedonal disease clusters in the central T-zone.</w:t>
            </w:r>
          </w:p>
          <w:p>
            <w:pPr>
              <w:spacing w:after="40" w:before="60" w:line="259" w:lineRule="auto"/>
            </w:pPr>
            <w:r>
              <w:rPr>
                <w:rFonts w:ascii="Calibri" w:hAnsi="Calibri"/>
                <w:b w:val="0"/>
                <w:i w:val="0"/>
                <w:color w:val="212121"/>
                <w:sz w:val="19"/>
              </w:rPr>
              <w:t>In a large Indian multicentre study of 6,409 acne patients, 72% were adolescents; globally the age-standardised prevalence peaks at ages 15-19.</w:t>
            </w:r>
          </w:p>
          <w:p>
            <w:pPr>
              <w:spacing w:after="40" w:line="252" w:lineRule="auto"/>
            </w:pPr>
            <w:hyperlink r:id="rId9">
              <w:r>
                <w:rPr>
                  <w:rFonts w:ascii="Calibri" w:hAnsi="Calibri" w:cs="Calibri"/>
                  <w:sz w:val="18"/>
                  <w:color w:val="1155CC"/>
                  <w:u w:val="single"/>
                </w:rPr>
                <w:t xml:space="preserve">ijced.org - acne in Indian population, epidemiological study</w:t>
              </w:r>
            </w:hyperlink>
          </w:p>
          <w:p>
            <w:pPr>
              <w:spacing w:before="60" w:after="40"/>
            </w:pPr>
            <w:r>
              <w:rPr>
                <w:rFonts w:ascii="Calibri" w:hAnsi="Calibri"/>
                <w:b w:val="0"/>
                <w:i w:val="0"/>
                <w:color w:val="5A5A5A"/>
                <w:sz w:val="18"/>
              </w:rPr>
              <w:t>#adolescentacne  #puberty  #androgens  #sebum  #comedones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Adults (persistent / late-onset)</w:t>
            </w:r>
          </w:p>
        </w:tc>
        <w:tc>
          <w:tcPr>
            <w:tcW w:type="dxa" w:w="4276"/>
            <w:vAlign w:val="top"/>
          </w:tcPr>
          <w:p>
            <w:pPr>
              <w:spacing w:after="60" w:line="259" w:lineRule="auto"/>
            </w:pPr>
            <w:r>
              <w:rPr>
                <w:rFonts w:ascii="Calibri" w:hAnsi="Calibri"/>
                <w:b w:val="0"/>
                <w:i w:val="0"/>
                <w:color w:val="212121"/>
                <w:sz w:val="19"/>
              </w:rPr>
              <w:t>Acne increasingly persists into, or begins in, adulthood, particularly in women; adult acne is typically inflammatory and concentrated on the lower face and jawline, and is often hormonally driven or aggravated by cosmetics.</w:t>
            </w:r>
          </w:p>
          <w:p>
            <w:pPr>
              <w:spacing w:after="40" w:before="60" w:line="259" w:lineRule="auto"/>
            </w:pPr>
            <w:r>
              <w:rPr>
                <w:rFonts w:ascii="Calibri" w:hAnsi="Calibri"/>
                <w:b w:val="0"/>
                <w:i w:val="0"/>
                <w:color w:val="212121"/>
                <w:sz w:val="19"/>
              </w:rPr>
              <w:t>In the Indian multicentre study 27% of acne patients were adults, with an overall mean age of about 24.6 years, confirming that acne is no longer only a teenage disease.</w:t>
            </w:r>
          </w:p>
          <w:p>
            <w:pPr>
              <w:spacing w:after="40" w:line="252" w:lineRule="auto"/>
            </w:pPr>
            <w:hyperlink r:id="rId9">
              <w:r>
                <w:rPr>
                  <w:rFonts w:ascii="Calibri" w:hAnsi="Calibri" w:cs="Calibri"/>
                  <w:sz w:val="18"/>
                  <w:color w:val="1155CC"/>
                  <w:u w:val="single"/>
                </w:rPr>
                <w:t xml:space="preserve">ijced.org - acne in Indian population, epidemiological study</w:t>
              </w:r>
            </w:hyperlink>
          </w:p>
          <w:p>
            <w:pPr>
              <w:spacing w:before="60" w:after="40"/>
            </w:pPr>
            <w:r>
              <w:rPr>
                <w:rFonts w:ascii="Calibri" w:hAnsi="Calibri"/>
                <w:b w:val="0"/>
                <w:i w:val="0"/>
                <w:color w:val="5A5A5A"/>
                <w:sz w:val="18"/>
              </w:rPr>
              <w:t>#adultacne  #persistentacne  #jawline  #hormonalacne  #Uzone</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(adolescent)</w:t>
            </w:r>
          </w:p>
        </w:tc>
        <w:tc>
          <w:tcPr>
            <w:tcW w:type="dxa" w:w="4276"/>
            <w:vAlign w:val="top"/>
          </w:tcPr>
          <w:p>
            <w:pPr>
              <w:spacing w:after="60" w:line="259" w:lineRule="auto"/>
            </w:pPr>
            <w:r>
              <w:rPr>
                <w:rFonts w:ascii="Calibri" w:hAnsi="Calibri"/>
                <w:b w:val="0"/>
                <w:i w:val="0"/>
                <w:color w:val="212121"/>
                <w:sz w:val="19"/>
              </w:rPr>
              <w:t>Higher androgen levels in adolescent boys drive greater sebum production and more severe, nodulocystic disease with higher scarring and truncal involvement, although girls tend to develop acne earlier.</w:t>
            </w:r>
          </w:p>
          <w:p>
            <w:pPr>
              <w:spacing w:after="40" w:before="60" w:line="259" w:lineRule="auto"/>
            </w:pPr>
            <w:r>
              <w:rPr>
                <w:rFonts w:ascii="Calibri" w:hAnsi="Calibri"/>
                <w:b w:val="0"/>
                <w:i w:val="0"/>
                <w:color w:val="212121"/>
                <w:sz w:val="19"/>
              </w:rPr>
              <w:t>In a South Indian hospital series the male-to-female ratio was 1.25:1 and severe Grade 4 nodulocystic acne (about 10% of patients) was commoner in males.</w:t>
            </w:r>
          </w:p>
          <w:p>
            <w:pPr>
              <w:spacing w:after="40" w:line="252" w:lineRule="auto"/>
            </w:pPr>
            <w:hyperlink r:id="rId10">
              <w:r>
                <w:rPr>
                  <w:rFonts w:ascii="Calibri" w:hAnsi="Calibri" w:cs="Calibri"/>
                  <w:sz w:val="18"/>
                  <w:color w:val="1155CC"/>
                  <w:u w:val="single"/>
                </w:rPr>
                <w:t xml:space="preserve">ijdvl.com - profile of acne vulgaris, South India</w:t>
              </w:r>
            </w:hyperlink>
          </w:p>
          <w:p>
            <w:pPr>
              <w:spacing w:before="60" w:after="40"/>
            </w:pPr>
            <w:r>
              <w:rPr>
                <w:rFonts w:ascii="Calibri" w:hAnsi="Calibri"/>
                <w:b w:val="0"/>
                <w:i w:val="0"/>
                <w:color w:val="5A5A5A"/>
                <w:sz w:val="18"/>
              </w:rPr>
              <w:t>#maleacne  #nodulocystic  #severity  #scarring  #truncalacne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Female (adult / hormonal)</w:t>
            </w:r>
          </w:p>
        </w:tc>
        <w:tc>
          <w:tcPr>
            <w:tcW w:type="dxa" w:w="4276"/>
            <w:vAlign w:val="top"/>
          </w:tcPr>
          <w:p>
            <w:pPr>
              <w:spacing w:after="60" w:line="259" w:lineRule="auto"/>
            </w:pPr>
            <w:r>
              <w:rPr>
                <w:rFonts w:ascii="Calibri" w:hAnsi="Calibri"/>
                <w:b w:val="0"/>
                <w:i w:val="0"/>
                <w:color w:val="212121"/>
                <w:sz w:val="19"/>
              </w:rPr>
              <w:t>In adults women predominate; a fluctuating oestrogen-to-androgen balance, premenstrual flares and underlying hyperandrogenism (often PCOS) drive inflammatory acne on the jawline and chin. Adult female acne is frequently persistent and treatment-resistant.</w:t>
            </w:r>
          </w:p>
          <w:p>
            <w:pPr>
              <w:spacing w:after="40" w:before="60" w:line="259" w:lineRule="auto"/>
            </w:pPr>
            <w:r>
              <w:rPr>
                <w:rFonts w:ascii="Calibri" w:hAnsi="Calibri"/>
                <w:b w:val="0"/>
                <w:i w:val="0"/>
                <w:color w:val="212121"/>
                <w:sz w:val="19"/>
              </w:rPr>
              <w:t>Globally the age-standardised acne prevalence is about 25% higher in young women than young men (10,911.8 vs 8,727.8 per 100,000 in 2021), and premenstrual flares affect roughly 58% of female acne patients.</w:t>
            </w:r>
          </w:p>
          <w:p>
            <w:pPr>
              <w:spacing w:after="40" w:line="252" w:lineRule="auto"/>
            </w:pPr>
            <w:hyperlink r:id="rId11">
              <w:r>
                <w:rPr>
                  <w:rFonts w:ascii="Calibri" w:hAnsi="Calibri" w:cs="Calibri"/>
                  <w:sz w:val="18"/>
                  <w:color w:val="1155CC"/>
                  <w:u w:val="single"/>
                </w:rPr>
                <w:t xml:space="preserve">academic.oup.com (BJD) - global burden of acne 10-24 years</w:t>
              </w:r>
            </w:hyperlink>
          </w:p>
          <w:p>
            <w:pPr>
              <w:spacing w:before="60" w:after="40"/>
            </w:pPr>
            <w:r>
              <w:rPr>
                <w:rFonts w:ascii="Calibri" w:hAnsi="Calibri"/>
                <w:b w:val="0"/>
                <w:i w:val="0"/>
                <w:color w:val="5A5A5A"/>
                <w:sz w:val="18"/>
              </w:rPr>
              <w:t>#adultfemaleacne  #premenstrual  #hormonalacne  #jawline  #womenshealth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Urban, image-conscious consumers</w:t>
            </w:r>
          </w:p>
        </w:tc>
        <w:tc>
          <w:tcPr>
            <w:tcW w:type="dxa" w:w="4276"/>
            <w:vAlign w:val="top"/>
          </w:tcPr>
          <w:p>
            <w:pPr>
              <w:spacing w:after="60" w:line="259" w:lineRule="auto"/>
            </w:pPr>
            <w:r>
              <w:rPr>
                <w:rFonts w:ascii="Calibri" w:hAnsi="Calibri"/>
                <w:b w:val="0"/>
                <w:i w:val="0"/>
                <w:color w:val="212121"/>
                <w:sz w:val="19"/>
              </w:rPr>
              <w:t>Urban, higher-income lifestyles bring Western-pattern high-glycaemic and dairy-rich diets, heavy cosmetic and hair-product use, and greater access to cosmetic clinics; acne is a top consumer dermatology concern in this group and a major driver of skin-care spending.</w:t>
            </w:r>
          </w:p>
          <w:p>
            <w:pPr>
              <w:spacing w:after="40" w:before="60" w:line="259" w:lineRule="auto"/>
            </w:pPr>
            <w:r>
              <w:rPr>
                <w:rFonts w:ascii="Calibri" w:hAnsi="Calibri"/>
                <w:b w:val="0"/>
                <w:i w:val="0"/>
                <w:color w:val="212121"/>
                <w:sz w:val="19"/>
              </w:rPr>
              <w:t>In the Indian multicentre study 35% of patients reported aggravation of acne after cosmetic use and 49% consumed a high-glycaemic diet (junk foods 34%, chocolates 32%, soft drinks 30%).</w:t>
            </w:r>
          </w:p>
          <w:p>
            <w:pPr>
              <w:spacing w:after="40" w:line="252" w:lineRule="auto"/>
            </w:pPr>
            <w:hyperlink r:id="rId9">
              <w:r>
                <w:rPr>
                  <w:rFonts w:ascii="Calibri" w:hAnsi="Calibri" w:cs="Calibri"/>
                  <w:sz w:val="18"/>
                  <w:color w:val="1155CC"/>
                  <w:u w:val="single"/>
                </w:rPr>
                <w:t xml:space="preserve">ijced.org - acne in Indian population, epidemiological study</w:t>
              </w:r>
            </w:hyperlink>
          </w:p>
          <w:p>
            <w:pPr>
              <w:spacing w:before="60" w:after="40"/>
            </w:pPr>
            <w:r>
              <w:rPr>
                <w:rFonts w:ascii="Calibri" w:hAnsi="Calibri"/>
                <w:b w:val="0"/>
                <w:i w:val="0"/>
                <w:color w:val="5A5A5A"/>
                <w:sz w:val="18"/>
              </w:rPr>
              <w:t>#urban  #cosmetics  #westerndiet  #consumerderm  #skincare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Indian skin of colour (Fitzpatrick IV-VI)</w:t>
            </w:r>
          </w:p>
        </w:tc>
        <w:tc>
          <w:tcPr>
            <w:tcW w:type="dxa" w:w="4276"/>
            <w:vAlign w:val="top"/>
          </w:tcPr>
          <w:p>
            <w:pPr>
              <w:spacing w:after="60" w:line="259" w:lineRule="auto"/>
            </w:pPr>
            <w:r>
              <w:rPr>
                <w:rFonts w:ascii="Calibri" w:hAnsi="Calibri"/>
                <w:b w:val="0"/>
                <w:i w:val="0"/>
                <w:color w:val="212121"/>
                <w:sz w:val="19"/>
              </w:rPr>
              <w:t>In darker phototypes, acne inflammation readily triggers excess melanin, so lesions heal with prominent, long-lasting post-inflammatory hyperpigmentation and a high scarring tendency; the pigmentary marks are frequently more distressing than the active acne itself.</w:t>
            </w:r>
          </w:p>
          <w:p>
            <w:pPr>
              <w:spacing w:after="40" w:before="60" w:line="259" w:lineRule="auto"/>
            </w:pPr>
            <w:r>
              <w:rPr>
                <w:rFonts w:ascii="Calibri" w:hAnsi="Calibri"/>
                <w:b w:val="0"/>
                <w:i w:val="0"/>
                <w:color w:val="212121"/>
                <w:sz w:val="19"/>
              </w:rPr>
              <w:t>Post-acne hyperpigmentation affected about 24.6% and post-acne scarring about 39.5% of patients in a South Indian series; across Asian patients PIH is often rated more bothersome than the acne lesions.</w:t>
            </w:r>
          </w:p>
          <w:p>
            <w:pPr>
              <w:spacing w:after="40" w:line="252" w:lineRule="auto"/>
            </w:pPr>
            <w:hyperlink r:id="rId10">
              <w:r>
                <w:rPr>
                  <w:rFonts w:ascii="Calibri" w:hAnsi="Calibri" w:cs="Calibri"/>
                  <w:sz w:val="18"/>
                  <w:color w:val="1155CC"/>
                  <w:u w:val="single"/>
                </w:rPr>
                <w:t xml:space="preserve">ijdvl.com - profile of acne vulgaris, South India</w:t>
              </w:r>
            </w:hyperlink>
          </w:p>
          <w:p>
            <w:pPr>
              <w:spacing w:before="60" w:after="40"/>
            </w:pPr>
            <w:r>
              <w:rPr>
                <w:rFonts w:ascii="Calibri" w:hAnsi="Calibri"/>
                <w:b w:val="0"/>
                <w:i w:val="0"/>
                <w:color w:val="5A5A5A"/>
                <w:sz w:val="18"/>
              </w:rPr>
              <w:t>#skinofcolour  #FitzpatrickIVtoVI  #PIH  #hyperpigmentation  #scarring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climate</w:t>
            </w:r>
          </w:p>
        </w:tc>
        <w:tc>
          <w:tcPr>
            <w:tcW w:type="dxa" w:w="2160"/>
            <w:vAlign w:val="top"/>
          </w:tcPr>
          <w:p>
            <w:pPr>
              <w:spacing w:after="40" w:before="0" w:line="259" w:lineRule="auto"/>
            </w:pPr>
            <w:r>
              <w:rPr>
                <w:rFonts w:ascii="Calibri" w:hAnsi="Calibri"/>
                <w:b w:val="0"/>
                <w:i w:val="0"/>
                <w:color w:val="212121"/>
                <w:sz w:val="19"/>
              </w:rPr>
              <w:t>Hot, humid tropical regions</w:t>
            </w:r>
          </w:p>
        </w:tc>
        <w:tc>
          <w:tcPr>
            <w:tcW w:type="dxa" w:w="4276"/>
            <w:vAlign w:val="top"/>
          </w:tcPr>
          <w:p>
            <w:pPr>
              <w:spacing w:after="60" w:line="259" w:lineRule="auto"/>
            </w:pPr>
            <w:r>
              <w:rPr>
                <w:rFonts w:ascii="Calibri" w:hAnsi="Calibri"/>
                <w:b w:val="0"/>
                <w:i w:val="0"/>
                <w:color w:val="212121"/>
                <w:sz w:val="19"/>
              </w:rPr>
              <w:t>India's hot, humid climate increases sweating, sebum hydration and follicular occlusion, and the widespread regional use of hair oils contributes to pomade acne along the forehead and temples; many patients report clear seasonal worsening.</w:t>
            </w:r>
          </w:p>
          <w:p>
            <w:pPr>
              <w:spacing w:after="40" w:before="60" w:line="259" w:lineRule="auto"/>
            </w:pPr>
            <w:r>
              <w:rPr>
                <w:rFonts w:ascii="Calibri" w:hAnsi="Calibri"/>
                <w:b w:val="0"/>
                <w:i w:val="0"/>
                <w:color w:val="212121"/>
                <w:sz w:val="19"/>
              </w:rPr>
              <w:t>About 21% of Indian acne patients reported seasonal aggravation of their acne in the multicentre study.</w:t>
            </w:r>
          </w:p>
          <w:p>
            <w:pPr>
              <w:spacing w:after="40" w:line="252" w:lineRule="auto"/>
            </w:pPr>
            <w:hyperlink r:id="rId9">
              <w:r>
                <w:rPr>
                  <w:rFonts w:ascii="Calibri" w:hAnsi="Calibri" w:cs="Calibri"/>
                  <w:sz w:val="18"/>
                  <w:color w:val="1155CC"/>
                  <w:u w:val="single"/>
                </w:rPr>
                <w:t xml:space="preserve">ijced.org - acne in Indian population, epidemiological study</w:t>
              </w:r>
            </w:hyperlink>
          </w:p>
          <w:p>
            <w:pPr>
              <w:spacing w:before="60" w:after="40"/>
            </w:pPr>
            <w:r>
              <w:rPr>
                <w:rFonts w:ascii="Calibri" w:hAnsi="Calibri"/>
                <w:b w:val="0"/>
                <w:i w:val="0"/>
                <w:color w:val="5A5A5A"/>
                <w:sz w:val="18"/>
              </w:rPr>
              <w:t>#humidity  #sweat  #pomadeacne  #hairoil  #tropical</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Psychological stress / sleep</w:t>
            </w:r>
          </w:p>
        </w:tc>
        <w:tc>
          <w:tcPr>
            <w:tcW w:type="dxa" w:w="2160"/>
            <w:vAlign w:val="top"/>
          </w:tcPr>
          <w:p>
            <w:pPr>
              <w:spacing w:after="40" w:before="0" w:line="259" w:lineRule="auto"/>
            </w:pPr>
            <w:r>
              <w:rPr>
                <w:rFonts w:ascii="Calibri" w:hAnsi="Calibri"/>
                <w:b w:val="0"/>
                <w:i w:val="0"/>
                <w:color w:val="212121"/>
                <w:sz w:val="19"/>
              </w:rPr>
              <w:t>Students and high-stress workers</w:t>
            </w:r>
          </w:p>
        </w:tc>
        <w:tc>
          <w:tcPr>
            <w:tcW w:type="dxa" w:w="4276"/>
            <w:vAlign w:val="top"/>
          </w:tcPr>
          <w:p>
            <w:pPr>
              <w:spacing w:after="60" w:line="259" w:lineRule="auto"/>
            </w:pPr>
            <w:r>
              <w:rPr>
                <w:rFonts w:ascii="Calibri" w:hAnsi="Calibri"/>
                <w:b w:val="0"/>
                <w:i w:val="0"/>
                <w:color w:val="212121"/>
                <w:sz w:val="19"/>
              </w:rPr>
              <w:t>Emotional stress and poor sleep raise cortisol and adrenal androgens and promote inflammatory mediators, precipitating flares, especially around examinations and work deadlines. The relationship is bidirectional, as acne itself causes marked psychological distress.</w:t>
            </w:r>
          </w:p>
          <w:p>
            <w:pPr>
              <w:spacing w:after="40" w:before="60" w:line="259" w:lineRule="auto"/>
            </w:pPr>
            <w:r>
              <w:rPr>
                <w:rFonts w:ascii="Calibri" w:hAnsi="Calibri"/>
                <w:b w:val="0"/>
                <w:i w:val="0"/>
                <w:color w:val="212121"/>
                <w:sz w:val="19"/>
              </w:rPr>
              <w:t>Acne significantly impairs quality of life in young Indian adults, with distress and social impact often out of proportion to the visible severity of the disease.</w:t>
            </w:r>
          </w:p>
          <w:p>
            <w:pPr>
              <w:spacing w:after="40" w:line="252" w:lineRule="auto"/>
            </w:pPr>
            <w:hyperlink r:id="rId12">
              <w:r>
                <w:rPr>
                  <w:rFonts w:ascii="Calibri" w:hAnsi="Calibri" w:cs="Calibri"/>
                  <w:sz w:val="18"/>
                  <w:color w:val="1155CC"/>
                  <w:u w:val="single"/>
                </w:rPr>
                <w:t xml:space="preserve">pmc.ncbi.nlm.nih.gov - acne and quality of life, young adults South India</w:t>
              </w:r>
            </w:hyperlink>
          </w:p>
          <w:p>
            <w:pPr>
              <w:spacing w:before="60" w:after="40"/>
            </w:pPr>
            <w:r>
              <w:rPr>
                <w:rFonts w:ascii="Calibri" w:hAnsi="Calibri"/>
                <w:b w:val="0"/>
                <w:i w:val="0"/>
                <w:color w:val="5A5A5A"/>
                <w:sz w:val="18"/>
              </w:rPr>
              <w:t>#stress  #cortisol  #sleep  #examstress  #qualityoflife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Adolescent and adult smokers</w:t>
            </w:r>
          </w:p>
        </w:tc>
        <w:tc>
          <w:tcPr>
            <w:tcW w:type="dxa" w:w="4276"/>
            <w:vAlign w:val="top"/>
          </w:tcPr>
          <w:p>
            <w:pPr>
              <w:spacing w:after="60" w:line="259" w:lineRule="auto"/>
            </w:pPr>
            <w:r>
              <w:rPr>
                <w:rFonts w:ascii="Calibri" w:hAnsi="Calibri"/>
                <w:b w:val="0"/>
                <w:i w:val="0"/>
                <w:color w:val="212121"/>
                <w:sz w:val="19"/>
              </w:rPr>
              <w:t>Smoking is associated in several studies with a comedonal, post-adolescent pattern of acne through effects on sebum composition and follicular keratinisation, and it impairs wound healing and worsens scarring; evidence on inflammatory severity is mixed.</w:t>
            </w:r>
          </w:p>
          <w:p>
            <w:pPr>
              <w:spacing w:after="40" w:before="60" w:line="259" w:lineRule="auto"/>
            </w:pPr>
            <w:r>
              <w:rPr>
                <w:rFonts w:ascii="Calibri" w:hAnsi="Calibri"/>
                <w:b w:val="0"/>
                <w:i w:val="0"/>
                <w:color w:val="212121"/>
                <w:sz w:val="19"/>
              </w:rPr>
              <w:t>14% of patients in the Indian multicentre acne study were smokers.</w:t>
            </w:r>
          </w:p>
          <w:p>
            <w:pPr>
              <w:spacing w:after="40" w:line="252" w:lineRule="auto"/>
            </w:pPr>
            <w:hyperlink r:id="rId9">
              <w:r>
                <w:rPr>
                  <w:rFonts w:ascii="Calibri" w:hAnsi="Calibri" w:cs="Calibri"/>
                  <w:sz w:val="18"/>
                  <w:color w:val="1155CC"/>
                  <w:u w:val="single"/>
                </w:rPr>
                <w:t xml:space="preserve">ijced.org - acne in Indian population, epidemiological study</w:t>
              </w:r>
            </w:hyperlink>
          </w:p>
          <w:p>
            <w:pPr>
              <w:spacing w:before="60" w:after="40"/>
            </w:pPr>
            <w:r>
              <w:rPr>
                <w:rFonts w:ascii="Calibri" w:hAnsi="Calibri"/>
                <w:b w:val="0"/>
                <w:i w:val="0"/>
                <w:color w:val="5A5A5A"/>
                <w:sz w:val="18"/>
              </w:rPr>
              <w:t>#smoking  #comedonal  #postadolescent  #woundhealing  #scarring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Comedogenic cosmetics / hair oils</w:t>
            </w:r>
          </w:p>
        </w:tc>
        <w:tc>
          <w:tcPr>
            <w:tcW w:type="dxa" w:w="2160"/>
            <w:vAlign w:val="top"/>
          </w:tcPr>
          <w:p>
            <w:pPr>
              <w:spacing w:after="40" w:before="0" w:line="259" w:lineRule="auto"/>
            </w:pPr>
            <w:r>
              <w:rPr>
                <w:rFonts w:ascii="Calibri" w:hAnsi="Calibri"/>
                <w:b w:val="0"/>
                <w:i w:val="0"/>
                <w:color w:val="212121"/>
                <w:sz w:val="19"/>
              </w:rPr>
              <w:t>Heavy cosmetic and hair-oil users</w:t>
            </w:r>
          </w:p>
        </w:tc>
        <w:tc>
          <w:tcPr>
            <w:tcW w:type="dxa" w:w="4276"/>
            <w:vAlign w:val="top"/>
          </w:tcPr>
          <w:p>
            <w:pPr>
              <w:spacing w:after="60" w:line="259" w:lineRule="auto"/>
            </w:pPr>
            <w:r>
              <w:rPr>
                <w:rFonts w:ascii="Calibri" w:hAnsi="Calibri"/>
                <w:b w:val="0"/>
                <w:i w:val="0"/>
                <w:color w:val="212121"/>
                <w:sz w:val="19"/>
              </w:rPr>
              <w:t>Comedogenic make-up, heavy foundations, and oils or pomades occlude follicles and precipitate acne cosmetica and pomade acne; frequent product layering and infrequent cleansing are especially common in image-conscious urban users.</w:t>
            </w:r>
          </w:p>
          <w:p>
            <w:pPr>
              <w:spacing w:after="40" w:before="60" w:line="259" w:lineRule="auto"/>
            </w:pPr>
            <w:r>
              <w:rPr>
                <w:rFonts w:ascii="Calibri" w:hAnsi="Calibri"/>
                <w:b w:val="0"/>
                <w:i w:val="0"/>
                <w:color w:val="212121"/>
                <w:sz w:val="19"/>
              </w:rPr>
              <w:t>35% of patients in the Indian multicentre study reported aggravation of acne after cosmetic use.</w:t>
            </w:r>
          </w:p>
          <w:p>
            <w:pPr>
              <w:spacing w:after="40" w:line="252" w:lineRule="auto"/>
            </w:pPr>
            <w:hyperlink r:id="rId9">
              <w:r>
                <w:rPr>
                  <w:rFonts w:ascii="Calibri" w:hAnsi="Calibri" w:cs="Calibri"/>
                  <w:sz w:val="18"/>
                  <w:color w:val="1155CC"/>
                  <w:u w:val="single"/>
                </w:rPr>
                <w:t xml:space="preserve">ijced.org - acne in Indian population, epidemiological study</w:t>
              </w:r>
            </w:hyperlink>
          </w:p>
          <w:p>
            <w:pPr>
              <w:spacing w:before="60" w:after="40"/>
            </w:pPr>
            <w:r>
              <w:rPr>
                <w:rFonts w:ascii="Calibri" w:hAnsi="Calibri"/>
                <w:b w:val="0"/>
                <w:i w:val="0"/>
                <w:color w:val="5A5A5A"/>
                <w:sz w:val="18"/>
              </w:rPr>
              <w:t>#acnecosmetica  #comedogenic  #makeup  #pomadeacne  #hairoil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Occlusion / friction (acne mechanica)</w:t>
            </w:r>
          </w:p>
        </w:tc>
        <w:tc>
          <w:tcPr>
            <w:tcW w:type="dxa" w:w="2160"/>
            <w:vAlign w:val="top"/>
          </w:tcPr>
          <w:p>
            <w:pPr>
              <w:spacing w:after="40" w:before="0" w:line="259" w:lineRule="auto"/>
            </w:pPr>
            <w:r>
              <w:rPr>
                <w:rFonts w:ascii="Calibri" w:hAnsi="Calibri"/>
                <w:b w:val="0"/>
                <w:i w:val="0"/>
                <w:color w:val="212121"/>
                <w:sz w:val="19"/>
              </w:rPr>
              <w:t>Helmet, mask and strap wearers</w:t>
            </w:r>
          </w:p>
        </w:tc>
        <w:tc>
          <w:tcPr>
            <w:tcW w:type="dxa" w:w="4276"/>
            <w:vAlign w:val="top"/>
          </w:tcPr>
          <w:p>
            <w:pPr>
              <w:spacing w:after="60" w:line="259" w:lineRule="auto"/>
            </w:pPr>
            <w:r>
              <w:rPr>
                <w:rFonts w:ascii="Calibri" w:hAnsi="Calibri"/>
                <w:b w:val="0"/>
                <w:i w:val="0"/>
                <w:color w:val="212121"/>
                <w:sz w:val="19"/>
              </w:rPr>
              <w:t>Repeated pressure, friction and occlusion from helmets, chin straps, tight collars and prolonged face-mask wear (maskne) trap heat, sweat and sebum and rupture follicles, producing acne mechanica in a distribution that matches the contact area.</w:t>
            </w:r>
          </w:p>
          <w:p>
            <w:pPr>
              <w:spacing w:before="60" w:after="40"/>
            </w:pPr>
            <w:r>
              <w:rPr>
                <w:rFonts w:ascii="Calibri" w:hAnsi="Calibri"/>
                <w:b w:val="0"/>
                <w:i w:val="0"/>
                <w:color w:val="5A5A5A"/>
                <w:sz w:val="18"/>
              </w:rPr>
              <w:t>#acnemechanica  #maskne  #helmet  #friction  #occlusion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High glycaemic-load diet</w:t>
            </w:r>
          </w:p>
        </w:tc>
        <w:tc>
          <w:tcPr>
            <w:tcW w:type="dxa" w:w="2160"/>
            <w:vAlign w:val="top"/>
          </w:tcPr>
          <w:p>
            <w:pPr>
              <w:spacing w:after="40" w:before="0" w:line="259" w:lineRule="auto"/>
            </w:pPr>
            <w:r>
              <w:rPr>
                <w:rFonts w:ascii="Calibri" w:hAnsi="Calibri"/>
                <w:b w:val="0"/>
                <w:i w:val="0"/>
                <w:color w:val="212121"/>
                <w:sz w:val="19"/>
              </w:rPr>
              <w:t>High-GI and fast-food consumers</w:t>
            </w:r>
          </w:p>
        </w:tc>
        <w:tc>
          <w:tcPr>
            <w:tcW w:type="dxa" w:w="4276"/>
            <w:vAlign w:val="top"/>
          </w:tcPr>
          <w:p>
            <w:pPr>
              <w:spacing w:after="60" w:line="259" w:lineRule="auto"/>
            </w:pPr>
            <w:r>
              <w:rPr>
                <w:rFonts w:ascii="Calibri" w:hAnsi="Calibri"/>
                <w:b w:val="0"/>
                <w:i w:val="0"/>
                <w:color w:val="212121"/>
                <w:sz w:val="19"/>
              </w:rPr>
              <w:t>High-glycaemic foods (refined grains, sweets, sugary drinks, fast food) spike insulin and IGF-1, which increase androgen bioavailability and sebum production; low-glycaemic diets improve acne in controlled trials.</w:t>
            </w:r>
          </w:p>
          <w:p>
            <w:pPr>
              <w:spacing w:after="40" w:before="60" w:line="259" w:lineRule="auto"/>
            </w:pPr>
            <w:r>
              <w:rPr>
                <w:rFonts w:ascii="Calibri" w:hAnsi="Calibri"/>
                <w:b w:val="0"/>
                <w:i w:val="0"/>
                <w:color w:val="212121"/>
                <w:sz w:val="19"/>
              </w:rPr>
              <w:t>49% of Indian acne patients reported a high-glycaemic diet, and in a randomised trial a low-glycaemic-load diet cut acne lesion counts by about 59% versus 38% with the control diet.</w:t>
            </w:r>
          </w:p>
          <w:p>
            <w:pPr>
              <w:spacing w:after="40" w:line="252" w:lineRule="auto"/>
            </w:pPr>
            <w:hyperlink r:id="rId13">
              <w:r>
                <w:rPr>
                  <w:rFonts w:ascii="Calibri" w:hAnsi="Calibri" w:cs="Calibri"/>
                  <w:sz w:val="18"/>
                  <w:color w:val="1155CC"/>
                  <w:u w:val="single"/>
                </w:rPr>
                <w:t xml:space="preserve">pmc.ncbi.nlm.nih.gov - diet and acne, systematic review (JAAD Int)</w:t>
              </w:r>
            </w:hyperlink>
          </w:p>
          <w:p>
            <w:pPr>
              <w:spacing w:before="60" w:after="40"/>
            </w:pPr>
            <w:r>
              <w:rPr>
                <w:rFonts w:ascii="Calibri" w:hAnsi="Calibri"/>
                <w:b w:val="0"/>
                <w:i w:val="0"/>
                <w:color w:val="5A5A5A"/>
                <w:sz w:val="18"/>
              </w:rPr>
              <w:t>#highGI  #glycemicload  #insulin  #IGF1  #junkfood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Dairy intake</w:t>
            </w:r>
          </w:p>
        </w:tc>
        <w:tc>
          <w:tcPr>
            <w:tcW w:type="dxa" w:w="2160"/>
            <w:vAlign w:val="top"/>
          </w:tcPr>
          <w:p>
            <w:pPr>
              <w:spacing w:after="40" w:before="0" w:line="259" w:lineRule="auto"/>
            </w:pPr>
            <w:r>
              <w:rPr>
                <w:rFonts w:ascii="Calibri" w:hAnsi="Calibri"/>
                <w:b w:val="0"/>
                <w:i w:val="0"/>
                <w:color w:val="212121"/>
                <w:sz w:val="19"/>
              </w:rPr>
              <w:t>High milk / dairy consumers</w:t>
            </w:r>
          </w:p>
        </w:tc>
        <w:tc>
          <w:tcPr>
            <w:tcW w:type="dxa" w:w="4276"/>
            <w:vAlign w:val="top"/>
          </w:tcPr>
          <w:p>
            <w:pPr>
              <w:spacing w:after="60" w:line="259" w:lineRule="auto"/>
            </w:pPr>
            <w:r>
              <w:rPr>
                <w:rFonts w:ascii="Calibri" w:hAnsi="Calibri"/>
                <w:b w:val="0"/>
                <w:i w:val="0"/>
                <w:color w:val="212121"/>
                <w:sz w:val="19"/>
              </w:rPr>
              <w:t>Milk and dairy contain IGF-1 and are insulinotropic, amplifying androgen-driven sebum production; skim and low-fat milk show the strongest association, and risk rises with the amount consumed.</w:t>
            </w:r>
          </w:p>
          <w:p>
            <w:pPr>
              <w:spacing w:after="40" w:before="60" w:line="259" w:lineRule="auto"/>
            </w:pPr>
            <w:r>
              <w:rPr>
                <w:rFonts w:ascii="Calibri" w:hAnsi="Calibri"/>
                <w:b w:val="0"/>
                <w:i w:val="0"/>
                <w:color w:val="212121"/>
                <w:sz w:val="19"/>
              </w:rPr>
              <w:t>A meta-analysis of 78,529 people found acne associated with any dairy (OR 1.25), any milk (OR 1.28) and skim/low-fat milk (OR 1.32), rising to OR 1.43 at two or more glasses of milk per day.</w:t>
            </w:r>
          </w:p>
          <w:p>
            <w:pPr>
              <w:spacing w:after="40" w:line="252" w:lineRule="auto"/>
            </w:pPr>
            <w:hyperlink r:id="rId14">
              <w:r>
                <w:rPr>
                  <w:rFonts w:ascii="Calibri" w:hAnsi="Calibri" w:cs="Calibri"/>
                  <w:sz w:val="18"/>
                  <w:color w:val="1155CC"/>
                  <w:u w:val="single"/>
                </w:rPr>
                <w:t xml:space="preserve">mdpi.com - dairy intake and acne, meta-analysis of 78,529</w:t>
              </w:r>
            </w:hyperlink>
          </w:p>
          <w:p>
            <w:pPr>
              <w:spacing w:before="60" w:after="40"/>
            </w:pPr>
            <w:r>
              <w:rPr>
                <w:rFonts w:ascii="Calibri" w:hAnsi="Calibri"/>
                <w:b w:val="0"/>
                <w:i w:val="0"/>
                <w:color w:val="5A5A5A"/>
                <w:sz w:val="18"/>
              </w:rPr>
              <w:t>#dairy  #milk  #skimmilk  #IGF1  #insulinotropic</w:t>
            </w:r>
          </w:p>
        </w:tc>
      </w:tr>
      <w:tr>
        <w:trPr>
          <w:cantSplit/>
        </w:trPr>
        <w:tc>
          <w:tcPr>
            <w:tcW w:type="dxa" w:w="1512"/>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Overweight adults with insulin resistance</w:t>
            </w:r>
          </w:p>
        </w:tc>
        <w:tc>
          <w:tcPr>
            <w:tcW w:type="dxa" w:w="4276"/>
            <w:vAlign w:val="top"/>
          </w:tcPr>
          <w:p>
            <w:pPr>
              <w:spacing w:after="60" w:line="259" w:lineRule="auto"/>
            </w:pPr>
            <w:r>
              <w:rPr>
                <w:rFonts w:ascii="Calibri" w:hAnsi="Calibri"/>
                <w:b w:val="0"/>
                <w:i w:val="0"/>
                <w:color w:val="212121"/>
                <w:sz w:val="19"/>
              </w:rPr>
              <w:t>Excess adiposity and insulin resistance raise circulating insulin and IGF-1 and lower sex-hormone-binding globulin, increasing free androgens and sebum output; obesity clusters with PCOS-related acne in women.</w:t>
            </w:r>
          </w:p>
          <w:p>
            <w:pPr>
              <w:spacing w:after="40" w:before="60" w:line="259" w:lineRule="auto"/>
            </w:pPr>
            <w:r>
              <w:rPr>
                <w:rFonts w:ascii="Calibri" w:hAnsi="Calibri"/>
                <w:b w:val="0"/>
                <w:i w:val="0"/>
                <w:color w:val="212121"/>
                <w:sz w:val="19"/>
              </w:rPr>
              <w:t>High-glycaemic diets and dairy act through the same insulin and IGF-1 pathway that is chronically activated in obesity and insulin resistance, linking body weight to sebaceous activity and acne severity.</w:t>
            </w:r>
          </w:p>
          <w:p>
            <w:pPr>
              <w:spacing w:after="40" w:line="252" w:lineRule="auto"/>
            </w:pPr>
            <w:hyperlink r:id="rId13">
              <w:r>
                <w:rPr>
                  <w:rFonts w:ascii="Calibri" w:hAnsi="Calibri" w:cs="Calibri"/>
                  <w:sz w:val="18"/>
                  <w:color w:val="1155CC"/>
                  <w:u w:val="single"/>
                </w:rPr>
                <w:t xml:space="preserve">pmc.ncbi.nlm.nih.gov - diet, insulin/IGF-1 and acne</w:t>
              </w:r>
            </w:hyperlink>
          </w:p>
          <w:p>
            <w:pPr>
              <w:spacing w:before="60" w:after="40"/>
            </w:pPr>
            <w:r>
              <w:rPr>
                <w:rFonts w:ascii="Calibri" w:hAnsi="Calibri"/>
                <w:b w:val="0"/>
                <w:i w:val="0"/>
                <w:color w:val="5A5A5A"/>
                <w:sz w:val="18"/>
              </w:rPr>
              <w:t>#insulinresistance  #IGF1  #obesity  #SHBG  #freeandrogens</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acne</w:t>
            </w:r>
          </w:p>
        </w:tc>
        <w:tc>
          <w:tcPr>
            <w:tcW w:type="dxa" w:w="4276"/>
            <w:vAlign w:val="top"/>
          </w:tcPr>
          <w:p>
            <w:pPr>
              <w:spacing w:after="60" w:line="259" w:lineRule="auto"/>
            </w:pPr>
            <w:r>
              <w:rPr>
                <w:rFonts w:ascii="Calibri" w:hAnsi="Calibri"/>
                <w:b w:val="0"/>
                <w:i w:val="0"/>
                <w:color w:val="212121"/>
                <w:sz w:val="19"/>
              </w:rPr>
              <w:t>Acne clusters strongly in families; a first-degree relative with acne predicts earlier onset, greater severity, more truncal involvement and a higher scarring risk. Twin studies attribute the large majority of susceptibility to genetic factors.</w:t>
            </w:r>
          </w:p>
          <w:p>
            <w:pPr>
              <w:spacing w:before="60" w:after="40"/>
            </w:pPr>
            <w:r>
              <w:rPr>
                <w:rFonts w:ascii="Calibri" w:hAnsi="Calibri"/>
                <w:b w:val="0"/>
                <w:i w:val="0"/>
                <w:color w:val="5A5A5A"/>
                <w:sz w:val="18"/>
              </w:rPr>
              <w:t>#familyhistory  #heritability  #genetics  #earlyonset  #scarringrisk</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Polycystic ovary syndrome (PCOS)</w:t>
            </w:r>
          </w:p>
        </w:tc>
        <w:tc>
          <w:tcPr>
            <w:tcW w:type="dxa" w:w="2160"/>
            <w:vAlign w:val="top"/>
          </w:tcPr>
          <w:p>
            <w:pPr>
              <w:spacing w:after="40" w:before="0" w:line="259" w:lineRule="auto"/>
            </w:pPr>
            <w:r>
              <w:rPr>
                <w:rFonts w:ascii="Calibri" w:hAnsi="Calibri"/>
                <w:b w:val="0"/>
                <w:i w:val="0"/>
                <w:color w:val="212121"/>
                <w:sz w:val="19"/>
              </w:rPr>
              <w:t>Women with PCOS</w:t>
            </w:r>
          </w:p>
        </w:tc>
        <w:tc>
          <w:tcPr>
            <w:tcW w:type="dxa" w:w="4276"/>
            <w:vAlign w:val="top"/>
          </w:tcPr>
          <w:p>
            <w:pPr>
              <w:spacing w:after="60" w:line="259" w:lineRule="auto"/>
            </w:pPr>
            <w:r>
              <w:rPr>
                <w:rFonts w:ascii="Calibri" w:hAnsi="Calibri"/>
                <w:b w:val="0"/>
                <w:i w:val="0"/>
                <w:color w:val="212121"/>
                <w:sz w:val="19"/>
              </w:rPr>
              <w:t>PCOS causes ovarian and adrenal androgen excess and insulin resistance that drive persistent, treatment-resistant jawline acne in women; acne may be the presenting sign. Any woman with acne plus menstrual irregularity or hirsutism should be screened for PCOS.</w:t>
            </w:r>
          </w:p>
          <w:p>
            <w:pPr>
              <w:spacing w:after="40" w:before="60" w:line="259" w:lineRule="auto"/>
            </w:pPr>
            <w:r>
              <w:rPr>
                <w:rFonts w:ascii="Calibri" w:hAnsi="Calibri"/>
                <w:b w:val="0"/>
                <w:i w:val="0"/>
                <w:color w:val="212121"/>
                <w:sz w:val="19"/>
              </w:rPr>
              <w:t>PCOS is found in about 17-27% of women presenting with acne, and acne affects roughly 30-40% of women with PCOS (about 1.6 times the general female rate); 11% of female patients in the Indian multicentre study had PCOD.</w:t>
            </w:r>
          </w:p>
          <w:p>
            <w:pPr>
              <w:spacing w:after="40" w:line="252" w:lineRule="auto"/>
            </w:pPr>
            <w:hyperlink r:id="rId15">
              <w:r>
                <w:rPr>
                  <w:rFonts w:ascii="Calibri" w:hAnsi="Calibri" w:cs="Calibri"/>
                  <w:sz w:val="18"/>
                  <w:color w:val="1155CC"/>
                  <w:u w:val="single"/>
                </w:rPr>
                <w:t xml:space="preserve">academic.oup.com (J Endocr Soc) - female adult acne and androgen excess</w:t>
              </w:r>
            </w:hyperlink>
          </w:p>
          <w:p>
            <w:pPr>
              <w:spacing w:before="60" w:after="40"/>
            </w:pPr>
            <w:r>
              <w:rPr>
                <w:rFonts w:ascii="Calibri" w:hAnsi="Calibri"/>
                <w:b w:val="0"/>
                <w:i w:val="0"/>
                <w:color w:val="5A5A5A"/>
                <w:sz w:val="18"/>
              </w:rPr>
              <w:t>#PCOS  #hyperandrogenism  #insulinresistance  #jawlineacne  #menstrualirregularity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Hyperandrogenism / androgen excess</w:t>
            </w:r>
          </w:p>
        </w:tc>
        <w:tc>
          <w:tcPr>
            <w:tcW w:type="dxa" w:w="2160"/>
            <w:vAlign w:val="top"/>
          </w:tcPr>
          <w:p>
            <w:pPr>
              <w:spacing w:after="40" w:before="0" w:line="259" w:lineRule="auto"/>
            </w:pPr>
            <w:r>
              <w:rPr>
                <w:rFonts w:ascii="Calibri" w:hAnsi="Calibri"/>
                <w:b w:val="0"/>
                <w:i w:val="0"/>
                <w:color w:val="212121"/>
                <w:sz w:val="19"/>
              </w:rPr>
              <w:t>Women with androgen excess</w:t>
            </w:r>
          </w:p>
        </w:tc>
        <w:tc>
          <w:tcPr>
            <w:tcW w:type="dxa" w:w="4276"/>
            <w:vAlign w:val="top"/>
          </w:tcPr>
          <w:p>
            <w:pPr>
              <w:spacing w:after="60" w:line="259" w:lineRule="auto"/>
            </w:pPr>
            <w:r>
              <w:rPr>
                <w:rFonts w:ascii="Calibri" w:hAnsi="Calibri"/>
                <w:b w:val="0"/>
                <w:i w:val="0"/>
                <w:color w:val="212121"/>
                <w:sz w:val="19"/>
              </w:rPr>
              <w:t>Beyond PCOS, non-classic congenital adrenal hyperplasia, androgen-secreting ovarian or adrenal tumours, and exogenous anabolic steroids produce sudden, severe or treatment-resistant acne, often with hirsutism, virilisation or menstrual change that warrant endocrine work-up.</w:t>
            </w:r>
          </w:p>
          <w:p>
            <w:pPr>
              <w:spacing w:after="40" w:before="60" w:line="259" w:lineRule="auto"/>
            </w:pPr>
            <w:r>
              <w:rPr>
                <w:rFonts w:ascii="Calibri" w:hAnsi="Calibri"/>
                <w:b w:val="0"/>
                <w:i w:val="0"/>
                <w:color w:val="212121"/>
                <w:sz w:val="19"/>
              </w:rPr>
              <w:t>About half of women with adult acne show clinical or biochemical hyperandrogenism, and 50-60% of those with normal serum androgens have increased peripheral androgen sensitivity.</w:t>
            </w:r>
          </w:p>
          <w:p>
            <w:pPr>
              <w:spacing w:after="40" w:line="252" w:lineRule="auto"/>
            </w:pPr>
            <w:hyperlink r:id="rId15">
              <w:r>
                <w:rPr>
                  <w:rFonts w:ascii="Calibri" w:hAnsi="Calibri" w:cs="Calibri"/>
                  <w:sz w:val="18"/>
                  <w:color w:val="1155CC"/>
                  <w:u w:val="single"/>
                </w:rPr>
                <w:t xml:space="preserve">academic.oup.com (J Endocr Soc) - female adult acne and androgen excess</w:t>
              </w:r>
            </w:hyperlink>
          </w:p>
          <w:p>
            <w:pPr>
              <w:spacing w:before="60" w:after="40"/>
            </w:pPr>
            <w:r>
              <w:rPr>
                <w:rFonts w:ascii="Calibri" w:hAnsi="Calibri"/>
                <w:b w:val="0"/>
                <w:i w:val="0"/>
                <w:color w:val="5A5A5A"/>
                <w:sz w:val="18"/>
              </w:rPr>
              <w:t>#androgenexcess  #CAH  #virilisation  #anabolicsteroids  #hirsutism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Insulin resistance / metabolic syndrome</w:t>
            </w:r>
          </w:p>
        </w:tc>
        <w:tc>
          <w:tcPr>
            <w:tcW w:type="dxa" w:w="2160"/>
            <w:vAlign w:val="top"/>
          </w:tcPr>
          <w:p>
            <w:pPr>
              <w:spacing w:after="40" w:before="0" w:line="259" w:lineRule="auto"/>
            </w:pPr>
            <w:r>
              <w:rPr>
                <w:rFonts w:ascii="Calibri" w:hAnsi="Calibri"/>
                <w:b w:val="0"/>
                <w:i w:val="0"/>
                <w:color w:val="212121"/>
                <w:sz w:val="19"/>
              </w:rPr>
              <w:t>Insulin-resistant adults</w:t>
            </w:r>
          </w:p>
        </w:tc>
        <w:tc>
          <w:tcPr>
            <w:tcW w:type="dxa" w:w="4276"/>
            <w:vAlign w:val="top"/>
          </w:tcPr>
          <w:p>
            <w:pPr>
              <w:spacing w:after="60" w:line="259" w:lineRule="auto"/>
            </w:pPr>
            <w:r>
              <w:rPr>
                <w:rFonts w:ascii="Calibri" w:hAnsi="Calibri"/>
                <w:b w:val="0"/>
                <w:i w:val="0"/>
                <w:color w:val="212121"/>
                <w:sz w:val="19"/>
              </w:rPr>
              <w:t>Hyperinsulinaemia raises IGF-1 and free androgens and directly stimulates sebocytes; insulin resistance links acne with obesity, PCOS and metabolic syndrome and is a rational target for dietary change and, in selected patients, insulin-sensitising therapy.</w:t>
            </w:r>
          </w:p>
          <w:p>
            <w:pPr>
              <w:spacing w:after="40" w:before="60" w:line="259" w:lineRule="auto"/>
            </w:pPr>
            <w:r>
              <w:rPr>
                <w:rFonts w:ascii="Calibri" w:hAnsi="Calibri"/>
                <w:b w:val="0"/>
                <w:i w:val="0"/>
                <w:color w:val="212121"/>
                <w:sz w:val="19"/>
              </w:rPr>
              <w:t>The insulin and IGF-1 pathway shared by high-glycaemic diets, dairy and insulin resistance increases sebaceous gland activity and androgen signalling, the mechanistic basis of diet-related acne.</w:t>
            </w:r>
          </w:p>
          <w:p>
            <w:pPr>
              <w:spacing w:after="40" w:line="252" w:lineRule="auto"/>
            </w:pPr>
            <w:hyperlink r:id="rId13">
              <w:r>
                <w:rPr>
                  <w:rFonts w:ascii="Calibri" w:hAnsi="Calibri" w:cs="Calibri"/>
                  <w:sz w:val="18"/>
                  <w:color w:val="1155CC"/>
                  <w:u w:val="single"/>
                </w:rPr>
                <w:t xml:space="preserve">pmc.ncbi.nlm.nih.gov - diet, insulin/IGF-1 and acne</w:t>
              </w:r>
            </w:hyperlink>
          </w:p>
          <w:p>
            <w:pPr>
              <w:spacing w:before="60" w:after="40"/>
            </w:pPr>
            <w:r>
              <w:rPr>
                <w:rFonts w:ascii="Calibri" w:hAnsi="Calibri"/>
                <w:b w:val="0"/>
                <w:i w:val="0"/>
                <w:color w:val="5A5A5A"/>
                <w:sz w:val="18"/>
              </w:rPr>
              <w:t>#insulinresistance  #metabolicsyndrome  #IGF1  #hyperinsulinaemia  #sebocytes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Seborrhoea (oily skin)</w:t>
            </w:r>
          </w:p>
        </w:tc>
        <w:tc>
          <w:tcPr>
            <w:tcW w:type="dxa" w:w="2160"/>
            <w:vAlign w:val="top"/>
          </w:tcPr>
          <w:p>
            <w:pPr>
              <w:spacing w:after="40" w:before="0" w:line="259" w:lineRule="auto"/>
            </w:pPr>
            <w:r>
              <w:rPr>
                <w:rFonts w:ascii="Calibri" w:hAnsi="Calibri"/>
                <w:b w:val="0"/>
                <w:i w:val="0"/>
                <w:color w:val="212121"/>
                <w:sz w:val="19"/>
              </w:rPr>
              <w:t>Patients with marked seborrhoea</w:t>
            </w:r>
          </w:p>
        </w:tc>
        <w:tc>
          <w:tcPr>
            <w:tcW w:type="dxa" w:w="4276"/>
            <w:vAlign w:val="top"/>
          </w:tcPr>
          <w:p>
            <w:pPr>
              <w:spacing w:after="60" w:line="259" w:lineRule="auto"/>
            </w:pPr>
            <w:r>
              <w:rPr>
                <w:rFonts w:ascii="Calibri" w:hAnsi="Calibri"/>
                <w:b w:val="0"/>
                <w:i w:val="0"/>
                <w:color w:val="212121"/>
                <w:sz w:val="19"/>
              </w:rPr>
              <w:t>Increased sebum production (seborrhoea) is a prerequisite for acne and commonly coexists with seborrhoeic dermatitis; markedly oily skin predicts more inflammatory lesions and, together with hirsutism and alopecia, forms the SAHA (seborrhoea-acne-hirsutism-alopecia) syndrome of androgen excess.</w:t>
            </w:r>
          </w:p>
          <w:p>
            <w:pPr>
              <w:spacing w:before="60" w:after="40"/>
            </w:pPr>
            <w:r>
              <w:rPr>
                <w:rFonts w:ascii="Calibri" w:hAnsi="Calibri"/>
                <w:b w:val="0"/>
                <w:i w:val="0"/>
                <w:color w:val="5A5A5A"/>
                <w:sz w:val="18"/>
              </w:rPr>
              <w:t>#seborrhoea  #oilyskin  #sebum  #SAHA  #Tzone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Exercise itself is not a primary driver of acne, but sweating combined with occlusion (tight sportswear, helmets, straps) can aggravate lesions; regular activity helps indirectly by reducing the insulin resistance that underlies PCOS- and obesity-related acne.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High-glycaemic-load diets and dairy raise insulin and IGF-1, increasing androgen-driven sebum production; a low-glycaemic-load diet reduced acne lesion counts by about 59% versus 38% with control in a randomised trial, and dairy, especially skim milk, is associated with acne (odds ratios ~1.25-1.32).</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Poor and insufficient sleep raises cortisol and stress-related androgens and is reported to trigger flares; sleep is in turn disrupted by the psychological burden of visible acne, making the relationship bidirectional.</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is linked in several studies to a comedonal, post-adolescent pattern of acne and impairs wound healing and scarring, although its effect on inflammatory severity is inconsistent across studies.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Evidence linking alcohol directly to acne is weak; any effect is largely indirect, through disturbed diet, sleep and hormonal balance, and through interactions with acne medications.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The relationship is bidirectional: psychological stress precipitates and worsens flares via cortisol and neurogenic inflammation, while acne itself causes anxiety, depression, low self-esteem and social withdrawal out of proportion to lesion severity.</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general skin and metabolic health but has no proven direct effect on acne; excessive washing can worsen irritation rather than help.</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alone has little direct effect; caffeinated sugary and milk-based beverages may contribute through their glycaemic and dairy load rather than through caffeine itself.</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Acne is not caused by poor hygiene; gentle twice-daily cleansing and prompt removal of comedogenic cosmetics and hair oils help, but aggressive scrubbing and harsh products worsen inflammation and post-inflammatory pigmentation.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Comedogenic cosmetics and hair oils/pomades, occlusion and friction (helmets, masks - maskne), a hot humid climate with sweating, premenstrual hormonal shifts, and drugs (corticosteroids, anabolic steroids, lithium, some progestins) are well-recognised triggers; 35% of Indian patients reported cosmetic aggravation and 21% seasonal aggravation.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Localised acne mechanica can follow repeated mechanical pressure on the skin - resting the chin on the hands, holding a phone against the cheek, or tight straps and collars - which occludes and ruptures follicles in the contact area.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glycaemic load</w:t>
            </w:r>
          </w:p>
        </w:tc>
        <w:tc>
          <w:tcPr>
            <w:tcW w:type="dxa" w:w="1655"/>
            <w:vAlign w:val="top"/>
          </w:tcPr>
          <w:p>
            <w:pPr>
              <w:spacing w:after="40" w:before="0" w:line="259" w:lineRule="auto"/>
            </w:pPr>
            <w:r>
              <w:rPr>
                <w:rFonts w:ascii="Calibri" w:hAnsi="Calibri"/>
                <w:b w:val="0"/>
                <w:i w:val="0"/>
                <w:color w:val="212121"/>
                <w:sz w:val="19"/>
              </w:rPr>
              <w:t>Adolescents, adults, PCOS-related acne</w:t>
            </w:r>
          </w:p>
        </w:tc>
        <w:tc>
          <w:tcPr>
            <w:tcW w:type="dxa" w:w="1512"/>
            <w:vAlign w:val="top"/>
          </w:tcPr>
          <w:p>
            <w:pPr>
              <w:spacing w:after="40" w:before="0" w:line="259" w:lineRule="auto"/>
            </w:pPr>
            <w:r>
              <w:rPr>
                <w:rFonts w:ascii="Calibri" w:hAnsi="Calibri"/>
                <w:b w:val="0"/>
                <w:i w:val="0"/>
                <w:color w:val="212121"/>
                <w:sz w:val="19"/>
              </w:rPr>
              <w:t>Low-glycaemic-load pattern</w:t>
            </w:r>
          </w:p>
        </w:tc>
        <w:tc>
          <w:tcPr>
            <w:tcW w:type="dxa" w:w="1512"/>
            <w:vAlign w:val="top"/>
          </w:tcPr>
          <w:p>
            <w:pPr>
              <w:spacing w:after="40" w:before="0" w:line="259" w:lineRule="auto"/>
            </w:pPr>
            <w:r>
              <w:rPr>
                <w:rFonts w:ascii="Calibri" w:hAnsi="Calibri"/>
                <w:b w:val="0"/>
                <w:i w:val="0"/>
                <w:color w:val="212121"/>
                <w:sz w:val="19"/>
              </w:rPr>
              <w:t>High GL: refined grains, sweets, sugary/soft drinks, fast food</w:t>
            </w:r>
          </w:p>
        </w:tc>
        <w:tc>
          <w:tcPr>
            <w:tcW w:type="dxa" w:w="1468"/>
            <w:vAlign w:val="top"/>
          </w:tcPr>
          <w:p>
            <w:pPr>
              <w:spacing w:after="60" w:line="259" w:lineRule="auto"/>
            </w:pPr>
            <w:r>
              <w:rPr>
                <w:rFonts w:ascii="Calibri" w:hAnsi="Calibri"/>
                <w:b w:val="0"/>
                <w:i w:val="0"/>
                <w:color w:val="212121"/>
                <w:sz w:val="19"/>
              </w:rPr>
              <w:t>A low-glycaemic-load diet reduced acne lesion counts by ~59% versus 38% with control in a randomised trial</w:t>
            </w:r>
          </w:p>
          <w:p>
            <w:pPr>
              <w:spacing w:after="40" w:line="252" w:lineRule="auto"/>
            </w:pPr>
            <w:hyperlink r:id="rId13">
              <w:r>
                <w:rPr>
                  <w:rFonts w:ascii="Calibri" w:hAnsi="Calibri" w:cs="Calibri"/>
                  <w:sz w:val="18"/>
                  <w:color w:val="1155CC"/>
                  <w:u w:val="single"/>
                </w:rPr>
                <w:t xml:space="preserve">https://pmc.ncbi.nlm.nih.gov/articles/PMC8971946/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Milk / dairy intake (glasses/day)</w:t>
            </w:r>
          </w:p>
        </w:tc>
        <w:tc>
          <w:tcPr>
            <w:tcW w:type="dxa" w:w="1655"/>
            <w:vAlign w:val="top"/>
          </w:tcPr>
          <w:p>
            <w:pPr>
              <w:spacing w:after="40" w:before="0" w:line="259" w:lineRule="auto"/>
            </w:pPr>
            <w:r>
              <w:rPr>
                <w:rFonts w:ascii="Calibri" w:hAnsi="Calibri"/>
                <w:b w:val="0"/>
                <w:i w:val="0"/>
                <w:color w:val="212121"/>
                <w:sz w:val="19"/>
              </w:rPr>
              <w:t>High dairy consumers</w:t>
            </w:r>
          </w:p>
        </w:tc>
        <w:tc>
          <w:tcPr>
            <w:tcW w:type="dxa" w:w="1512"/>
            <w:vAlign w:val="top"/>
          </w:tcPr>
          <w:p>
            <w:pPr>
              <w:spacing w:after="40" w:before="0" w:line="259" w:lineRule="auto"/>
            </w:pPr>
            <w:r>
              <w:rPr>
                <w:rFonts w:ascii="Calibri" w:hAnsi="Calibri"/>
                <w:b w:val="0"/>
                <w:i w:val="0"/>
                <w:color w:val="212121"/>
                <w:sz w:val="19"/>
              </w:rPr>
              <w:t>&lt;= 1 glass/day or minimal; prefer non-dairy alternatives</w:t>
            </w:r>
          </w:p>
        </w:tc>
        <w:tc>
          <w:tcPr>
            <w:tcW w:type="dxa" w:w="1512"/>
            <w:vAlign w:val="top"/>
          </w:tcPr>
          <w:p>
            <w:pPr>
              <w:spacing w:after="40" w:before="0" w:line="259" w:lineRule="auto"/>
            </w:pPr>
            <w:r>
              <w:rPr>
                <w:rFonts w:ascii="Calibri" w:hAnsi="Calibri"/>
                <w:b w:val="0"/>
                <w:i w:val="0"/>
                <w:color w:val="212121"/>
                <w:sz w:val="19"/>
              </w:rPr>
              <w:t>&gt;= 2 glasses of milk/day (OR ~1.43)</w:t>
            </w:r>
          </w:p>
        </w:tc>
        <w:tc>
          <w:tcPr>
            <w:tcW w:type="dxa" w:w="1468"/>
            <w:vAlign w:val="top"/>
          </w:tcPr>
          <w:p>
            <w:pPr>
              <w:spacing w:after="60" w:line="259" w:lineRule="auto"/>
            </w:pPr>
            <w:r>
              <w:rPr>
                <w:rFonts w:ascii="Calibri" w:hAnsi="Calibri"/>
                <w:b w:val="0"/>
                <w:i w:val="0"/>
                <w:color w:val="212121"/>
                <w:sz w:val="19"/>
              </w:rPr>
              <w:t>Skim/low-fat milk is most strongly associated with acne (OR 1.32)</w:t>
            </w:r>
          </w:p>
          <w:p>
            <w:pPr>
              <w:spacing w:after="40" w:line="252" w:lineRule="auto"/>
            </w:pPr>
            <w:hyperlink r:id="rId14">
              <w:r>
                <w:rPr>
                  <w:rFonts w:ascii="Calibri" w:hAnsi="Calibri" w:cs="Calibri"/>
                  <w:sz w:val="18"/>
                  <w:color w:val="1155CC"/>
                  <w:u w:val="single"/>
                </w:rPr>
                <w:t xml:space="preserve">https://www.mdpi.com/2072-6643/10/8/1049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Sugar-sweetened beverage intake</w:t>
            </w:r>
          </w:p>
        </w:tc>
        <w:tc>
          <w:tcPr>
            <w:tcW w:type="dxa" w:w="1655"/>
            <w:vAlign w:val="top"/>
          </w:tcPr>
          <w:p>
            <w:pPr>
              <w:spacing w:after="40" w:before="0" w:line="259" w:lineRule="auto"/>
            </w:pPr>
            <w:r>
              <w:rPr>
                <w:rFonts w:ascii="Calibri" w:hAnsi="Calibri"/>
                <w:b w:val="0"/>
                <w:i w:val="0"/>
                <w:color w:val="212121"/>
                <w:sz w:val="19"/>
              </w:rPr>
              <w:t>Adolescents, urban consumers</w:t>
            </w:r>
          </w:p>
        </w:tc>
        <w:tc>
          <w:tcPr>
            <w:tcW w:type="dxa" w:w="1512"/>
            <w:vAlign w:val="top"/>
          </w:tcPr>
          <w:p>
            <w:pPr>
              <w:spacing w:after="40" w:before="0" w:line="259" w:lineRule="auto"/>
            </w:pPr>
            <w:r>
              <w:rPr>
                <w:rFonts w:ascii="Calibri" w:hAnsi="Calibri"/>
                <w:b w:val="0"/>
                <w:i w:val="0"/>
                <w:color w:val="212121"/>
                <w:sz w:val="19"/>
              </w:rPr>
              <w:t>Minimal to none</w:t>
            </w:r>
          </w:p>
        </w:tc>
        <w:tc>
          <w:tcPr>
            <w:tcW w:type="dxa" w:w="1512"/>
            <w:vAlign w:val="top"/>
          </w:tcPr>
          <w:p>
            <w:pPr>
              <w:spacing w:after="40" w:before="0" w:line="259" w:lineRule="auto"/>
            </w:pPr>
            <w:r>
              <w:rPr>
                <w:rFonts w:ascii="Calibri" w:hAnsi="Calibri"/>
                <w:b w:val="0"/>
                <w:i w:val="0"/>
                <w:color w:val="212121"/>
                <w:sz w:val="19"/>
              </w:rPr>
              <w:t>Daily soft-drink or sweetened-beverage intake</w:t>
            </w:r>
          </w:p>
        </w:tc>
        <w:tc>
          <w:tcPr>
            <w:tcW w:type="dxa" w:w="1468"/>
            <w:vAlign w:val="top"/>
          </w:tcPr>
          <w:p>
            <w:pPr>
              <w:spacing w:after="60" w:line="259" w:lineRule="auto"/>
            </w:pPr>
            <w:r>
              <w:rPr>
                <w:rFonts w:ascii="Calibri" w:hAnsi="Calibri"/>
                <w:b w:val="0"/>
                <w:i w:val="0"/>
                <w:color w:val="212121"/>
                <w:sz w:val="19"/>
              </w:rPr>
              <w:t>30% of Indian acne patients reported soft-drink consumption; adds to glycaemic load</w:t>
            </w:r>
          </w:p>
          <w:p>
            <w:pPr>
              <w:spacing w:after="40" w:line="252" w:lineRule="auto"/>
            </w:pPr>
            <w:hyperlink r:id="rId9">
              <w:r>
                <w:rPr>
                  <w:rFonts w:ascii="Calibri" w:hAnsi="Calibri" w:cs="Calibri"/>
                  <w:sz w:val="18"/>
                  <w:color w:val="1155CC"/>
                  <w:u w:val="single"/>
                </w:rPr>
                <w:t xml:space="preserve">https://ijced.org/archive/volume/6/issue/3/article/7680</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(kg/m2, Asian-Indian)</w:t>
            </w:r>
          </w:p>
        </w:tc>
        <w:tc>
          <w:tcPr>
            <w:tcW w:type="dxa" w:w="1655"/>
            <w:vAlign w:val="top"/>
          </w:tcPr>
          <w:p>
            <w:pPr>
              <w:spacing w:after="40" w:before="0" w:line="259" w:lineRule="auto"/>
            </w:pPr>
            <w:r>
              <w:rPr>
                <w:rFonts w:ascii="Calibri" w:hAnsi="Calibri"/>
                <w:b w:val="0"/>
                <w:i w:val="0"/>
                <w:color w:val="212121"/>
                <w:sz w:val="19"/>
              </w:rPr>
              <w:t>Overweight adults, women with PCOS-related acne</w:t>
            </w:r>
          </w:p>
        </w:tc>
        <w:tc>
          <w:tcPr>
            <w:tcW w:type="dxa" w:w="1512"/>
            <w:vAlign w:val="top"/>
          </w:tcPr>
          <w:p>
            <w:pPr>
              <w:spacing w:after="40" w:before="0" w:line="259" w:lineRule="auto"/>
            </w:pPr>
            <w:r>
              <w:rPr>
                <w:rFonts w:ascii="Calibri" w:hAnsi="Calibri"/>
                <w:b w:val="0"/>
                <w:i w:val="0"/>
                <w:color w:val="212121"/>
                <w:sz w:val="19"/>
              </w:rPr>
              <w:t>18.0-22.9 kg/m2</w:t>
            </w:r>
          </w:p>
        </w:tc>
        <w:tc>
          <w:tcPr>
            <w:tcW w:type="dxa" w:w="1512"/>
            <w:vAlign w:val="top"/>
          </w:tcPr>
          <w:p>
            <w:pPr>
              <w:spacing w:after="40" w:before="0" w:line="259" w:lineRule="auto"/>
            </w:pPr>
            <w:r>
              <w:rPr>
                <w:rFonts w:ascii="Calibri" w:hAnsi="Calibri"/>
                <w:b w:val="0"/>
                <w:i w:val="0"/>
                <w:color w:val="212121"/>
                <w:sz w:val="19"/>
              </w:rPr>
              <w:t>&gt;= 23 (overweight); &gt;= 25 (obese)</w:t>
            </w:r>
          </w:p>
        </w:tc>
        <w:tc>
          <w:tcPr>
            <w:tcW w:type="dxa" w:w="1468"/>
            <w:vAlign w:val="top"/>
          </w:tcPr>
          <w:p>
            <w:pPr>
              <w:spacing w:after="40" w:before="0" w:line="259" w:lineRule="auto"/>
            </w:pPr>
            <w:r>
              <w:rPr>
                <w:rFonts w:ascii="Calibri" w:hAnsi="Calibri"/>
                <w:b w:val="0"/>
                <w:i w:val="0"/>
                <w:color w:val="212121"/>
                <w:sz w:val="19"/>
              </w:rPr>
              <w:t>Higher adiposity raises insulin, IGF-1 and free androgens that stimulate sebum</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Students, high-stress adults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hours or poor quality</w:t>
            </w:r>
          </w:p>
        </w:tc>
        <w:tc>
          <w:tcPr>
            <w:tcW w:type="dxa" w:w="1468"/>
            <w:vAlign w:val="top"/>
          </w:tcPr>
          <w:p>
            <w:pPr>
              <w:spacing w:after="40" w:before="0" w:line="259" w:lineRule="auto"/>
            </w:pPr>
            <w:r>
              <w:rPr>
                <w:rFonts w:ascii="Calibri" w:hAnsi="Calibri"/>
                <w:b w:val="0"/>
                <w:i w:val="0"/>
                <w:color w:val="212121"/>
                <w:sz w:val="19"/>
              </w:rPr>
              <w:t>Sleep loss raises cortisol and stress androgens and is reported to worsen flares</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Dermatology Life Quality Index (DLQI)</w:t>
            </w:r>
          </w:p>
        </w:tc>
        <w:tc>
          <w:tcPr>
            <w:tcW w:type="dxa" w:w="1655"/>
            <w:vAlign w:val="top"/>
          </w:tcPr>
          <w:p>
            <w:pPr>
              <w:spacing w:after="40" w:before="0" w:line="259" w:lineRule="auto"/>
            </w:pPr>
            <w:r>
              <w:rPr>
                <w:rFonts w:ascii="Calibri" w:hAnsi="Calibri"/>
                <w:b w:val="0"/>
                <w:i w:val="0"/>
                <w:color w:val="212121"/>
                <w:sz w:val="19"/>
              </w:rPr>
              <w:t>Adolescents and adults with visible acne</w:t>
            </w:r>
          </w:p>
        </w:tc>
        <w:tc>
          <w:tcPr>
            <w:tcW w:type="dxa" w:w="1512"/>
            <w:vAlign w:val="top"/>
          </w:tcPr>
          <w:p>
            <w:pPr>
              <w:spacing w:after="40" w:before="0" w:line="259" w:lineRule="auto"/>
            </w:pPr>
            <w:r>
              <w:rPr>
                <w:rFonts w:ascii="Calibri" w:hAnsi="Calibri"/>
                <w:b w:val="0"/>
                <w:i w:val="0"/>
                <w:color w:val="212121"/>
                <w:sz w:val="19"/>
              </w:rPr>
              <w:t>0-1 (no effect on life)</w:t>
            </w:r>
          </w:p>
        </w:tc>
        <w:tc>
          <w:tcPr>
            <w:tcW w:type="dxa" w:w="1512"/>
            <w:vAlign w:val="top"/>
          </w:tcPr>
          <w:p>
            <w:pPr>
              <w:spacing w:after="40" w:before="0" w:line="259" w:lineRule="auto"/>
            </w:pPr>
            <w:r>
              <w:rPr>
                <w:rFonts w:ascii="Calibri" w:hAnsi="Calibri"/>
                <w:b w:val="0"/>
                <w:i w:val="0"/>
                <w:color w:val="212121"/>
                <w:sz w:val="19"/>
              </w:rPr>
              <w:t>&gt;= 6 (moderate-to-very-large effect)</w:t>
            </w:r>
          </w:p>
        </w:tc>
        <w:tc>
          <w:tcPr>
            <w:tcW w:type="dxa" w:w="1468"/>
            <w:vAlign w:val="top"/>
          </w:tcPr>
          <w:p>
            <w:pPr>
              <w:spacing w:after="60" w:line="259" w:lineRule="auto"/>
            </w:pPr>
            <w:r>
              <w:rPr>
                <w:rFonts w:ascii="Calibri" w:hAnsi="Calibri"/>
                <w:b w:val="0"/>
                <w:i w:val="0"/>
                <w:color w:val="212121"/>
                <w:sz w:val="19"/>
              </w:rPr>
              <w:t>Acne commonly impairs quality of life in young people and should prompt psychological support</w:t>
            </w:r>
          </w:p>
          <w:p>
            <w:pPr>
              <w:spacing w:after="40" w:line="252" w:lineRule="auto"/>
            </w:pPr>
            <w:hyperlink r:id="rId12">
              <w:r>
                <w:rPr>
                  <w:rFonts w:ascii="Calibri" w:hAnsi="Calibri" w:cs="Calibri"/>
                  <w:sz w:val="18"/>
                  <w:color w:val="1155CC"/>
                  <w:u w:val="single"/>
                </w:rPr>
                <w:t xml:space="preserve">https://pmc.ncbi.nlm.nih.gov/articles/PMC4318060/</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Adolescent and adult smokers</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&gt;= 1 per day</w:t>
            </w:r>
          </w:p>
        </w:tc>
        <w:tc>
          <w:tcPr>
            <w:tcW w:type="dxa" w:w="1468"/>
            <w:vAlign w:val="top"/>
          </w:tcPr>
          <w:p>
            <w:pPr>
              <w:spacing w:after="60" w:line="259" w:lineRule="auto"/>
            </w:pPr>
            <w:r>
              <w:rPr>
                <w:rFonts w:ascii="Calibri" w:hAnsi="Calibri"/>
                <w:b w:val="0"/>
                <w:i w:val="0"/>
                <w:color w:val="212121"/>
                <w:sz w:val="19"/>
              </w:rPr>
              <w:t>Associated with a comedonal post-adolescent pattern and poorer wound healing/scarring</w:t>
            </w:r>
          </w:p>
          <w:p>
            <w:pPr>
              <w:spacing w:after="40" w:line="252" w:lineRule="auto"/>
            </w:pPr>
            <w:hyperlink r:id="rId9">
              <w:r>
                <w:rPr>
                  <w:rFonts w:ascii="Calibri" w:hAnsi="Calibri" w:cs="Calibri"/>
                  <w:sz w:val="18"/>
                  <w:color w:val="1155CC"/>
                  <w:u w:val="single"/>
                </w:rPr>
                <w:t xml:space="preserve">https://ijced.org/archive/volume/6/issue/3/article/7680</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Comedogenic product use</w:t>
            </w:r>
          </w:p>
        </w:tc>
        <w:tc>
          <w:tcPr>
            <w:tcW w:type="dxa" w:w="1655"/>
            <w:vAlign w:val="top"/>
          </w:tcPr>
          <w:p>
            <w:pPr>
              <w:spacing w:after="40" w:before="0" w:line="259" w:lineRule="auto"/>
            </w:pPr>
            <w:r>
              <w:rPr>
                <w:rFonts w:ascii="Calibri" w:hAnsi="Calibri"/>
                <w:b w:val="0"/>
                <w:i w:val="0"/>
                <w:color w:val="212121"/>
                <w:sz w:val="19"/>
              </w:rPr>
              <w:t>Cosmetic and hair-oil users</w:t>
            </w:r>
          </w:p>
        </w:tc>
        <w:tc>
          <w:tcPr>
            <w:tcW w:type="dxa" w:w="1512"/>
            <w:vAlign w:val="top"/>
          </w:tcPr>
          <w:p>
            <w:pPr>
              <w:spacing w:after="40" w:before="0" w:line="259" w:lineRule="auto"/>
            </w:pPr>
            <w:r>
              <w:rPr>
                <w:rFonts w:ascii="Calibri" w:hAnsi="Calibri"/>
                <w:b w:val="0"/>
                <w:i w:val="0"/>
                <w:color w:val="212121"/>
                <w:sz w:val="19"/>
              </w:rPr>
              <w:t>Non-comedogenic, oil-free products; make-up removed before bed</w:t>
            </w:r>
          </w:p>
        </w:tc>
        <w:tc>
          <w:tcPr>
            <w:tcW w:type="dxa" w:w="1512"/>
            <w:vAlign w:val="top"/>
          </w:tcPr>
          <w:p>
            <w:pPr>
              <w:spacing w:after="40" w:before="0" w:line="259" w:lineRule="auto"/>
            </w:pPr>
            <w:r>
              <w:rPr>
                <w:rFonts w:ascii="Calibri" w:hAnsi="Calibri"/>
                <w:b w:val="0"/>
                <w:i w:val="0"/>
                <w:color w:val="212121"/>
                <w:sz w:val="19"/>
              </w:rPr>
              <w:t>Heavy oils/pomades, comedogenic cosmetics, occlusive layering</w:t>
            </w:r>
          </w:p>
        </w:tc>
        <w:tc>
          <w:tcPr>
            <w:tcW w:type="dxa" w:w="1468"/>
            <w:vAlign w:val="top"/>
          </w:tcPr>
          <w:p>
            <w:pPr>
              <w:spacing w:after="60" w:line="259" w:lineRule="auto"/>
            </w:pPr>
            <w:r>
              <w:rPr>
                <w:rFonts w:ascii="Calibri" w:hAnsi="Calibri"/>
                <w:b w:val="0"/>
                <w:i w:val="0"/>
                <w:color w:val="212121"/>
                <w:sz w:val="19"/>
              </w:rPr>
              <w:t>35% of Indian patients reported acne aggravation after cosmetic use</w:t>
            </w:r>
          </w:p>
          <w:p>
            <w:pPr>
              <w:spacing w:after="40" w:line="252" w:lineRule="auto"/>
            </w:pPr>
            <w:hyperlink r:id="rId9">
              <w:r>
                <w:rPr>
                  <w:rFonts w:ascii="Calibri" w:hAnsi="Calibri" w:cs="Calibri"/>
                  <w:sz w:val="18"/>
                  <w:color w:val="1155CC"/>
                  <w:u w:val="single"/>
                </w:rPr>
                <w:t xml:space="preserve">https://ijced.org/archive/volume/6/issue/3/article/7680</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Face cleansing frequency</w:t>
            </w:r>
          </w:p>
        </w:tc>
        <w:tc>
          <w:tcPr>
            <w:tcW w:type="dxa" w:w="1655"/>
            <w:vAlign w:val="top"/>
          </w:tcPr>
          <w:p>
            <w:pPr>
              <w:spacing w:after="40" w:before="0" w:line="259" w:lineRule="auto"/>
            </w:pPr>
            <w:r>
              <w:rPr>
                <w:rFonts w:ascii="Calibri" w:hAnsi="Calibri"/>
                <w:b w:val="0"/>
                <w:i w:val="0"/>
                <w:color w:val="212121"/>
                <w:sz w:val="19"/>
              </w:rPr>
              <w:t>All acne patients</w:t>
            </w:r>
          </w:p>
        </w:tc>
        <w:tc>
          <w:tcPr>
            <w:tcW w:type="dxa" w:w="1512"/>
            <w:vAlign w:val="top"/>
          </w:tcPr>
          <w:p>
            <w:pPr>
              <w:spacing w:after="40" w:before="0" w:line="259" w:lineRule="auto"/>
            </w:pPr>
            <w:r>
              <w:rPr>
                <w:rFonts w:ascii="Calibri" w:hAnsi="Calibri"/>
                <w:b w:val="0"/>
                <w:i w:val="0"/>
                <w:color w:val="212121"/>
                <w:sz w:val="19"/>
              </w:rPr>
              <w:t>Twice daily with a gentle cleanser</w:t>
            </w:r>
          </w:p>
        </w:tc>
        <w:tc>
          <w:tcPr>
            <w:tcW w:type="dxa" w:w="1512"/>
            <w:vAlign w:val="top"/>
          </w:tcPr>
          <w:p>
            <w:pPr>
              <w:spacing w:after="40" w:before="0" w:line="259" w:lineRule="auto"/>
            </w:pPr>
            <w:r>
              <w:rPr>
                <w:rFonts w:ascii="Calibri" w:hAnsi="Calibri"/>
                <w:b w:val="0"/>
                <w:i w:val="0"/>
                <w:color w:val="212121"/>
                <w:sz w:val="19"/>
              </w:rPr>
              <w:t>Over-washing/scrubbing, or failure to remove cosmetics</w:t>
            </w:r>
          </w:p>
        </w:tc>
        <w:tc>
          <w:tcPr>
            <w:tcW w:type="dxa" w:w="1468"/>
            <w:vAlign w:val="top"/>
          </w:tcPr>
          <w:p>
            <w:pPr>
              <w:spacing w:after="40" w:before="0" w:line="259" w:lineRule="auto"/>
            </w:pPr>
            <w:r>
              <w:rPr>
                <w:rFonts w:ascii="Calibri" w:hAnsi="Calibri"/>
                <w:b w:val="0"/>
                <w:i w:val="0"/>
                <w:color w:val="212121"/>
                <w:sz w:val="19"/>
              </w:rPr>
              <w:t>Both extremes worsen acne; hygiene practices do not cause acne but affect its course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Hormonal</w:t>
            </w:r>
          </w:p>
        </w:tc>
        <w:tc>
          <w:tcPr>
            <w:tcW w:type="dxa" w:w="1036"/>
            <w:vAlign w:val="top"/>
          </w:tcPr>
          <w:p>
            <w:pPr>
              <w:spacing w:after="40" w:before="0" w:line="259" w:lineRule="auto"/>
            </w:pPr>
            <w:r>
              <w:rPr>
                <w:rFonts w:ascii="Calibri" w:hAnsi="Calibri"/>
                <w:b w:val="0"/>
                <w:i w:val="0"/>
                <w:color w:val="212121"/>
                <w:sz w:val="16"/>
              </w:rPr>
              <w:t>Total &amp; free testosterone (women)</w:t>
            </w:r>
          </w:p>
        </w:tc>
        <w:tc>
          <w:tcPr>
            <w:tcW w:type="dxa" w:w="892"/>
            <w:vAlign w:val="top"/>
          </w:tcPr>
          <w:p>
            <w:pPr>
              <w:spacing w:after="40" w:before="0" w:line="259" w:lineRule="auto"/>
            </w:pPr>
            <w:r>
              <w:rPr>
                <w:rFonts w:ascii="Calibri" w:hAnsi="Calibri"/>
                <w:b w:val="0"/>
                <w:i w:val="0"/>
                <w:color w:val="212121"/>
                <w:sz w:val="16"/>
              </w:rPr>
              <w:t>Serum androgen assay</w:t>
            </w:r>
          </w:p>
        </w:tc>
        <w:tc>
          <w:tcPr>
            <w:tcW w:type="dxa" w:w="950"/>
            <w:vAlign w:val="top"/>
          </w:tcPr>
          <w:p>
            <w:pPr>
              <w:spacing w:after="40" w:before="0" w:line="259" w:lineRule="auto"/>
            </w:pPr>
            <w:r>
              <w:rPr>
                <w:rFonts w:ascii="Calibri" w:hAnsi="Calibri"/>
                <w:b w:val="0"/>
                <w:i w:val="0"/>
                <w:color w:val="212121"/>
                <w:sz w:val="16"/>
              </w:rPr>
              <w:t>Total ~15-70 ng/dL; free within lab reference</w:t>
            </w:r>
          </w:p>
        </w:tc>
        <w:tc>
          <w:tcPr>
            <w:tcW w:type="dxa" w:w="950"/>
            <w:vAlign w:val="top"/>
          </w:tcPr>
          <w:p>
            <w:pPr>
              <w:spacing w:after="40" w:before="0" w:line="259" w:lineRule="auto"/>
            </w:pPr>
            <w:r>
              <w:rPr>
                <w:rFonts w:ascii="Calibri" w:hAnsi="Calibri"/>
                <w:b w:val="0"/>
                <w:i w:val="0"/>
                <w:color w:val="212121"/>
                <w:sz w:val="16"/>
              </w:rPr>
              <w:t>Elevated total (&gt; ~70-80 ng/dL) or raised free testosterone</w:t>
            </w:r>
          </w:p>
        </w:tc>
        <w:tc>
          <w:tcPr>
            <w:tcW w:type="dxa" w:w="1036"/>
            <w:vAlign w:val="top"/>
          </w:tcPr>
          <w:p>
            <w:pPr>
              <w:spacing w:after="40" w:before="0" w:line="259" w:lineRule="auto"/>
            </w:pPr>
            <w:r>
              <w:rPr>
                <w:rFonts w:ascii="Calibri" w:hAnsi="Calibri"/>
                <w:b w:val="0"/>
                <w:i w:val="0"/>
                <w:color w:val="212121"/>
                <w:sz w:val="16"/>
              </w:rPr>
              <w:t>Confirms hyperandrogenism; a markedly high value suggests an androgen-secreting tumour</w:t>
            </w:r>
          </w:p>
        </w:tc>
        <w:tc>
          <w:tcPr>
            <w:tcW w:type="dxa" w:w="1036"/>
            <w:vAlign w:val="top"/>
          </w:tcPr>
          <w:p>
            <w:pPr>
              <w:spacing w:after="40" w:before="0" w:line="259" w:lineRule="auto"/>
            </w:pPr>
            <w:r>
              <w:rPr>
                <w:rFonts w:ascii="Calibri" w:hAnsi="Calibri"/>
                <w:b w:val="0"/>
                <w:i w:val="0"/>
                <w:color w:val="212121"/>
                <w:sz w:val="16"/>
              </w:rPr>
              <w:t>Women with acne plus hirsutism, irregular menses, or sudden severe acne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Measure off hormonal contraception; free testosterone is more sensitive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Hormonal</w:t>
            </w:r>
          </w:p>
        </w:tc>
        <w:tc>
          <w:tcPr>
            <w:tcW w:type="dxa" w:w="1036"/>
            <w:vAlign w:val="top"/>
          </w:tcPr>
          <w:p>
            <w:pPr>
              <w:spacing w:after="40" w:before="0" w:line="259" w:lineRule="auto"/>
            </w:pPr>
            <w:r>
              <w:rPr>
                <w:rFonts w:ascii="Calibri" w:hAnsi="Calibri"/>
                <w:b w:val="0"/>
                <w:i w:val="0"/>
                <w:color w:val="212121"/>
                <w:sz w:val="16"/>
              </w:rPr>
              <w:t>DHEA-sulphate (DHEAS)</w:t>
            </w:r>
          </w:p>
        </w:tc>
        <w:tc>
          <w:tcPr>
            <w:tcW w:type="dxa" w:w="892"/>
            <w:vAlign w:val="top"/>
          </w:tcPr>
          <w:p>
            <w:pPr>
              <w:spacing w:after="40" w:before="0" w:line="259" w:lineRule="auto"/>
            </w:pPr>
            <w:r>
              <w:rPr>
                <w:rFonts w:ascii="Calibri" w:hAnsi="Calibri"/>
                <w:b w:val="0"/>
                <w:i w:val="0"/>
                <w:color w:val="212121"/>
                <w:sz w:val="16"/>
              </w:rPr>
              <w:t>Serum androgen assay</w:t>
            </w:r>
          </w:p>
        </w:tc>
        <w:tc>
          <w:tcPr>
            <w:tcW w:type="dxa" w:w="950"/>
            <w:vAlign w:val="top"/>
          </w:tcPr>
          <w:p>
            <w:pPr>
              <w:spacing w:after="40" w:before="0" w:line="259" w:lineRule="auto"/>
            </w:pPr>
            <w:r>
              <w:rPr>
                <w:rFonts w:ascii="Calibri" w:hAnsi="Calibri"/>
                <w:b w:val="0"/>
                <w:i w:val="0"/>
                <w:color w:val="212121"/>
                <w:sz w:val="16"/>
              </w:rPr>
              <w:t>Age/sex-specific reference range</w:t>
            </w:r>
          </w:p>
        </w:tc>
        <w:tc>
          <w:tcPr>
            <w:tcW w:type="dxa" w:w="950"/>
            <w:vAlign w:val="top"/>
          </w:tcPr>
          <w:p>
            <w:pPr>
              <w:spacing w:after="40" w:before="0" w:line="259" w:lineRule="auto"/>
            </w:pPr>
            <w:r>
              <w:rPr>
                <w:rFonts w:ascii="Calibri" w:hAnsi="Calibri"/>
                <w:b w:val="0"/>
                <w:i w:val="0"/>
                <w:color w:val="212121"/>
                <w:sz w:val="16"/>
              </w:rPr>
              <w:t>Elevated; markedly high (&gt; ~700 mcg/dL) suggests adrenal source</w:t>
            </w:r>
          </w:p>
        </w:tc>
        <w:tc>
          <w:tcPr>
            <w:tcW w:type="dxa" w:w="1036"/>
            <w:vAlign w:val="top"/>
          </w:tcPr>
          <w:p>
            <w:pPr>
              <w:spacing w:after="40" w:before="0" w:line="259" w:lineRule="auto"/>
            </w:pPr>
            <w:r>
              <w:rPr>
                <w:rFonts w:ascii="Calibri" w:hAnsi="Calibri"/>
                <w:b w:val="0"/>
                <w:i w:val="0"/>
                <w:color w:val="212121"/>
                <w:sz w:val="16"/>
              </w:rPr>
              <w:t>Identifies an adrenal contribution to androgen excess</w:t>
            </w:r>
          </w:p>
        </w:tc>
        <w:tc>
          <w:tcPr>
            <w:tcW w:type="dxa" w:w="1036"/>
            <w:vAlign w:val="top"/>
          </w:tcPr>
          <w:p>
            <w:pPr>
              <w:spacing w:after="40" w:before="0" w:line="259" w:lineRule="auto"/>
            </w:pPr>
            <w:r>
              <w:rPr>
                <w:rFonts w:ascii="Calibri" w:hAnsi="Calibri"/>
                <w:b w:val="0"/>
                <w:i w:val="0"/>
                <w:color w:val="212121"/>
                <w:sz w:val="16"/>
              </w:rPr>
              <w:t>Sudden, severe or virilising acne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Very high values warrant adrenal imaging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Hormonal</w:t>
            </w:r>
          </w:p>
        </w:tc>
        <w:tc>
          <w:tcPr>
            <w:tcW w:type="dxa" w:w="1036"/>
            <w:vAlign w:val="top"/>
          </w:tcPr>
          <w:p>
            <w:pPr>
              <w:spacing w:after="40" w:before="0" w:line="259" w:lineRule="auto"/>
            </w:pPr>
            <w:r>
              <w:rPr>
                <w:rFonts w:ascii="Calibri" w:hAnsi="Calibri"/>
                <w:b w:val="0"/>
                <w:i w:val="0"/>
                <w:color w:val="212121"/>
                <w:sz w:val="16"/>
              </w:rPr>
              <w:t>LH : FSH ratio</w:t>
            </w:r>
          </w:p>
        </w:tc>
        <w:tc>
          <w:tcPr>
            <w:tcW w:type="dxa" w:w="892"/>
            <w:vAlign w:val="top"/>
          </w:tcPr>
          <w:p>
            <w:pPr>
              <w:spacing w:after="40" w:before="0" w:line="259" w:lineRule="auto"/>
            </w:pPr>
            <w:r>
              <w:rPr>
                <w:rFonts w:ascii="Calibri" w:hAnsi="Calibri"/>
                <w:b w:val="0"/>
                <w:i w:val="0"/>
                <w:color w:val="212121"/>
                <w:sz w:val="16"/>
              </w:rPr>
              <w:t>Gonadotrophin assay</w:t>
            </w:r>
          </w:p>
        </w:tc>
        <w:tc>
          <w:tcPr>
            <w:tcW w:type="dxa" w:w="950"/>
            <w:vAlign w:val="top"/>
          </w:tcPr>
          <w:p>
            <w:pPr>
              <w:spacing w:after="40" w:before="0" w:line="259" w:lineRule="auto"/>
            </w:pPr>
            <w:r>
              <w:rPr>
                <w:rFonts w:ascii="Calibri" w:hAnsi="Calibri"/>
                <w:b w:val="0"/>
                <w:i w:val="0"/>
                <w:color w:val="212121"/>
                <w:sz w:val="16"/>
              </w:rPr>
              <w:t>Approximately 1:1</w:t>
            </w:r>
          </w:p>
        </w:tc>
        <w:tc>
          <w:tcPr>
            <w:tcW w:type="dxa" w:w="950"/>
            <w:vAlign w:val="top"/>
          </w:tcPr>
          <w:p>
            <w:pPr>
              <w:spacing w:after="40" w:before="0" w:line="259" w:lineRule="auto"/>
            </w:pPr>
            <w:r>
              <w:rPr>
                <w:rFonts w:ascii="Calibri" w:hAnsi="Calibri"/>
                <w:b w:val="0"/>
                <w:i w:val="0"/>
                <w:color w:val="212121"/>
                <w:sz w:val="16"/>
              </w:rPr>
              <w:t>&gt;= 2:1</w:t>
            </w:r>
          </w:p>
        </w:tc>
        <w:tc>
          <w:tcPr>
            <w:tcW w:type="dxa" w:w="1036"/>
            <w:vAlign w:val="top"/>
          </w:tcPr>
          <w:p>
            <w:pPr>
              <w:spacing w:after="40" w:before="0" w:line="259" w:lineRule="auto"/>
            </w:pPr>
            <w:r>
              <w:rPr>
                <w:rFonts w:ascii="Calibri" w:hAnsi="Calibri"/>
                <w:b w:val="0"/>
                <w:i w:val="0"/>
                <w:color w:val="212121"/>
                <w:sz w:val="16"/>
              </w:rPr>
              <w:t>A raised ratio supports polycystic ovary syndrome</w:t>
            </w:r>
          </w:p>
        </w:tc>
        <w:tc>
          <w:tcPr>
            <w:tcW w:type="dxa" w:w="1036"/>
            <w:vAlign w:val="top"/>
          </w:tcPr>
          <w:p>
            <w:pPr>
              <w:spacing w:after="40" w:before="0" w:line="259" w:lineRule="auto"/>
            </w:pPr>
            <w:r>
              <w:rPr>
                <w:rFonts w:ascii="Calibri" w:hAnsi="Calibri"/>
                <w:b w:val="0"/>
                <w:i w:val="0"/>
                <w:color w:val="212121"/>
                <w:sz w:val="16"/>
              </w:rPr>
              <w:t>Women with acne and oligomenorrhoea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Not diagnostic alone; interpret with clinical and ultrasound findings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insulin &amp; HOMA-IR</w:t>
            </w:r>
          </w:p>
        </w:tc>
        <w:tc>
          <w:tcPr>
            <w:tcW w:type="dxa" w:w="892"/>
            <w:vAlign w:val="top"/>
          </w:tcPr>
          <w:p>
            <w:pPr>
              <w:spacing w:after="40" w:before="0" w:line="259" w:lineRule="auto"/>
            </w:pPr>
            <w:r>
              <w:rPr>
                <w:rFonts w:ascii="Calibri" w:hAnsi="Calibri"/>
                <w:b w:val="0"/>
                <w:i w:val="0"/>
                <w:color w:val="212121"/>
                <w:sz w:val="16"/>
              </w:rPr>
              <w:t>Metabolic panel</w:t>
            </w:r>
          </w:p>
        </w:tc>
        <w:tc>
          <w:tcPr>
            <w:tcW w:type="dxa" w:w="950"/>
            <w:vAlign w:val="top"/>
          </w:tcPr>
          <w:p>
            <w:pPr>
              <w:spacing w:after="40" w:before="0" w:line="259" w:lineRule="auto"/>
            </w:pPr>
            <w:r>
              <w:rPr>
                <w:rFonts w:ascii="Calibri" w:hAnsi="Calibri"/>
                <w:b w:val="0"/>
                <w:i w:val="0"/>
                <w:color w:val="212121"/>
                <w:sz w:val="16"/>
              </w:rPr>
              <w:t>Fasting glucose &lt; 100 mg/dL; HOMA-IR within lab normal</w:t>
            </w:r>
          </w:p>
        </w:tc>
        <w:tc>
          <w:tcPr>
            <w:tcW w:type="dxa" w:w="950"/>
            <w:vAlign w:val="top"/>
          </w:tcPr>
          <w:p>
            <w:pPr>
              <w:spacing w:after="40" w:before="0" w:line="259" w:lineRule="auto"/>
            </w:pPr>
            <w:r>
              <w:rPr>
                <w:rFonts w:ascii="Calibri" w:hAnsi="Calibri"/>
                <w:b w:val="0"/>
                <w:i w:val="0"/>
                <w:color w:val="212121"/>
                <w:sz w:val="16"/>
              </w:rPr>
              <w:t>Raised fasting insulin / HOMA-IR (insulin resistance)</w:t>
            </w:r>
          </w:p>
        </w:tc>
        <w:tc>
          <w:tcPr>
            <w:tcW w:type="dxa" w:w="1036"/>
            <w:vAlign w:val="top"/>
          </w:tcPr>
          <w:p>
            <w:pPr>
              <w:spacing w:after="40" w:before="0" w:line="259" w:lineRule="auto"/>
            </w:pPr>
            <w:r>
              <w:rPr>
                <w:rFonts w:ascii="Calibri" w:hAnsi="Calibri"/>
                <w:b w:val="0"/>
                <w:i w:val="0"/>
                <w:color w:val="212121"/>
                <w:sz w:val="16"/>
              </w:rPr>
              <w:t>Insulin resistance drives IGF-1 and androgen-mediated sebum production</w:t>
            </w:r>
          </w:p>
        </w:tc>
        <w:tc>
          <w:tcPr>
            <w:tcW w:type="dxa" w:w="1036"/>
            <w:vAlign w:val="top"/>
          </w:tcPr>
          <w:p>
            <w:pPr>
              <w:spacing w:after="40" w:before="0" w:line="259" w:lineRule="auto"/>
            </w:pPr>
            <w:r>
              <w:rPr>
                <w:rFonts w:ascii="Calibri" w:hAnsi="Calibri"/>
                <w:b w:val="0"/>
                <w:i w:val="0"/>
                <w:color w:val="212121"/>
                <w:sz w:val="16"/>
              </w:rPr>
              <w:t>PCOS, overweight/obese, metabolic syndrome</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Guides diet and insulin-sensitising therapy in selected women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Hormonal</w:t>
            </w:r>
          </w:p>
        </w:tc>
        <w:tc>
          <w:tcPr>
            <w:tcW w:type="dxa" w:w="1036"/>
            <w:vAlign w:val="top"/>
          </w:tcPr>
          <w:p>
            <w:pPr>
              <w:spacing w:after="40" w:before="0" w:line="259" w:lineRule="auto"/>
            </w:pPr>
            <w:r>
              <w:rPr>
                <w:rFonts w:ascii="Calibri" w:hAnsi="Calibri"/>
                <w:b w:val="0"/>
                <w:i w:val="0"/>
                <w:color w:val="212121"/>
                <w:sz w:val="16"/>
              </w:rPr>
              <w:t>17-hydroxyprogesterone</w:t>
            </w:r>
          </w:p>
        </w:tc>
        <w:tc>
          <w:tcPr>
            <w:tcW w:type="dxa" w:w="892"/>
            <w:vAlign w:val="top"/>
          </w:tcPr>
          <w:p>
            <w:pPr>
              <w:spacing w:after="40" w:before="0" w:line="259" w:lineRule="auto"/>
            </w:pPr>
            <w:r>
              <w:rPr>
                <w:rFonts w:ascii="Calibri" w:hAnsi="Calibri"/>
                <w:b w:val="0"/>
                <w:i w:val="0"/>
                <w:color w:val="212121"/>
                <w:sz w:val="16"/>
              </w:rPr>
              <w:t>Adrenal steroid assay</w:t>
            </w:r>
          </w:p>
        </w:tc>
        <w:tc>
          <w:tcPr>
            <w:tcW w:type="dxa" w:w="950"/>
            <w:vAlign w:val="top"/>
          </w:tcPr>
          <w:p>
            <w:pPr>
              <w:spacing w:after="40" w:before="0" w:line="259" w:lineRule="auto"/>
            </w:pPr>
            <w:r>
              <w:rPr>
                <w:rFonts w:ascii="Calibri" w:hAnsi="Calibri"/>
                <w:b w:val="0"/>
                <w:i w:val="0"/>
                <w:color w:val="212121"/>
                <w:sz w:val="16"/>
              </w:rPr>
              <w:t>&lt; ~200 ng/dL (follicular phase)</w:t>
            </w:r>
          </w:p>
        </w:tc>
        <w:tc>
          <w:tcPr>
            <w:tcW w:type="dxa" w:w="950"/>
            <w:vAlign w:val="top"/>
          </w:tcPr>
          <w:p>
            <w:pPr>
              <w:spacing w:after="40" w:before="0" w:line="259" w:lineRule="auto"/>
            </w:pPr>
            <w:r>
              <w:rPr>
                <w:rFonts w:ascii="Calibri" w:hAnsi="Calibri"/>
                <w:b w:val="0"/>
                <w:i w:val="0"/>
                <w:color w:val="212121"/>
                <w:sz w:val="16"/>
              </w:rPr>
              <w:t>Elevated, especially on ACTH stimulation</w:t>
            </w:r>
          </w:p>
        </w:tc>
        <w:tc>
          <w:tcPr>
            <w:tcW w:type="dxa" w:w="1036"/>
            <w:vAlign w:val="top"/>
          </w:tcPr>
          <w:p>
            <w:pPr>
              <w:spacing w:after="40" w:before="0" w:line="259" w:lineRule="auto"/>
            </w:pPr>
            <w:r>
              <w:rPr>
                <w:rFonts w:ascii="Calibri" w:hAnsi="Calibri"/>
                <w:b w:val="0"/>
                <w:i w:val="0"/>
                <w:color w:val="212121"/>
                <w:sz w:val="16"/>
              </w:rPr>
              <w:t>Screens for non-classic congenital adrenal hyperplasia</w:t>
            </w:r>
          </w:p>
        </w:tc>
        <w:tc>
          <w:tcPr>
            <w:tcW w:type="dxa" w:w="1036"/>
            <w:vAlign w:val="top"/>
          </w:tcPr>
          <w:p>
            <w:pPr>
              <w:spacing w:after="40" w:before="0" w:line="259" w:lineRule="auto"/>
            </w:pPr>
            <w:r>
              <w:rPr>
                <w:rFonts w:ascii="Calibri" w:hAnsi="Calibri"/>
                <w:b w:val="0"/>
                <w:i w:val="0"/>
                <w:color w:val="212121"/>
                <w:sz w:val="16"/>
              </w:rPr>
              <w:t>Treatment-resistant hyperandrogenic acne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Sample in the early morning, follicular phase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Prolactin &amp; TSH</w:t>
            </w:r>
          </w:p>
        </w:tc>
        <w:tc>
          <w:tcPr>
            <w:tcW w:type="dxa" w:w="892"/>
            <w:vAlign w:val="top"/>
          </w:tcPr>
          <w:p>
            <w:pPr>
              <w:spacing w:after="40" w:before="0" w:line="259" w:lineRule="auto"/>
            </w:pPr>
            <w:r>
              <w:rPr>
                <w:rFonts w:ascii="Calibri" w:hAnsi="Calibri"/>
                <w:b w:val="0"/>
                <w:i w:val="0"/>
                <w:color w:val="212121"/>
                <w:sz w:val="16"/>
              </w:rPr>
              <w:t>Endocrine screen</w:t>
            </w:r>
          </w:p>
        </w:tc>
        <w:tc>
          <w:tcPr>
            <w:tcW w:type="dxa" w:w="950"/>
            <w:vAlign w:val="top"/>
          </w:tcPr>
          <w:p>
            <w:pPr>
              <w:spacing w:after="40" w:before="0" w:line="259" w:lineRule="auto"/>
            </w:pPr>
            <w:r>
              <w:rPr>
                <w:rFonts w:ascii="Calibri" w:hAnsi="Calibri"/>
                <w:b w:val="0"/>
                <w:i w:val="0"/>
                <w:color w:val="212121"/>
                <w:sz w:val="16"/>
              </w:rPr>
              <w:t>Prolactin within reference; TSH 0.4-4.0 mIU/L</w:t>
            </w:r>
          </w:p>
        </w:tc>
        <w:tc>
          <w:tcPr>
            <w:tcW w:type="dxa" w:w="950"/>
            <w:vAlign w:val="top"/>
          </w:tcPr>
          <w:p>
            <w:pPr>
              <w:spacing w:after="40" w:before="0" w:line="259" w:lineRule="auto"/>
            </w:pPr>
            <w:r>
              <w:rPr>
                <w:rFonts w:ascii="Calibri" w:hAnsi="Calibri"/>
                <w:b w:val="0"/>
                <w:i w:val="0"/>
                <w:color w:val="212121"/>
                <w:sz w:val="16"/>
              </w:rPr>
              <w:t>Raised prolactin or abnormal TSH</w:t>
            </w:r>
          </w:p>
        </w:tc>
        <w:tc>
          <w:tcPr>
            <w:tcW w:type="dxa" w:w="1036"/>
            <w:vAlign w:val="top"/>
          </w:tcPr>
          <w:p>
            <w:pPr>
              <w:spacing w:after="40" w:before="0" w:line="259" w:lineRule="auto"/>
            </w:pPr>
            <w:r>
              <w:rPr>
                <w:rFonts w:ascii="Calibri" w:hAnsi="Calibri"/>
                <w:b w:val="0"/>
                <w:i w:val="0"/>
                <w:color w:val="212121"/>
                <w:sz w:val="16"/>
              </w:rPr>
              <w:t>Excludes other endocrine causes of menstrual and androgen disturbance</w:t>
            </w:r>
          </w:p>
        </w:tc>
        <w:tc>
          <w:tcPr>
            <w:tcW w:type="dxa" w:w="1036"/>
            <w:vAlign w:val="top"/>
          </w:tcPr>
          <w:p>
            <w:pPr>
              <w:spacing w:after="40" w:before="0" w:line="259" w:lineRule="auto"/>
            </w:pPr>
            <w:r>
              <w:rPr>
                <w:rFonts w:ascii="Calibri" w:hAnsi="Calibri"/>
                <w:b w:val="0"/>
                <w:i w:val="0"/>
                <w:color w:val="212121"/>
                <w:sz w:val="16"/>
              </w:rPr>
              <w:t>Women with acne and menstrual irregularity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Part of the hyperandrogenism work-up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Pelvic ultrasound (ovarian morphology)</w:t>
            </w:r>
          </w:p>
        </w:tc>
        <w:tc>
          <w:tcPr>
            <w:tcW w:type="dxa" w:w="892"/>
            <w:vAlign w:val="top"/>
          </w:tcPr>
          <w:p>
            <w:pPr>
              <w:spacing w:after="40" w:before="0" w:line="259" w:lineRule="auto"/>
            </w:pPr>
            <w:r>
              <w:rPr>
                <w:rFonts w:ascii="Calibri" w:hAnsi="Calibri"/>
                <w:b w:val="0"/>
                <w:i w:val="0"/>
                <w:color w:val="212121"/>
                <w:sz w:val="16"/>
              </w:rPr>
              <w:t>Transabdominal/transvaginal USG</w:t>
            </w:r>
          </w:p>
        </w:tc>
        <w:tc>
          <w:tcPr>
            <w:tcW w:type="dxa" w:w="950"/>
            <w:vAlign w:val="top"/>
          </w:tcPr>
          <w:p>
            <w:pPr>
              <w:spacing w:after="40" w:before="0" w:line="259" w:lineRule="auto"/>
            </w:pPr>
            <w:r>
              <w:rPr>
                <w:rFonts w:ascii="Calibri" w:hAnsi="Calibri"/>
                <w:b w:val="0"/>
                <w:i w:val="0"/>
                <w:color w:val="212121"/>
                <w:sz w:val="16"/>
              </w:rPr>
              <w:t>Normal ovarian volume and follicle number</w:t>
            </w:r>
          </w:p>
        </w:tc>
        <w:tc>
          <w:tcPr>
            <w:tcW w:type="dxa" w:w="950"/>
            <w:vAlign w:val="top"/>
          </w:tcPr>
          <w:p>
            <w:pPr>
              <w:spacing w:after="40" w:before="0" w:line="259" w:lineRule="auto"/>
            </w:pPr>
            <w:r>
              <w:rPr>
                <w:rFonts w:ascii="Calibri" w:hAnsi="Calibri"/>
                <w:b w:val="0"/>
                <w:i w:val="0"/>
                <w:color w:val="212121"/>
                <w:sz w:val="16"/>
              </w:rPr>
              <w:t>Polycystic morphology (&gt;= 12 follicles 2-9 mm or ovarian volume &gt; 10 mL)</w:t>
            </w:r>
          </w:p>
        </w:tc>
        <w:tc>
          <w:tcPr>
            <w:tcW w:type="dxa" w:w="1036"/>
            <w:vAlign w:val="top"/>
          </w:tcPr>
          <w:p>
            <w:pPr>
              <w:spacing w:after="40" w:before="0" w:line="259" w:lineRule="auto"/>
            </w:pPr>
            <w:r>
              <w:rPr>
                <w:rFonts w:ascii="Calibri" w:hAnsi="Calibri"/>
                <w:b w:val="0"/>
                <w:i w:val="0"/>
                <w:color w:val="212121"/>
                <w:sz w:val="16"/>
              </w:rPr>
              <w:t>Supports a diagnosis of PCOS within the Rotterdam criteria</w:t>
            </w:r>
          </w:p>
        </w:tc>
        <w:tc>
          <w:tcPr>
            <w:tcW w:type="dxa" w:w="1036"/>
            <w:vAlign w:val="top"/>
          </w:tcPr>
          <w:p>
            <w:pPr>
              <w:spacing w:after="40" w:before="0" w:line="259" w:lineRule="auto"/>
            </w:pPr>
            <w:r>
              <w:rPr>
                <w:rFonts w:ascii="Calibri" w:hAnsi="Calibri"/>
                <w:b w:val="0"/>
                <w:i w:val="0"/>
                <w:color w:val="212121"/>
                <w:sz w:val="16"/>
              </w:rPr>
              <w:t>Women with suspected PCOS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One of three Rotterdam criteria; not required if the other two are met</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Onset &amp; family history</w:t>
            </w:r>
          </w:p>
        </w:tc>
        <w:tc>
          <w:tcPr>
            <w:tcW w:type="dxa" w:w="979"/>
            <w:vAlign w:val="top"/>
          </w:tcPr>
          <w:p>
            <w:pPr>
              <w:spacing w:after="40" w:before="0" w:line="259" w:lineRule="auto"/>
            </w:pPr>
            <w:r>
              <w:rPr>
                <w:rFonts w:ascii="Calibri" w:hAnsi="Calibri"/>
                <w:b w:val="0"/>
                <w:i w:val="0"/>
                <w:color w:val="212121"/>
                <w:sz w:val="16"/>
              </w:rPr>
              <w:t>Age of onset, duration, relatives affected</w:t>
            </w:r>
          </w:p>
        </w:tc>
        <w:tc>
          <w:tcPr>
            <w:tcW w:type="dxa" w:w="950"/>
            <w:vAlign w:val="top"/>
          </w:tcPr>
          <w:p>
            <w:pPr>
              <w:spacing w:after="40" w:before="0" w:line="259" w:lineRule="auto"/>
            </w:pPr>
            <w:r>
              <w:rPr>
                <w:rFonts w:ascii="Calibri" w:hAnsi="Calibri"/>
                <w:b w:val="0"/>
                <w:i w:val="0"/>
                <w:color w:val="212121"/>
                <w:sz w:val="16"/>
              </w:rPr>
              <w:t>No acne / no family history</w:t>
            </w:r>
          </w:p>
        </w:tc>
        <w:tc>
          <w:tcPr>
            <w:tcW w:type="dxa" w:w="950"/>
            <w:vAlign w:val="top"/>
          </w:tcPr>
          <w:p>
            <w:pPr>
              <w:spacing w:after="40" w:before="0" w:line="259" w:lineRule="auto"/>
            </w:pPr>
            <w:r>
              <w:rPr>
                <w:rFonts w:ascii="Calibri" w:hAnsi="Calibri"/>
                <w:b w:val="0"/>
                <w:i w:val="0"/>
                <w:color w:val="212121"/>
                <w:sz w:val="16"/>
              </w:rPr>
              <w:t>Early or severe acne, positive family history</w:t>
            </w:r>
          </w:p>
        </w:tc>
        <w:tc>
          <w:tcPr>
            <w:tcW w:type="dxa" w:w="1036"/>
            <w:vAlign w:val="top"/>
          </w:tcPr>
          <w:p>
            <w:pPr>
              <w:spacing w:after="40" w:before="0" w:line="259" w:lineRule="auto"/>
            </w:pPr>
            <w:r>
              <w:rPr>
                <w:rFonts w:ascii="Calibri" w:hAnsi="Calibri"/>
                <w:b w:val="0"/>
                <w:i w:val="0"/>
                <w:color w:val="212121"/>
                <w:sz w:val="16"/>
              </w:rPr>
              <w:t>Predicts severity, chronicity and scarring risk</w:t>
            </w:r>
          </w:p>
        </w:tc>
        <w:tc>
          <w:tcPr>
            <w:tcW w:type="dxa" w:w="1036"/>
            <w:vAlign w:val="top"/>
          </w:tcPr>
          <w:p>
            <w:pPr>
              <w:spacing w:after="40" w:before="0" w:line="259" w:lineRule="auto"/>
            </w:pPr>
            <w:r>
              <w:rPr>
                <w:rFonts w:ascii="Calibri" w:hAnsi="Calibri"/>
                <w:b w:val="0"/>
                <w:i w:val="0"/>
                <w:color w:val="212121"/>
                <w:sz w:val="16"/>
              </w:rPr>
              <w:t>Adolescents, patients with a family history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 strong family history predicts more severe, treatment-resistant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Menstrual &amp; hormonal history (women)</w:t>
            </w:r>
          </w:p>
        </w:tc>
        <w:tc>
          <w:tcPr>
            <w:tcW w:type="dxa" w:w="979"/>
            <w:vAlign w:val="top"/>
          </w:tcPr>
          <w:p>
            <w:pPr>
              <w:spacing w:after="40" w:before="0" w:line="259" w:lineRule="auto"/>
            </w:pPr>
            <w:r>
              <w:rPr>
                <w:rFonts w:ascii="Calibri" w:hAnsi="Calibri"/>
                <w:b w:val="0"/>
                <w:i w:val="0"/>
                <w:color w:val="212121"/>
                <w:sz w:val="16"/>
              </w:rPr>
              <w:t>Cycle regularity, hirsutism, premenstrual flare, weight gain</w:t>
            </w:r>
          </w:p>
        </w:tc>
        <w:tc>
          <w:tcPr>
            <w:tcW w:type="dxa" w:w="950"/>
            <w:vAlign w:val="top"/>
          </w:tcPr>
          <w:p>
            <w:pPr>
              <w:spacing w:after="40" w:before="0" w:line="259" w:lineRule="auto"/>
            </w:pPr>
            <w:r>
              <w:rPr>
                <w:rFonts w:ascii="Calibri" w:hAnsi="Calibri"/>
                <w:b w:val="0"/>
                <w:i w:val="0"/>
                <w:color w:val="212121"/>
                <w:sz w:val="16"/>
              </w:rPr>
              <w:t>Regular cycles, no hyperandrogenic features</w:t>
            </w:r>
          </w:p>
        </w:tc>
        <w:tc>
          <w:tcPr>
            <w:tcW w:type="dxa" w:w="950"/>
            <w:vAlign w:val="top"/>
          </w:tcPr>
          <w:p>
            <w:pPr>
              <w:spacing w:after="40" w:before="0" w:line="259" w:lineRule="auto"/>
            </w:pPr>
            <w:r>
              <w:rPr>
                <w:rFonts w:ascii="Calibri" w:hAnsi="Calibri"/>
                <w:b w:val="0"/>
                <w:i w:val="0"/>
                <w:color w:val="212121"/>
                <w:sz w:val="16"/>
              </w:rPr>
              <w:t>Oligomenorrhoea, hirsutism, premenstrual flare</w:t>
            </w:r>
          </w:p>
        </w:tc>
        <w:tc>
          <w:tcPr>
            <w:tcW w:type="dxa" w:w="1036"/>
            <w:vAlign w:val="top"/>
          </w:tcPr>
          <w:p>
            <w:pPr>
              <w:spacing w:after="40" w:before="0" w:line="259" w:lineRule="auto"/>
            </w:pPr>
            <w:r>
              <w:rPr>
                <w:rFonts w:ascii="Calibri" w:hAnsi="Calibri"/>
                <w:b w:val="0"/>
                <w:i w:val="0"/>
                <w:color w:val="212121"/>
                <w:sz w:val="16"/>
              </w:rPr>
              <w:t>Points to PCOS or other hyperandrogenism</w:t>
            </w:r>
          </w:p>
        </w:tc>
        <w:tc>
          <w:tcPr>
            <w:tcW w:type="dxa" w:w="1036"/>
            <w:vAlign w:val="top"/>
          </w:tcPr>
          <w:p>
            <w:pPr>
              <w:spacing w:after="40" w:before="0" w:line="259" w:lineRule="auto"/>
            </w:pPr>
            <w:r>
              <w:rPr>
                <w:rFonts w:ascii="Calibri" w:hAnsi="Calibri"/>
                <w:b w:val="0"/>
                <w:i w:val="0"/>
                <w:color w:val="212121"/>
                <w:sz w:val="16"/>
              </w:rPr>
              <w:t>Adult women with jawline/persistent acne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Premenstrual flare reported by ~58% of female patients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Product, drug &amp; dietary history</w:t>
            </w:r>
          </w:p>
        </w:tc>
        <w:tc>
          <w:tcPr>
            <w:tcW w:type="dxa" w:w="979"/>
            <w:vAlign w:val="top"/>
          </w:tcPr>
          <w:p>
            <w:pPr>
              <w:spacing w:after="40" w:before="0" w:line="259" w:lineRule="auto"/>
            </w:pPr>
            <w:r>
              <w:rPr>
                <w:rFonts w:ascii="Calibri" w:hAnsi="Calibri"/>
                <w:b w:val="0"/>
                <w:i w:val="0"/>
                <w:color w:val="212121"/>
                <w:sz w:val="16"/>
              </w:rPr>
              <w:t>Cosmetics/hair oils, steroids/anabolics/lithium, high-GI and dairy intake</w:t>
            </w:r>
          </w:p>
        </w:tc>
        <w:tc>
          <w:tcPr>
            <w:tcW w:type="dxa" w:w="950"/>
            <w:vAlign w:val="top"/>
          </w:tcPr>
          <w:p>
            <w:pPr>
              <w:spacing w:after="40" w:before="0" w:line="259" w:lineRule="auto"/>
            </w:pPr>
            <w:r>
              <w:rPr>
                <w:rFonts w:ascii="Calibri" w:hAnsi="Calibri"/>
                <w:b w:val="0"/>
                <w:i w:val="0"/>
                <w:color w:val="212121"/>
                <w:sz w:val="16"/>
              </w:rPr>
              <w:t>Non-comedogenic products, no provoking drugs, balanced diet</w:t>
            </w:r>
          </w:p>
        </w:tc>
        <w:tc>
          <w:tcPr>
            <w:tcW w:type="dxa" w:w="950"/>
            <w:vAlign w:val="top"/>
          </w:tcPr>
          <w:p>
            <w:pPr>
              <w:spacing w:after="40" w:before="0" w:line="259" w:lineRule="auto"/>
            </w:pPr>
            <w:r>
              <w:rPr>
                <w:rFonts w:ascii="Calibri" w:hAnsi="Calibri"/>
                <w:b w:val="0"/>
                <w:i w:val="0"/>
                <w:color w:val="212121"/>
                <w:sz w:val="16"/>
              </w:rPr>
              <w:t>Heavy oils/cosmetics, acnegenic drugs, high-GI/dairy diet</w:t>
            </w:r>
          </w:p>
        </w:tc>
        <w:tc>
          <w:tcPr>
            <w:tcW w:type="dxa" w:w="1036"/>
            <w:vAlign w:val="top"/>
          </w:tcPr>
          <w:p>
            <w:pPr>
              <w:spacing w:after="40" w:before="0" w:line="259" w:lineRule="auto"/>
            </w:pPr>
            <w:r>
              <w:rPr>
                <w:rFonts w:ascii="Calibri" w:hAnsi="Calibri"/>
                <w:b w:val="0"/>
                <w:i w:val="0"/>
                <w:color w:val="212121"/>
                <w:sz w:val="16"/>
              </w:rPr>
              <w:t>Identifies external and dietary aggravators</w:t>
            </w:r>
          </w:p>
        </w:tc>
        <w:tc>
          <w:tcPr>
            <w:tcW w:type="dxa" w:w="1036"/>
            <w:vAlign w:val="top"/>
          </w:tcPr>
          <w:p>
            <w:pPr>
              <w:spacing w:after="40" w:before="0" w:line="259" w:lineRule="auto"/>
            </w:pPr>
            <w:r>
              <w:rPr>
                <w:rFonts w:ascii="Calibri" w:hAnsi="Calibri"/>
                <w:b w:val="0"/>
                <w:i w:val="0"/>
                <w:color w:val="212121"/>
                <w:sz w:val="16"/>
              </w:rPr>
              <w:t>Cosmetic users, patients on provoking drugs</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Guides first-line lifestyle and product changes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Lesion morphology &amp; count</w:t>
            </w:r>
          </w:p>
        </w:tc>
        <w:tc>
          <w:tcPr>
            <w:tcW w:type="dxa" w:w="979"/>
            <w:vAlign w:val="top"/>
          </w:tcPr>
          <w:p>
            <w:pPr>
              <w:spacing w:after="40" w:before="0" w:line="259" w:lineRule="auto"/>
            </w:pPr>
            <w:r>
              <w:rPr>
                <w:rFonts w:ascii="Calibri" w:hAnsi="Calibri"/>
                <w:b w:val="0"/>
                <w:i w:val="0"/>
                <w:color w:val="212121"/>
                <w:sz w:val="16"/>
              </w:rPr>
              <w:t>Comedones (open/closed), papules, pustules, nodules, cysts</w:t>
            </w:r>
          </w:p>
        </w:tc>
        <w:tc>
          <w:tcPr>
            <w:tcW w:type="dxa" w:w="950"/>
            <w:vAlign w:val="top"/>
          </w:tcPr>
          <w:p>
            <w:pPr>
              <w:spacing w:after="40" w:before="0" w:line="259" w:lineRule="auto"/>
            </w:pPr>
            <w:r>
              <w:rPr>
                <w:rFonts w:ascii="Calibri" w:hAnsi="Calibri"/>
                <w:b w:val="0"/>
                <w:i w:val="0"/>
                <w:color w:val="212121"/>
                <w:sz w:val="16"/>
              </w:rPr>
              <w:t>No lesions</w:t>
            </w:r>
          </w:p>
        </w:tc>
        <w:tc>
          <w:tcPr>
            <w:tcW w:type="dxa" w:w="950"/>
            <w:vAlign w:val="top"/>
          </w:tcPr>
          <w:p>
            <w:pPr>
              <w:spacing w:after="40" w:before="0" w:line="259" w:lineRule="auto"/>
            </w:pPr>
            <w:r>
              <w:rPr>
                <w:rFonts w:ascii="Calibri" w:hAnsi="Calibri"/>
                <w:b w:val="0"/>
                <w:i w:val="0"/>
                <w:color w:val="212121"/>
                <w:sz w:val="16"/>
              </w:rPr>
              <w:t>Any comedones or inflammatory lesions present</w:t>
            </w:r>
          </w:p>
        </w:tc>
        <w:tc>
          <w:tcPr>
            <w:tcW w:type="dxa" w:w="1036"/>
            <w:vAlign w:val="top"/>
          </w:tcPr>
          <w:p>
            <w:pPr>
              <w:spacing w:after="40" w:before="0" w:line="259" w:lineRule="auto"/>
            </w:pPr>
            <w:r>
              <w:rPr>
                <w:rFonts w:ascii="Calibri" w:hAnsi="Calibri"/>
                <w:b w:val="0"/>
                <w:i w:val="0"/>
                <w:color w:val="212121"/>
                <w:sz w:val="16"/>
              </w:rPr>
              <w:t>Confirms diagnosis and defines lesion type</w:t>
            </w:r>
          </w:p>
        </w:tc>
        <w:tc>
          <w:tcPr>
            <w:tcW w:type="dxa" w:w="1036"/>
            <w:vAlign w:val="top"/>
          </w:tcPr>
          <w:p>
            <w:pPr>
              <w:spacing w:after="40" w:before="0" w:line="259" w:lineRule="auto"/>
            </w:pPr>
            <w:r>
              <w:rPr>
                <w:rFonts w:ascii="Calibri" w:hAnsi="Calibri"/>
                <w:b w:val="0"/>
                <w:i w:val="0"/>
                <w:color w:val="212121"/>
                <w:sz w:val="16"/>
              </w:rPr>
              <w:t>All patients with suspected acne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Comedones are the pathognomonic lesion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Distribution</w:t>
            </w:r>
          </w:p>
        </w:tc>
        <w:tc>
          <w:tcPr>
            <w:tcW w:type="dxa" w:w="979"/>
            <w:vAlign w:val="top"/>
          </w:tcPr>
          <w:p>
            <w:pPr>
              <w:spacing w:after="40" w:before="0" w:line="259" w:lineRule="auto"/>
            </w:pPr>
            <w:r>
              <w:rPr>
                <w:rFonts w:ascii="Calibri" w:hAnsi="Calibri"/>
                <w:b w:val="0"/>
                <w:i w:val="0"/>
                <w:color w:val="212121"/>
                <w:sz w:val="16"/>
              </w:rPr>
              <w:t>Face T-zone vs U-zone/jawline; chest, back, shoulders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Seborrhoeic-area involvement; truncal spread</w:t>
            </w:r>
          </w:p>
        </w:tc>
        <w:tc>
          <w:tcPr>
            <w:tcW w:type="dxa" w:w="1036"/>
            <w:vAlign w:val="top"/>
          </w:tcPr>
          <w:p>
            <w:pPr>
              <w:spacing w:after="40" w:before="0" w:line="259" w:lineRule="auto"/>
            </w:pPr>
            <w:r>
              <w:rPr>
                <w:rFonts w:ascii="Calibri" w:hAnsi="Calibri"/>
                <w:b w:val="0"/>
                <w:i w:val="0"/>
                <w:color w:val="212121"/>
                <w:sz w:val="16"/>
              </w:rPr>
              <w:t>T-zone suggests adolescent, U-zone suggests adult/hormonal acne</w:t>
            </w:r>
          </w:p>
        </w:tc>
        <w:tc>
          <w:tcPr>
            <w:tcW w:type="dxa" w:w="1036"/>
            <w:vAlign w:val="top"/>
          </w:tcPr>
          <w:p>
            <w:pPr>
              <w:spacing w:after="40" w:before="0" w:line="259" w:lineRule="auto"/>
            </w:pPr>
            <w:r>
              <w:rPr>
                <w:rFonts w:ascii="Calibri" w:hAnsi="Calibri"/>
                <w:b w:val="0"/>
                <w:i w:val="0"/>
                <w:color w:val="212121"/>
                <w:sz w:val="16"/>
              </w:rPr>
              <w:t>Adolescents, adult women, truncal acne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Back involvement ~28% and chest ~20% in a South Indian series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Severity grading</w:t>
            </w:r>
          </w:p>
        </w:tc>
        <w:tc>
          <w:tcPr>
            <w:tcW w:type="dxa" w:w="979"/>
            <w:vAlign w:val="top"/>
          </w:tcPr>
          <w:p>
            <w:pPr>
              <w:spacing w:after="40" w:before="0" w:line="259" w:lineRule="auto"/>
            </w:pPr>
            <w:r>
              <w:rPr>
                <w:rFonts w:ascii="Calibri" w:hAnsi="Calibri"/>
                <w:b w:val="0"/>
                <w:i w:val="0"/>
                <w:color w:val="212121"/>
                <w:sz w:val="16"/>
              </w:rPr>
              <w:t>GAGS / IGA / mild-moderate-severe</w:t>
            </w:r>
          </w:p>
        </w:tc>
        <w:tc>
          <w:tcPr>
            <w:tcW w:type="dxa" w:w="950"/>
            <w:vAlign w:val="top"/>
          </w:tcPr>
          <w:p>
            <w:pPr>
              <w:spacing w:after="40" w:before="0" w:line="259" w:lineRule="auto"/>
            </w:pPr>
            <w:r>
              <w:rPr>
                <w:rFonts w:ascii="Calibri" w:hAnsi="Calibri"/>
                <w:b w:val="0"/>
                <w:i w:val="0"/>
                <w:color w:val="212121"/>
                <w:sz w:val="16"/>
              </w:rPr>
              <w:t>Clear skin (grade 0)</w:t>
            </w:r>
          </w:p>
        </w:tc>
        <w:tc>
          <w:tcPr>
            <w:tcW w:type="dxa" w:w="950"/>
            <w:vAlign w:val="top"/>
          </w:tcPr>
          <w:p>
            <w:pPr>
              <w:spacing w:after="40" w:before="0" w:line="259" w:lineRule="auto"/>
            </w:pPr>
            <w:r>
              <w:rPr>
                <w:rFonts w:ascii="Calibri" w:hAnsi="Calibri"/>
                <w:b w:val="0"/>
                <w:i w:val="0"/>
                <w:color w:val="212121"/>
                <w:sz w:val="16"/>
              </w:rPr>
              <w:t>Grade 1 (comedonal) to Grade 4 (nodulocystic)</w:t>
            </w:r>
          </w:p>
        </w:tc>
        <w:tc>
          <w:tcPr>
            <w:tcW w:type="dxa" w:w="1036"/>
            <w:vAlign w:val="top"/>
          </w:tcPr>
          <w:p>
            <w:pPr>
              <w:spacing w:after="40" w:before="0" w:line="259" w:lineRule="auto"/>
            </w:pPr>
            <w:r>
              <w:rPr>
                <w:rFonts w:ascii="Calibri" w:hAnsi="Calibri"/>
                <w:b w:val="0"/>
                <w:i w:val="0"/>
                <w:color w:val="212121"/>
                <w:sz w:val="16"/>
              </w:rPr>
              <w:t>Standardises severity to guide therapy and follow-up</w:t>
            </w:r>
          </w:p>
        </w:tc>
        <w:tc>
          <w:tcPr>
            <w:tcW w:type="dxa" w:w="1036"/>
            <w:vAlign w:val="top"/>
          </w:tcPr>
          <w:p>
            <w:pPr>
              <w:spacing w:after="40" w:before="0" w:line="259" w:lineRule="auto"/>
            </w:pPr>
            <w:r>
              <w:rPr>
                <w:rFonts w:ascii="Calibri" w:hAnsi="Calibri"/>
                <w:b w:val="0"/>
                <w:i w:val="0"/>
                <w:color w:val="212121"/>
                <w:sz w:val="16"/>
              </w:rPr>
              <w:t>All patients, especially before systemic therapy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Grade 4 nodulocystic acne carries the highest scarring risk</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Signs of hyperandrogenism</w:t>
            </w:r>
          </w:p>
        </w:tc>
        <w:tc>
          <w:tcPr>
            <w:tcW w:type="dxa" w:w="979"/>
            <w:vAlign w:val="top"/>
          </w:tcPr>
          <w:p>
            <w:pPr>
              <w:spacing w:after="40" w:before="0" w:line="259" w:lineRule="auto"/>
            </w:pPr>
            <w:r>
              <w:rPr>
                <w:rFonts w:ascii="Calibri" w:hAnsi="Calibri"/>
                <w:b w:val="0"/>
                <w:i w:val="0"/>
                <w:color w:val="212121"/>
                <w:sz w:val="16"/>
              </w:rPr>
              <w:t>Hirsutism (Ferriman-Gallwey), acanthosis nigricans, androgenetic alopecia</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Suggests PCOS or androgen excess needing endocrine work-up</w:t>
            </w:r>
          </w:p>
        </w:tc>
        <w:tc>
          <w:tcPr>
            <w:tcW w:type="dxa" w:w="1036"/>
            <w:vAlign w:val="top"/>
          </w:tcPr>
          <w:p>
            <w:pPr>
              <w:spacing w:after="40" w:before="0" w:line="259" w:lineRule="auto"/>
            </w:pPr>
            <w:r>
              <w:rPr>
                <w:rFonts w:ascii="Calibri" w:hAnsi="Calibri"/>
                <w:b w:val="0"/>
                <w:i w:val="0"/>
                <w:color w:val="212121"/>
                <w:sz w:val="16"/>
              </w:rPr>
              <w:t>Adult women with acne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Prompts hormonal and pelvic ultrasound evaluation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PIH &amp; scarring assessment</w:t>
            </w:r>
          </w:p>
        </w:tc>
        <w:tc>
          <w:tcPr>
            <w:tcW w:type="dxa" w:w="979"/>
            <w:vAlign w:val="top"/>
          </w:tcPr>
          <w:p>
            <w:pPr>
              <w:spacing w:after="40" w:before="0" w:line="259" w:lineRule="auto"/>
            </w:pPr>
            <w:r>
              <w:rPr>
                <w:rFonts w:ascii="Calibri" w:hAnsi="Calibri"/>
                <w:b w:val="0"/>
                <w:i w:val="0"/>
                <w:color w:val="212121"/>
                <w:sz w:val="16"/>
              </w:rPr>
              <w:t>Post-inflammatory hyperpigmentation/erythema; atrophic and hypertrophic scars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Dark marks or scars present</w:t>
            </w:r>
          </w:p>
        </w:tc>
        <w:tc>
          <w:tcPr>
            <w:tcW w:type="dxa" w:w="1036"/>
            <w:vAlign w:val="top"/>
          </w:tcPr>
          <w:p>
            <w:pPr>
              <w:spacing w:after="40" w:before="0" w:line="259" w:lineRule="auto"/>
            </w:pPr>
            <w:r>
              <w:rPr>
                <w:rFonts w:ascii="Calibri" w:hAnsi="Calibri"/>
                <w:b w:val="0"/>
                <w:i w:val="0"/>
                <w:color w:val="212121"/>
                <w:sz w:val="16"/>
              </w:rPr>
              <w:t>Determines skin-of-colour management and early intervention</w:t>
            </w:r>
          </w:p>
        </w:tc>
        <w:tc>
          <w:tcPr>
            <w:tcW w:type="dxa" w:w="1036"/>
            <w:vAlign w:val="top"/>
          </w:tcPr>
          <w:p>
            <w:pPr>
              <w:spacing w:after="40" w:before="0" w:line="259" w:lineRule="auto"/>
            </w:pPr>
            <w:r>
              <w:rPr>
                <w:rFonts w:ascii="Calibri" w:hAnsi="Calibri"/>
                <w:b w:val="0"/>
                <w:i w:val="0"/>
                <w:color w:val="212121"/>
                <w:sz w:val="16"/>
              </w:rPr>
              <w:t>Fitzpatrick IV-VI, moderate-severe or picked acne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PIH (~25-35%) and scarring (~29-40%) are common in Indian patients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Pimples / spots on the face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Inflammatory papules and pustules, most often on the cheeks, forehead and chin - the commonest complaint.</w:t>
            </w:r>
          </w:p>
        </w:tc>
      </w:tr>
      <w:tr>
        <w:trPr>
          <w:cantSplit/>
        </w:trPr>
        <w:tc>
          <w:tcPr>
            <w:tcW w:type="dxa" w:w="2304"/>
            <w:vAlign w:val="top"/>
          </w:tcPr>
          <w:p>
            <w:pPr>
              <w:spacing w:after="40" w:before="0" w:line="259" w:lineRule="auto"/>
            </w:pPr>
            <w:r>
              <w:rPr>
                <w:rFonts w:ascii="Calibri" w:hAnsi="Calibri"/>
                <w:b/>
                <w:i w:val="0"/>
                <w:color w:val="212121"/>
                <w:sz w:val="19"/>
              </w:rPr>
              <w:t>Blackheads and whiteheads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Patient-visible open and closed comedones; the earliest and defining lesions of acne.</w:t>
            </w:r>
          </w:p>
        </w:tc>
      </w:tr>
      <w:tr>
        <w:trPr>
          <w:cantSplit/>
        </w:trPr>
        <w:tc>
          <w:tcPr>
            <w:tcW w:type="dxa" w:w="2304"/>
            <w:vAlign w:val="top"/>
          </w:tcPr>
          <w:p>
            <w:pPr>
              <w:spacing w:after="40" w:before="0" w:line="259" w:lineRule="auto"/>
            </w:pPr>
            <w:r>
              <w:rPr>
                <w:rFonts w:ascii="Calibri" w:hAnsi="Calibri"/>
                <w:b/>
                <w:i w:val="0"/>
                <w:color w:val="212121"/>
                <w:sz w:val="19"/>
              </w:rPr>
              <w:t>Oily / greasy skin (seborrhoea)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Excess facial oiliness, especially over the T-zone, reflecting increased sebum production.</w:t>
            </w:r>
          </w:p>
        </w:tc>
      </w:tr>
      <w:tr>
        <w:trPr>
          <w:cantSplit/>
        </w:trPr>
        <w:tc>
          <w:tcPr>
            <w:tcW w:type="dxa" w:w="2304"/>
            <w:vAlign w:val="top"/>
          </w:tcPr>
          <w:p>
            <w:pPr>
              <w:spacing w:after="40" w:before="0" w:line="259" w:lineRule="auto"/>
            </w:pPr>
            <w:r>
              <w:rPr>
                <w:rFonts w:ascii="Calibri" w:hAnsi="Calibri"/>
                <w:b/>
                <w:i w:val="0"/>
                <w:color w:val="212121"/>
                <w:sz w:val="19"/>
              </w:rPr>
              <w:t>Dark marks after spots heal</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Patient-noticed post-inflammatory hyperpigmentation; a leading concern in Indian skin, often lasting months after the acne settles.</w:t>
            </w:r>
          </w:p>
        </w:tc>
      </w:tr>
      <w:tr>
        <w:trPr>
          <w:cantSplit/>
        </w:trPr>
        <w:tc>
          <w:tcPr>
            <w:tcW w:type="dxa" w:w="2304"/>
            <w:vAlign w:val="top"/>
          </w:tcPr>
          <w:p>
            <w:pPr>
              <w:spacing w:after="40" w:before="0" w:line="259" w:lineRule="auto"/>
            </w:pPr>
            <w:r>
              <w:rPr>
                <w:rFonts w:ascii="Calibri" w:hAnsi="Calibri"/>
                <w:b/>
                <w:i w:val="0"/>
                <w:color w:val="212121"/>
                <w:sz w:val="19"/>
              </w:rPr>
              <w:t>Pitted or uneven scars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Permanent change in skin texture that the patient notices after lesions resolve.</w:t>
            </w:r>
          </w:p>
        </w:tc>
      </w:tr>
      <w:tr>
        <w:trPr>
          <w:cantSplit/>
        </w:trPr>
        <w:tc>
          <w:tcPr>
            <w:tcW w:type="dxa" w:w="2304"/>
            <w:vAlign w:val="top"/>
          </w:tcPr>
          <w:p>
            <w:pPr>
              <w:spacing w:after="40" w:before="0" w:line="259" w:lineRule="auto"/>
            </w:pPr>
            <w:r>
              <w:rPr>
                <w:rFonts w:ascii="Calibri" w:hAnsi="Calibri"/>
                <w:b/>
                <w:i w:val="0"/>
                <w:color w:val="212121"/>
                <w:sz w:val="19"/>
              </w:rPr>
              <w:t>Redness and inflammation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Erythema around active lesions and residual post-inflammatory redness.</w:t>
            </w:r>
          </w:p>
        </w:tc>
      </w:tr>
      <w:tr>
        <w:trPr>
          <w:cantSplit/>
        </w:trPr>
        <w:tc>
          <w:tcPr>
            <w:tcW w:type="dxa" w:w="2304"/>
            <w:vAlign w:val="top"/>
          </w:tcPr>
          <w:p>
            <w:pPr>
              <w:spacing w:after="40" w:before="0" w:line="259" w:lineRule="auto"/>
            </w:pPr>
            <w:r>
              <w:rPr>
                <w:rFonts w:ascii="Calibri" w:hAnsi="Calibri"/>
                <w:b/>
                <w:i w:val="0"/>
                <w:color w:val="212121"/>
                <w:sz w:val="19"/>
              </w:rPr>
              <w:t>Premenstrual flare-ups (women)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Worsening of acne in the week before menstruation; reported by about 58% of female patients.</w:t>
            </w:r>
          </w:p>
        </w:tc>
      </w:tr>
      <w:tr>
        <w:trPr>
          <w:cantSplit/>
        </w:trPr>
        <w:tc>
          <w:tcPr>
            <w:tcW w:type="dxa" w:w="2304"/>
            <w:vAlign w:val="top"/>
          </w:tcPr>
          <w:p>
            <w:pPr>
              <w:spacing w:after="40" w:before="0" w:line="259" w:lineRule="auto"/>
            </w:pPr>
            <w:r>
              <w:rPr>
                <w:rFonts w:ascii="Calibri" w:hAnsi="Calibri"/>
                <w:b/>
                <w:i w:val="0"/>
                <w:color w:val="212121"/>
                <w:sz w:val="19"/>
              </w:rPr>
              <w:t>Embarrassment, low self-esteem, social withdrawal</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Frequent and sometimes severe psychological symptoms, disproportionate to visible severity, affecting mood, confidence and social life.</w:t>
            </w:r>
          </w:p>
        </w:tc>
      </w:tr>
      <w:tr>
        <w:trPr>
          <w:cantSplit/>
        </w:trPr>
        <w:tc>
          <w:tcPr>
            <w:tcW w:type="dxa" w:w="2304"/>
            <w:vAlign w:val="top"/>
          </w:tcPr>
          <w:p>
            <w:pPr>
              <w:spacing w:after="40" w:before="0" w:line="259" w:lineRule="auto"/>
            </w:pPr>
            <w:r>
              <w:rPr>
                <w:rFonts w:ascii="Calibri" w:hAnsi="Calibri"/>
                <w:b/>
                <w:i w:val="0"/>
                <w:color w:val="212121"/>
                <w:sz w:val="19"/>
              </w:rPr>
              <w:t>Painful lumps under the skin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Tender deep nodules and cysts of moderate-to-severe acne, which carry the highest scarring risk.</w:t>
            </w:r>
          </w:p>
        </w:tc>
      </w:tr>
      <w:tr>
        <w:trPr>
          <w:cantSplit/>
        </w:trPr>
        <w:tc>
          <w:tcPr>
            <w:tcW w:type="dxa" w:w="2304"/>
            <w:vAlign w:val="top"/>
          </w:tcPr>
          <w:p>
            <w:pPr>
              <w:spacing w:after="40" w:before="0" w:line="259" w:lineRule="auto"/>
            </w:pPr>
            <w:r>
              <w:rPr>
                <w:rFonts w:ascii="Calibri" w:hAnsi="Calibri"/>
                <w:b/>
                <w:i w:val="0"/>
                <w:color w:val="212121"/>
                <w:sz w:val="19"/>
              </w:rPr>
              <w:t>Spots on the chest, back and shoulders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Truncal acne; back involvement was seen in about 28% and chest in 20% of a South Indian series.</w:t>
            </w:r>
          </w:p>
        </w:tc>
      </w:tr>
      <w:tr>
        <w:trPr>
          <w:cantSplit/>
        </w:trPr>
        <w:tc>
          <w:tcPr>
            <w:tcW w:type="dxa" w:w="2304"/>
            <w:vAlign w:val="top"/>
          </w:tcPr>
          <w:p>
            <w:pPr>
              <w:spacing w:after="40" w:before="0" w:line="259" w:lineRule="auto"/>
            </w:pPr>
            <w:r>
              <w:rPr>
                <w:rFonts w:ascii="Calibri" w:hAnsi="Calibri"/>
                <w:b/>
                <w:i w:val="0"/>
                <w:color w:val="212121"/>
                <w:sz w:val="19"/>
              </w:rPr>
              <w:t>Itching or tenderness of lesions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Mild discomfort, itch or soreness over inflamed lesions.</w:t>
            </w:r>
          </w:p>
        </w:tc>
      </w:tr>
      <w:tr>
        <w:trPr>
          <w:cantSplit/>
        </w:trPr>
        <w:tc>
          <w:tcPr>
            <w:tcW w:type="dxa" w:w="2304"/>
            <w:vAlign w:val="top"/>
          </w:tcPr>
          <w:p>
            <w:pPr>
              <w:spacing w:after="40" w:before="0" w:line="259" w:lineRule="auto"/>
            </w:pPr>
            <w:r>
              <w:rPr>
                <w:rFonts w:ascii="Calibri" w:hAnsi="Calibri"/>
                <w:b/>
                <w:i w:val="0"/>
                <w:color w:val="212121"/>
                <w:sz w:val="19"/>
              </w:rPr>
              <w:t>Fever with sudden severe ulcerating acne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 feature of acne fulminans, a rare systemic form needing urgent specialist care.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Open comedones (blackheads)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Dilated follicular openings with oxidised keratin and sebum plugs; the non-inflammatory hallmark of acne.</w:t>
            </w:r>
          </w:p>
        </w:tc>
      </w:tr>
      <w:tr>
        <w:trPr>
          <w:cantSplit/>
        </w:trPr>
        <w:tc>
          <w:tcPr>
            <w:tcW w:type="dxa" w:w="3456"/>
            <w:vAlign w:val="top"/>
          </w:tcPr>
          <w:p>
            <w:pPr>
              <w:spacing w:after="40" w:before="0" w:line="259" w:lineRule="auto"/>
            </w:pPr>
            <w:r>
              <w:rPr>
                <w:rFonts w:ascii="Calibri" w:hAnsi="Calibri"/>
                <w:b/>
                <w:i w:val="0"/>
                <w:color w:val="212121"/>
                <w:sz w:val="19"/>
              </w:rPr>
              <w:t>Closed comedones (whiteheads)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Small skin-coloured papules from plugged closed follicles; closed comedones outnumbered open comedones about 4.9:1 in a South Indian study.</w:t>
            </w:r>
          </w:p>
        </w:tc>
      </w:tr>
      <w:tr>
        <w:trPr>
          <w:cantSplit/>
        </w:trPr>
        <w:tc>
          <w:tcPr>
            <w:tcW w:type="dxa" w:w="3456"/>
            <w:vAlign w:val="top"/>
          </w:tcPr>
          <w:p>
            <w:pPr>
              <w:spacing w:after="40" w:before="0" w:line="259" w:lineRule="auto"/>
            </w:pPr>
            <w:r>
              <w:rPr>
                <w:rFonts w:ascii="Calibri" w:hAnsi="Calibri"/>
                <w:b/>
                <w:i w:val="0"/>
                <w:color w:val="212121"/>
                <w:sz w:val="19"/>
              </w:rPr>
              <w:t>Inflammatory papules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Small red raised lesions arising from perifollicular inflammation.</w:t>
            </w:r>
          </w:p>
        </w:tc>
      </w:tr>
      <w:tr>
        <w:trPr>
          <w:cantSplit/>
        </w:trPr>
        <w:tc>
          <w:tcPr>
            <w:tcW w:type="dxa" w:w="3456"/>
            <w:vAlign w:val="top"/>
          </w:tcPr>
          <w:p>
            <w:pPr>
              <w:spacing w:after="40" w:before="0" w:line="259" w:lineRule="auto"/>
            </w:pPr>
            <w:r>
              <w:rPr>
                <w:rFonts w:ascii="Calibri" w:hAnsi="Calibri"/>
                <w:b/>
                <w:i w:val="0"/>
                <w:color w:val="212121"/>
                <w:sz w:val="19"/>
              </w:rPr>
              <w:t>Pustules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Papules with a visible central collection of pus.</w:t>
            </w:r>
          </w:p>
        </w:tc>
      </w:tr>
      <w:tr>
        <w:trPr>
          <w:cantSplit/>
        </w:trPr>
        <w:tc>
          <w:tcPr>
            <w:tcW w:type="dxa" w:w="3456"/>
            <w:vAlign w:val="top"/>
          </w:tcPr>
          <w:p>
            <w:pPr>
              <w:spacing w:after="40" w:before="0" w:line="259" w:lineRule="auto"/>
            </w:pPr>
            <w:r>
              <w:rPr>
                <w:rFonts w:ascii="Calibri" w:hAnsi="Calibri"/>
                <w:b/>
                <w:i w:val="0"/>
                <w:color w:val="212121"/>
                <w:sz w:val="19"/>
              </w:rPr>
              <w:t>Seborrhoea (visibly oily skin)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Clinically evident increased sebum, a prerequisite for acne.</w:t>
            </w:r>
          </w:p>
        </w:tc>
      </w:tr>
      <w:tr>
        <w:trPr>
          <w:cantSplit/>
        </w:trPr>
        <w:tc>
          <w:tcPr>
            <w:tcW w:type="dxa" w:w="3456"/>
            <w:vAlign w:val="top"/>
          </w:tcPr>
          <w:p>
            <w:pPr>
              <w:spacing w:after="40" w:before="0" w:line="259" w:lineRule="auto"/>
            </w:pPr>
            <w:r>
              <w:rPr>
                <w:rFonts w:ascii="Calibri" w:hAnsi="Calibri"/>
                <w:b/>
                <w:i w:val="0"/>
                <w:color w:val="212121"/>
                <w:sz w:val="19"/>
              </w:rPr>
              <w:t>Post-inflammatory hyperpigmentation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Brown macules at sites of resolved lesions; seen in about 25-35% of Indian acne patients and especially prominent in Fitzpatrick IV-VI skin.</w:t>
            </w:r>
          </w:p>
        </w:tc>
      </w:tr>
      <w:tr>
        <w:trPr>
          <w:cantSplit/>
        </w:trPr>
        <w:tc>
          <w:tcPr>
            <w:tcW w:type="dxa" w:w="3456"/>
            <w:vAlign w:val="top"/>
          </w:tcPr>
          <w:p>
            <w:pPr>
              <w:spacing w:after="40" w:before="0" w:line="259" w:lineRule="auto"/>
            </w:pPr>
            <w:r>
              <w:rPr>
                <w:rFonts w:ascii="Calibri" w:hAnsi="Calibri"/>
                <w:b/>
                <w:i w:val="0"/>
                <w:color w:val="212121"/>
                <w:sz w:val="19"/>
              </w:rPr>
              <w:t>Atrophic scars (ice-pick, boxcar, rolling)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Depressed scars from dermal collagen loss; post-acne scarring affected about 29-40% of Indian patients.</w:t>
            </w:r>
          </w:p>
        </w:tc>
      </w:tr>
      <w:tr>
        <w:trPr>
          <w:cantSplit/>
        </w:trPr>
        <w:tc>
          <w:tcPr>
            <w:tcW w:type="dxa" w:w="3456"/>
            <w:vAlign w:val="top"/>
          </w:tcPr>
          <w:p>
            <w:pPr>
              <w:spacing w:after="40" w:before="0" w:line="259" w:lineRule="auto"/>
            </w:pPr>
            <w:r>
              <w:rPr>
                <w:rFonts w:ascii="Calibri" w:hAnsi="Calibri"/>
                <w:b/>
                <w:i w:val="0"/>
                <w:color w:val="212121"/>
                <w:sz w:val="19"/>
              </w:rPr>
              <w:t>Nodules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Large, deep, tender inflammatory lesions of severe acne.</w:t>
            </w:r>
          </w:p>
        </w:tc>
      </w:tr>
      <w:tr>
        <w:trPr>
          <w:cantSplit/>
        </w:trPr>
        <w:tc>
          <w:tcPr>
            <w:tcW w:type="dxa" w:w="3456"/>
            <w:vAlign w:val="top"/>
          </w:tcPr>
          <w:p>
            <w:pPr>
              <w:spacing w:after="40" w:before="0" w:line="259" w:lineRule="auto"/>
            </w:pPr>
            <w:r>
              <w:rPr>
                <w:rFonts w:ascii="Calibri" w:hAnsi="Calibri"/>
                <w:b/>
                <w:i w:val="0"/>
                <w:color w:val="212121"/>
                <w:sz w:val="19"/>
              </w:rPr>
              <w:t>Cysts / nodulocystic lesions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Fluctuant deep lesions; Grade 4 nodulocystic acne (about 10% of a South Indian series) is commoner in males.</w:t>
            </w:r>
          </w:p>
        </w:tc>
      </w:tr>
      <w:tr>
        <w:trPr>
          <w:cantSplit/>
        </w:trPr>
        <w:tc>
          <w:tcPr>
            <w:tcW w:type="dxa" w:w="3456"/>
            <w:vAlign w:val="top"/>
          </w:tcPr>
          <w:p>
            <w:pPr>
              <w:spacing w:after="40" w:before="0" w:line="259" w:lineRule="auto"/>
            </w:pPr>
            <w:r>
              <w:rPr>
                <w:rFonts w:ascii="Calibri" w:hAnsi="Calibri"/>
                <w:b/>
                <w:i w:val="0"/>
                <w:color w:val="212121"/>
                <w:sz w:val="19"/>
              </w:rPr>
              <w:t>Post-inflammatory erythema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Pink-red macules after inflammation, more visible in lighter skin.</w:t>
            </w:r>
          </w:p>
        </w:tc>
      </w:tr>
      <w:tr>
        <w:trPr>
          <w:cantSplit/>
        </w:trPr>
        <w:tc>
          <w:tcPr>
            <w:tcW w:type="dxa" w:w="3456"/>
            <w:vAlign w:val="top"/>
          </w:tcPr>
          <w:p>
            <w:pPr>
              <w:spacing w:after="40" w:before="0" w:line="259" w:lineRule="auto"/>
            </w:pPr>
            <w:r>
              <w:rPr>
                <w:rFonts w:ascii="Calibri" w:hAnsi="Calibri"/>
                <w:b/>
                <w:i w:val="0"/>
                <w:color w:val="212121"/>
                <w:sz w:val="19"/>
              </w:rPr>
              <w:t>Hypertrophic / keloidal scars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Raised scars, especially over the jawline, chest and back and in darker skin.</w:t>
            </w:r>
          </w:p>
        </w:tc>
      </w:tr>
      <w:tr>
        <w:trPr>
          <w:cantSplit/>
        </w:trPr>
        <w:tc>
          <w:tcPr>
            <w:tcW w:type="dxa" w:w="3456"/>
            <w:vAlign w:val="top"/>
          </w:tcPr>
          <w:p>
            <w:pPr>
              <w:spacing w:after="40" w:before="0" w:line="259" w:lineRule="auto"/>
            </w:pPr>
            <w:r>
              <w:rPr>
                <w:rFonts w:ascii="Calibri" w:hAnsi="Calibri"/>
                <w:b/>
                <w:i w:val="0"/>
                <w:color w:val="212121"/>
                <w:sz w:val="19"/>
              </w:rPr>
              <w:t>Signs of hyperandrogenism (hirsutism, acanthosis nigricans)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 women with PCOS or androgen excess: excess terminal hair, velvety neck/axillary pigmentation and androgenetic hair thinning.</w:t>
            </w:r>
          </w:p>
        </w:tc>
      </w:tr>
      <w:tr>
        <w:trPr>
          <w:cantSplit/>
        </w:trPr>
        <w:tc>
          <w:tcPr>
            <w:tcW w:type="dxa" w:w="3456"/>
            <w:vAlign w:val="top"/>
          </w:tcPr>
          <w:p>
            <w:pPr>
              <w:spacing w:after="40" w:before="0" w:line="259" w:lineRule="auto"/>
            </w:pPr>
            <w:r>
              <w:rPr>
                <w:rFonts w:ascii="Calibri" w:hAnsi="Calibri"/>
                <w:b/>
                <w:i w:val="0"/>
                <w:color w:val="212121"/>
                <w:sz w:val="19"/>
              </w:rPr>
              <w:t>Sinus tracts / interconnecting abscesses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 feature of acne conglobata and the follicular occlusion tetrad.</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Post-inflammatory hyperpigmentation (PIH)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Post-inflammatory erythema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Atrophic scarring - ice-pick, boxcar and rolling scars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Hypertrophic and keloidal scarring</w:t>
            </w:r>
          </w:p>
        </w:tc>
        <w:tc>
          <w:tcPr>
            <w:tcW w:type="dxa" w:w="2980"/>
            <w:vAlign w:val="top"/>
          </w:tcPr>
          <w:p>
            <w:pPr>
              <w:spacing w:after="40" w:before="0" w:line="259" w:lineRule="auto"/>
            </w:pPr>
            <w:r>
              <w:rPr>
                <w:rFonts w:ascii="Calibri" w:hAnsi="Calibri"/>
                <w:b w:val="0"/>
                <w:i w:val="0"/>
                <w:color w:val="212121"/>
                <w:sz w:val="19"/>
              </w:rPr>
              <w:t>Direct cutaneous sequelae of acne inflammation; disproportionately common, prominent and long-lasting in Indian and other skin-of-colour phototypes.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Anxiety, depression and low self-esteem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 withdrawal and impaired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infection of lesions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Gram-negative folliculitis after prolonged antibiotic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inflammatory variants - acne fulminans and acne conglobata</w:t>
            </w:r>
          </w:p>
        </w:tc>
        <w:tc>
          <w:tcPr>
            <w:tcW w:type="dxa" w:w="2980"/>
            <w:vAlign w:val="top"/>
          </w:tcPr>
          <w:p>
            <w:pPr>
              <w:spacing w:after="40" w:before="0" w:line="259" w:lineRule="auto"/>
            </w:pPr>
            <w:r>
              <w:rPr>
                <w:rFonts w:ascii="Calibri" w:hAnsi="Calibri"/>
                <w:b w:val="0"/>
                <w:i w:val="0"/>
                <w:color w:val="212121"/>
                <w:sz w:val="19"/>
              </w:rPr>
              <w:t>Psychological and inflammatory consequences that extend beyond the skin; psychological morbidity can be severe and out of proportion to the lesion count.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disfiguring facial scarring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Treatment-resistant, chronic adult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Body dysmorphic concerns and, in severe cases, suicidal ideation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Occupational, social and relationship impairment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Cumulative cost and burden of prolonged, repeated treatment</w:t>
            </w:r>
          </w:p>
        </w:tc>
        <w:tc>
          <w:tcPr>
            <w:tcW w:type="dxa" w:w="2980"/>
            <w:vAlign w:val="top"/>
          </w:tcPr>
          <w:p>
            <w:pPr>
              <w:spacing w:after="40" w:before="0" w:line="259" w:lineRule="auto"/>
            </w:pPr>
            <w:r>
              <w:rPr>
                <w:rFonts w:ascii="Calibri" w:hAnsi="Calibri"/>
                <w:b w:val="0"/>
                <w:i w:val="0"/>
                <w:color w:val="212121"/>
                <w:sz w:val="19"/>
              </w:rPr>
              <w:t>Irreversible or disabling long-term outcomes of untreated, severe or repeatedly manipulated acne.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Polycystic ovary syndrome (PCOS)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Androgen excess and insulin resistance drive persistent jawline acne; PCOS is found in a substantial minority of women presenting with acne.</w:t>
            </w:r>
          </w:p>
          <w:p>
            <w:pPr>
              <w:spacing w:after="40" w:before="0" w:line="259" w:lineRule="auto"/>
            </w:pPr>
            <w:r>
              <w:rPr>
                <w:rFonts w:ascii="Calibri" w:hAnsi="Calibri"/>
                <w:b/>
                <w:i w:val="0"/>
                <w:color w:val="212121"/>
                <w:sz w:val="19"/>
              </w:rPr>
              <w:t>17-27% of women with acne</w:t>
            </w:r>
          </w:p>
        </w:tc>
      </w:tr>
      <w:tr>
        <w:trPr>
          <w:cantSplit/>
        </w:trPr>
        <w:tc>
          <w:tcPr>
            <w:tcW w:type="dxa" w:w="2232"/>
            <w:vAlign w:val="top"/>
          </w:tcPr>
          <w:p>
            <w:pPr>
              <w:spacing w:after="40" w:before="0" w:line="259" w:lineRule="auto"/>
            </w:pPr>
            <w:r>
              <w:rPr>
                <w:rFonts w:ascii="Calibri" w:hAnsi="Calibri"/>
                <w:b/>
                <w:i w:val="0"/>
                <w:color w:val="212121"/>
                <w:sz w:val="19"/>
              </w:rPr>
              <w:t>Hyperandrogenism / androgen excess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Clinical or biochemical androgen excess (including non-classic CAH and androgen-secreting tumours) underlies much adult female acne.</w:t>
            </w:r>
          </w:p>
          <w:p>
            <w:pPr>
              <w:spacing w:after="40" w:before="0" w:line="259" w:lineRule="auto"/>
            </w:pPr>
            <w:r>
              <w:rPr>
                <w:rFonts w:ascii="Calibri" w:hAnsi="Calibri"/>
                <w:b/>
                <w:i w:val="0"/>
                <w:color w:val="212121"/>
                <w:sz w:val="19"/>
              </w:rPr>
              <w:t>~50% of adult female acne</w:t>
            </w:r>
          </w:p>
        </w:tc>
      </w:tr>
      <w:tr>
        <w:trPr>
          <w:cantSplit/>
        </w:trPr>
        <w:tc>
          <w:tcPr>
            <w:tcW w:type="dxa" w:w="2232"/>
            <w:vAlign w:val="top"/>
          </w:tcPr>
          <w:p>
            <w:pPr>
              <w:spacing w:after="40" w:before="0" w:line="259" w:lineRule="auto"/>
            </w:pPr>
            <w:r>
              <w:rPr>
                <w:rFonts w:ascii="Calibri" w:hAnsi="Calibri"/>
                <w:b/>
                <w:i w:val="0"/>
                <w:color w:val="212121"/>
                <w:sz w:val="19"/>
              </w:rPr>
              <w:t>Insulin resistance / metabolic syndrome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Hyperinsulinaemia raises IGF-1 and free androgens and stimulates sebocytes, linking acne with obesity and PCOS.</w:t>
            </w:r>
          </w:p>
        </w:tc>
      </w:tr>
      <w:tr>
        <w:trPr>
          <w:cantSplit/>
        </w:trPr>
        <w:tc>
          <w:tcPr>
            <w:tcW w:type="dxa" w:w="2232"/>
            <w:vAlign w:val="top"/>
          </w:tcPr>
          <w:p>
            <w:pPr>
              <w:spacing w:after="40" w:before="0" w:line="259" w:lineRule="auto"/>
            </w:pPr>
            <w:r>
              <w:rPr>
                <w:rFonts w:ascii="Calibri" w:hAnsi="Calibri"/>
                <w:b/>
                <w:i w:val="0"/>
                <w:color w:val="212121"/>
                <w:sz w:val="19"/>
              </w:rPr>
              <w:t>Obesity / overweight</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Adiposity lowers sex-hormone-binding globulin and raises free androgens, increasing sebum and acne severity.</w:t>
            </w:r>
          </w:p>
        </w:tc>
      </w:tr>
      <w:tr>
        <w:trPr>
          <w:cantSplit/>
        </w:trPr>
        <w:tc>
          <w:tcPr>
            <w:tcW w:type="dxa" w:w="2232"/>
            <w:vAlign w:val="top"/>
          </w:tcPr>
          <w:p>
            <w:pPr>
              <w:spacing w:after="40" w:before="0" w:line="259" w:lineRule="auto"/>
            </w:pPr>
            <w:r>
              <w:rPr>
                <w:rFonts w:ascii="Calibri" w:hAnsi="Calibri"/>
                <w:b/>
                <w:i w:val="0"/>
                <w:color w:val="212121"/>
                <w:sz w:val="19"/>
              </w:rPr>
              <w:t>Seborrhoea / seborrhoeic dermatitis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Shares increased sebum production and frequently overlaps with acne on the face and scalp.</w:t>
            </w:r>
          </w:p>
        </w:tc>
      </w:tr>
      <w:tr>
        <w:trPr>
          <w:cantSplit/>
        </w:trPr>
        <w:tc>
          <w:tcPr>
            <w:tcW w:type="dxa" w:w="2232"/>
            <w:vAlign w:val="top"/>
          </w:tcPr>
          <w:p>
            <w:pPr>
              <w:spacing w:after="40" w:before="0" w:line="259" w:lineRule="auto"/>
            </w:pPr>
            <w:r>
              <w:rPr>
                <w:rFonts w:ascii="Calibri" w:hAnsi="Calibri"/>
                <w:b/>
                <w:i w:val="0"/>
                <w:color w:val="212121"/>
                <w:sz w:val="19"/>
              </w:rPr>
              <w:t>Hidradenitis suppurativa</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Part of the follicular occlusion tetrad with acne conglobata; shares follicular occlusion and inflammation.</w:t>
            </w:r>
          </w:p>
        </w:tc>
      </w:tr>
      <w:tr>
        <w:trPr>
          <w:cantSplit/>
        </w:trPr>
        <w:tc>
          <w:tcPr>
            <w:tcW w:type="dxa" w:w="2232"/>
            <w:vAlign w:val="top"/>
          </w:tcPr>
          <w:p>
            <w:pPr>
              <w:spacing w:after="40" w:before="0" w:line="259" w:lineRule="auto"/>
            </w:pPr>
            <w:r>
              <w:rPr>
                <w:rFonts w:ascii="Calibri" w:hAnsi="Calibri"/>
                <w:b/>
                <w:i w:val="0"/>
                <w:color w:val="212121"/>
                <w:sz w:val="19"/>
              </w:rPr>
              <w:t>Anxiety and depression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High psychiatric comorbidity; screening for mood disorder is advised in moderate-to-severe or scarring acne.</w:t>
            </w:r>
          </w:p>
        </w:tc>
      </w:tr>
      <w:tr>
        <w:trPr>
          <w:cantSplit/>
        </w:trPr>
        <w:tc>
          <w:tcPr>
            <w:tcW w:type="dxa" w:w="2232"/>
            <w:vAlign w:val="top"/>
          </w:tcPr>
          <w:p>
            <w:pPr>
              <w:spacing w:after="40" w:before="0" w:line="259" w:lineRule="auto"/>
            </w:pPr>
            <w:r>
              <w:rPr>
                <w:rFonts w:ascii="Calibri" w:hAnsi="Calibri"/>
                <w:b/>
                <w:i w:val="0"/>
                <w:color w:val="212121"/>
                <w:sz w:val="19"/>
              </w:rPr>
              <w:t>Dyslipidemia (in PCOS)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A common metabolic association of PCOS-related acne through shared insulin resistance.</w:t>
            </w:r>
          </w:p>
        </w:tc>
      </w:tr>
      <w:tr>
        <w:trPr>
          <w:cantSplit/>
        </w:trPr>
        <w:tc>
          <w:tcPr>
            <w:tcW w:type="dxa" w:w="2232"/>
            <w:vAlign w:val="top"/>
          </w:tcPr>
          <w:p>
            <w:pPr>
              <w:spacing w:after="40" w:before="0" w:line="259" w:lineRule="auto"/>
            </w:pPr>
            <w:r>
              <w:rPr>
                <w:rFonts w:ascii="Calibri" w:hAnsi="Calibri"/>
                <w:b/>
                <w:i w:val="0"/>
                <w:color w:val="212121"/>
                <w:sz w:val="19"/>
              </w:rPr>
              <w:t>SAHA syndrome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The seborrhoea-acne-hirsutism-alopecia cluster reflecting underlying androgen excess in women.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acne is a medical condition of the oil glands and is not caused by poor hygiene or by eating oily food alone - over-scrubbing and harsh products make it worse.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pick, squeeze or pop lesions; manipulation deepens inflammation and is a major cause of scarring and dark marks (post-inflammatory hyperpigmentation).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Start treatment early and be patient - most therapies take 6-8 weeks to work and are continued for months to prevent new lesions and scarring.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only non-comedogenic, oil-free cosmetics and sunscreens, remove make-up before bed, and avoid heavy hair oils and pomades on the hairline.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a dermatologist for nodules or cysts, scarring, persistent dark marks, sudden or severe acne, or acne with irregular periods or excess hair (possible PCOS).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hormonal acne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Skin-of-colour patients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high-glycaemic foods - refined flour, white rice, sweets, bakery items and sugary or soft drinks - which raise insulin and worsen acne.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low-glycaemic whole grains and millets (ragi, jowar, bajra), pulses, vegetables and whole fruits; a low-glycaemic-load diet reduced acne lesions by about 59% in a trial.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milk and dairy, especially skim/low-fat milk, if acne is troublesome, as dairy is modestly associated with acne (odds ratios ~1.25-1.32).</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frequent fast food and deep-fried snacks, and keep to regular, balanced meals.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Choose water over sweetened or milk-based beverages to reduce glycaemic and dairy load.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High-GI / junk-food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Dairy-heavy diets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PCOS-related acne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regular moderate exercise (about 150 minutes/week) to improve insulin sensitivity, which helps PCOS- and metabolism-related acne.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gradual weight loss if overweight, as reducing adiposity lowers free androgens and sebum.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Shower and gently cleanse promptly after sweating, and avoid tight, occlusive sportswear and headgear to prevent acne mechanica.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clean, non-comedogenic products and avoid resting sweaty equipment against the face.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PCOS-related acne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and 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with acne mechanica</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to limit stress-hormone-driven flares.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 schedule, especially around examinations and deadlines when acne commonly flares.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Change and wash pillowcases regularly and avoid heavy hair oils that transfer onto bedding.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late-night screen time and caffeine to protect sleep quality.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High-stress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or stop smoking, which is linked to a persistent comedonal pattern of acne and impairs wound healing and scarring.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cessation support (counselling, nicotine replacement) if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 and adult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prone to scarring</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intake low; although not a direct cause, heavy drinking disturbs sleep, diet and hormones in ways that can worsen acne.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sugary alcoholic and mixed drinks that add glycaemic load.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combine alcohol with acne medicines such as isotretinoin or certain antibiotics without medical advice.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systemic acne therapy</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and address the emotional impact - acne commonly causes low self-esteem, anxiety and depression that can be severe.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depression and body-image distress in moderate-to-severe acne and refer for psychological support when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techniques (exercise, relaxation, yoga, counselling) to reduce stress-related flares.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realistic treatment expectations and give reassurance to reduce anxiety and picking behaviour.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family support for adolescents and watch for warning signs of severe distress or suicidal thoughts.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visible scarring or PIH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or refractory acne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Provoking factors</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non-comedogenic, oil-free cleansers, moisturisers, make-up and sunscreens; broad-spectrum sunscreen also reduces the darkening of post-acne marks.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heavy hair oils and pomades near the hairline and forehead to prevent pomade acne.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friction and occlusion - loosen helmet and chin straps and take regular breaks from tight face masks (maskne).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pick or squeeze lesions; treat post-inflammatory hyperpigmentation early with sun protection and dermatologist-advised topicals (retinoids, azelaic acid, niacinamide), as PIH is a major concern in Indian skin.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Review and, where possible, stop acne-provoking drugs (corticosteroids, anabolic steroids, some progestins, lithium) with the prescriber.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Skin-of-colour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Cosmetic and hair-oil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Mask and helmet wearers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Drug-induced acne</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jced.org/archive/volume/6/issue/3/article/7680" TargetMode="External"/><Relationship Id="rId10" Type="http://schemas.openxmlformats.org/officeDocument/2006/relationships/hyperlink" Target="https://ijdvl.com/profile-of-acne-vulgaris-a-hospital-based-study-from-south-india/" TargetMode="External"/><Relationship Id="rId11" Type="http://schemas.openxmlformats.org/officeDocument/2006/relationships/hyperlink" Target="https://academic.oup.com/bjd/article-abstract/192/2/228/7756775" TargetMode="External"/><Relationship Id="rId12" Type="http://schemas.openxmlformats.org/officeDocument/2006/relationships/hyperlink" Target="https://pmc.ncbi.nlm.nih.gov/articles/PMC4318060/" TargetMode="External"/><Relationship Id="rId13" Type="http://schemas.openxmlformats.org/officeDocument/2006/relationships/hyperlink" Target="https://pmc.ncbi.nlm.nih.gov/articles/PMC8971946/" TargetMode="External"/><Relationship Id="rId14" Type="http://schemas.openxmlformats.org/officeDocument/2006/relationships/hyperlink" Target="https://www.mdpi.com/2072-6643/10/8/1049" TargetMode="External"/><Relationship Id="rId15" Type="http://schemas.openxmlformats.org/officeDocument/2006/relationships/hyperlink" Target="https://academic.oup.com/jes/article/6/3/bvac003/65232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