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Pityriasis Capitis (Dandruff)</w:t>
      </w:r>
    </w:p>
    <w:p>
      <w:pPr>
        <w:spacing w:before="0" w:after="160"/>
      </w:pPr>
      <w:r>
        <w:rPr>
          <w:rFonts w:ascii="Calibri" w:hAnsi="Calibri"/>
          <w:b/>
          <w:i w:val="0"/>
          <w:color w:val="212121"/>
          <w:sz w:val="22"/>
        </w:rPr>
        <w:t xml:space="preserve">AKA </w:t>
      </w:r>
      <w:r>
        <w:rPr>
          <w:rFonts w:ascii="Calibri" w:hAnsi="Calibri"/>
          <w:b w:val="0"/>
          <w:i w:val="0"/>
          <w:color w:val="212121"/>
          <w:sz w:val="22"/>
        </w:rPr>
        <w:t>i.e., Dandruff, Pityriasis simplex capillitii, Pityriasis sicca (dry dandruff), Pityriasis steatoides (greasy dandruff), Scurf, Rusi (Hindi); the mildest end of the seborrhoeic dermatitis spectrum</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Pityriasis capitis, commonly called dandruff, is a chronic, non-inflammatory or mildly inflammatory scaling of the scalp characterised by fine white-to-grey or greasy yellowish flakes, usually with itching but little or no visible redness. It represents the mildest end of a continuous spectrum with seborrhoeic dermatitis of the scalp and shares the same mechanism: overgrowth of lipid-dependent Malassezia yeasts on a sebum-rich scalp in a susceptible individual. Dandruff is benign, non-contagious and non-scarring, but it is extremely prevalent, chronically relapsing, and a leading cosmetic and psychosocial concern.</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Dandruff is one of the commonest scalp conditions in India and a top consumer hair-care concern. Population-level prevalence is estimated at roughly 50% of post-pubertal individuals (about half of adults), consistent with global estimates: while inflammatory seborrhoeic dermatitis affects around 5% worldwide, its mild non-inflammatory variant, dandruff, is probably closer to 50%. The older Indian figure of 1-2% referred only to clinic-presenting severe seborrhoeic scalp disease, not community dandruff. Indian mycology studies confirm very high scalp Malassezia carriage, with the yeast isolated from about 82-84% of dandruff patients versus 30-67% of healthy scalps, and greater severity in hot-humid regions and rural populations.</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Dandruff is a clinical diagnosis based on the appearance and distribution of scalp scaling; investigations are used mainly to exclude mimics or to assess severe, refractory or atypical disease: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Visible fine, dry, white-to-grey powdery scales (pityriasis sicca) or greasy, waxy, yellowish adherent scales (pityriasis steatoides) diffusely over the scalp, shed onto hair and clothing.</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Scaling largely confined to the scalp with minimal or no erythema; extension to the eyebrows, nasolabial folds, external ears, beard or central chest with underlying redness indicates progression to seborrhoeic dermatitis.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Itching (pruritus) of the scalp is common; there is no scarring, no pustules and no broken hairs or black dots.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Absence of features of key differentials: well-demarcated silvery-white plaques of scalp psoriasis, broken hairs / black dots / boggy swelling of tinea capitis, or nits of pediculosis.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Trichoscopy (dermoscopy) shows white-yellow scales and thin arborising vessels, helping distinguish dandruff / seborrhoeic dermatitis from scalp psoriasis (red dots, twisted capillaries) and tinea capitis (comma / corkscrew hairs).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KOH microscopy and fungal culture (on lipid-enriched media) are used to exclude dermatophyte infection when in doubt, especially in children; demonstrating Malassezia is not required for diagnosis and is largely a research tool.</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 prompt response to an antifungal anti-dandruff shampoo (ketoconazole, zinc pyrithione, selenium sulfide or ciclopirox) supports the diagnosis. Sudden, severe, extensive or refractory scalp seborrhoea warrants screening for HIV or other immunosuppression.</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Pityriasis capitis is best understood as the mild end of the dandruff-seborrhoeic dermatitis continuum and can be described by clinical form and by position on that spectrum:</w:t>
      </w:r>
    </w:p>
    <w:p>
      <w:pPr>
        <w:spacing w:before="0" w:after="80"/>
      </w:pPr>
      <w:r>
        <w:rPr>
          <w:rFonts w:ascii="Calibri" w:hAnsi="Calibri"/>
          <w:b w:val="0"/>
          <w:i w:val="0"/>
          <w:color w:val="212121"/>
          <w:sz w:val="21"/>
        </w:rPr>
        <w:t>(1) Pityriasis capitis simplex / sicca (dry dandruff): fine, dry, white-to-grey, loosely adherent branny scales with little or no erythema - the classic non-inflammatory dandruff.</w:t>
      </w:r>
    </w:p>
    <w:p>
      <w:pPr>
        <w:spacing w:before="0" w:after="80"/>
      </w:pPr>
      <w:r>
        <w:rPr>
          <w:rFonts w:ascii="Calibri" w:hAnsi="Calibri"/>
          <w:b w:val="0"/>
          <w:i w:val="0"/>
          <w:color w:val="212121"/>
          <w:sz w:val="21"/>
        </w:rPr>
        <w:t>(2) Pityriasis steatoides (greasy / waxy dandruff): larger, greasy, yellowish scales that adhere to the scalp with mild erythema, a transitional form toward inflammatory disease.</w:t>
      </w:r>
    </w:p>
    <w:p>
      <w:pPr>
        <w:spacing w:before="0" w:after="80"/>
      </w:pPr>
      <w:r>
        <w:rPr>
          <w:rFonts w:ascii="Calibri" w:hAnsi="Calibri"/>
          <w:b w:val="0"/>
          <w:i w:val="0"/>
          <w:color w:val="212121"/>
          <w:sz w:val="21"/>
        </w:rPr>
        <w:t>(3) Seborrhoeic dermatitis of the scalp: the inflammatory end of the spectrum, with erythematous, scaly, itchy patches that may extend to the hairline, ears, eyebrows, nasolabial folds and chest; dandruff is its mildest, redness-free expression.</w:t>
      </w:r>
    </w:p>
    <w:p>
      <w:pPr>
        <w:spacing w:before="0" w:after="80"/>
      </w:pPr>
      <w:r>
        <w:rPr>
          <w:rFonts w:ascii="Calibri" w:hAnsi="Calibri"/>
          <w:b w:val="0"/>
          <w:i w:val="0"/>
          <w:color w:val="212121"/>
          <w:sz w:val="21"/>
        </w:rPr>
        <w:t>(4) Infantile pityriasis capitis (cradle cap): greasy, yellow, adherent scaling of the infant scalp in the first months of life, driven by residual maternal androgens; it is self-limiting, usually clearing by 8-12 months, and is clinically distinct from adult dandruff.</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Malassezia yeast overgrowth: Lipid-dependent commensal yeasts of the genus Malassezia (chiefly M. restricta and M. globosa, with M. furfur common in hot-humid regions) proliferate on the scalp and are central to dandruff; their density correlates with severity.</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Sebaceous activity and sebum: Androgen-driven sebum supplies the lipid substrate the yeasts require, explaining onset at puberty, persistence through adulthood and decline in old age, with scaling following the sebum-rich scalp.</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Malassezia lipase and free fatty acids: The yeast's lipases hydrolyse sebum triglycerides, releasing irritant unsaturated free fatty acids (notably oleic acid) that disrupt the scalp barrier and provoke scaling and itch in susceptible people.</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Individual susceptibility: An inherited / individual sensitivity of the scalp barrier and immune response determines who flakes - neither the amount of yeast nor the quantity of sebum alone is decisive.</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Climate and environment: Warm, humid tropical conditions favour Malassezia growth, while cold, dry winter, UV, airborne irritants and hair cosmetics aggravate scaling; sweating and occlusion worsen it.</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Hair-care practices: Infrequent washing and heavy, occlusive scalp oiling (a common Indian practice) increase scale, sebum and yeast load; harsh or excessive cosmetics can also irritate.</w:t>
      </w:r>
    </w:p>
    <w:p>
      <w:pPr>
        <w:spacing w:after="60"/>
        <w:ind w:left="432" w:hanging="288"/>
      </w:pPr>
      <w:r>
        <w:rPr>
          <w:rFonts w:ascii="Calibri" w:hAnsi="Calibri"/>
          <w:b/>
          <w:i w:val="0"/>
          <w:color w:val="212121"/>
          <w:sz w:val="21"/>
        </w:rPr>
        <w:t xml:space="preserve">7. </w:t>
      </w:r>
      <w:r>
        <w:rPr>
          <w:rFonts w:ascii="Calibri" w:hAnsi="Calibri"/>
          <w:b w:val="0"/>
          <w:i w:val="0"/>
          <w:color w:val="212121"/>
          <w:sz w:val="21"/>
        </w:rPr>
        <w:t>Host and systemic factors: Immunosuppression (especially HIV/AIDS), Parkinson disease and other neurological conditions, and psychological stress increase susceptibility and severity.</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Adolescents</w:t>
            </w:r>
          </w:p>
        </w:tc>
        <w:tc>
          <w:tcPr>
            <w:tcW w:type="dxa" w:w="4276"/>
            <w:vAlign w:val="top"/>
          </w:tcPr>
          <w:p>
            <w:pPr>
              <w:spacing w:after="60" w:line="259" w:lineRule="auto"/>
            </w:pPr>
            <w:r>
              <w:rPr>
                <w:rFonts w:ascii="Calibri" w:hAnsi="Calibri"/>
                <w:b w:val="0"/>
                <w:i w:val="0"/>
                <w:color w:val="212121"/>
                <w:sz w:val="19"/>
              </w:rPr>
              <w:t>Dandruff peaks at puberty because adrenarche and rising androgens sharply increase sebaceous gland activity and sebum output, providing the lipid substrate that lipid-dependent Malassezia yeasts need to proliferate on the scalp.</w:t>
            </w:r>
          </w:p>
          <w:p>
            <w:pPr>
              <w:spacing w:after="40" w:before="60" w:line="259" w:lineRule="auto"/>
            </w:pPr>
            <w:r>
              <w:rPr>
                <w:rFonts w:ascii="Calibri" w:hAnsi="Calibri"/>
                <w:b w:val="0"/>
                <w:i w:val="0"/>
                <w:color w:val="212121"/>
                <w:sz w:val="19"/>
              </w:rPr>
              <w:t>In an Indian study of 100 dandruff patients, 40% were aged 10-19 years and a further 34% were aged 20-29 years - about three-quarters were adolescents and young adults.</w:t>
            </w:r>
          </w:p>
          <w:p>
            <w:pPr>
              <w:spacing w:after="40" w:line="252" w:lineRule="auto"/>
            </w:pPr>
            <w:hyperlink r:id="rId9">
              <w:r>
                <w:rPr>
                  <w:rFonts w:ascii="Calibri" w:hAnsi="Calibri" w:cs="Calibri"/>
                  <w:sz w:val="18"/>
                  <w:color w:val="1155CC"/>
                  <w:u w:val="single"/>
                </w:rPr>
                <w:t xml:space="preserve">ijmr.org.in - Malassezia species with dandruff (India)</w:t>
              </w:r>
            </w:hyperlink>
          </w:p>
          <w:p>
            <w:pPr>
              <w:spacing w:before="60" w:after="40"/>
            </w:pPr>
            <w:r>
              <w:rPr>
                <w:rFonts w:ascii="Calibri" w:hAnsi="Calibri"/>
                <w:b w:val="0"/>
                <w:i w:val="0"/>
                <w:color w:val="5A5A5A"/>
                <w:sz w:val="18"/>
              </w:rPr>
              <w:t>#adolescents  #puberty  #sebum  #androgens  #Malassezia</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Adults</w:t>
            </w:r>
          </w:p>
        </w:tc>
        <w:tc>
          <w:tcPr>
            <w:tcW w:type="dxa" w:w="4276"/>
            <w:vAlign w:val="top"/>
          </w:tcPr>
          <w:p>
            <w:pPr>
              <w:spacing w:after="60" w:line="259" w:lineRule="auto"/>
            </w:pPr>
            <w:r>
              <w:rPr>
                <w:rFonts w:ascii="Calibri" w:hAnsi="Calibri"/>
                <w:b w:val="0"/>
                <w:i w:val="0"/>
                <w:color w:val="212121"/>
                <w:sz w:val="19"/>
              </w:rPr>
              <w:t>Sebaceous activity stays high through young and middle adulthood, so dandruff persists as a chronic, relapsing complaint; it is among the commonest scalp problems in working-age Indians and a leading driver of anti-dandruff product use.</w:t>
            </w:r>
          </w:p>
          <w:p>
            <w:pPr>
              <w:spacing w:after="40" w:before="60" w:line="259" w:lineRule="auto"/>
            </w:pPr>
            <w:r>
              <w:rPr>
                <w:rFonts w:ascii="Calibri" w:hAnsi="Calibri"/>
                <w:b w:val="0"/>
                <w:i w:val="0"/>
                <w:color w:val="212121"/>
                <w:sz w:val="19"/>
              </w:rPr>
              <w:t>While inflammatory seborrhoeic dermatitis affects about 5% of adults worldwide, its mild non-inflammatory variant, dandruff, is probably closer to 50% - roughly half of post-pubertal adults.</w:t>
            </w:r>
          </w:p>
          <w:p>
            <w:pPr>
              <w:spacing w:after="40" w:line="252" w:lineRule="auto"/>
            </w:pPr>
            <w:hyperlink r:id="rId10">
              <w:r>
                <w:rPr>
                  <w:rFonts w:ascii="Calibri" w:hAnsi="Calibri" w:cs="Calibri"/>
                  <w:sz w:val="18"/>
                  <w:color w:val="1155CC"/>
                  <w:u w:val="single"/>
                </w:rPr>
                <w:t xml:space="preserve">ncbi.nlm.nih.gov - StatPearls: Seborrheic Dermatitis</w:t>
              </w:r>
            </w:hyperlink>
          </w:p>
          <w:p>
            <w:pPr>
              <w:spacing w:before="60" w:after="40"/>
            </w:pPr>
            <w:r>
              <w:rPr>
                <w:rFonts w:ascii="Calibri" w:hAnsi="Calibri"/>
                <w:b w:val="0"/>
                <w:i w:val="0"/>
                <w:color w:val="5A5A5A"/>
                <w:sz w:val="18"/>
              </w:rPr>
              <w:t>#adults  #chronicrelapsing  #sebum  #scalphealth  #highprevalence</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Elderly</w:t>
            </w:r>
          </w:p>
        </w:tc>
        <w:tc>
          <w:tcPr>
            <w:tcW w:type="dxa" w:w="4276"/>
            <w:vAlign w:val="top"/>
          </w:tcPr>
          <w:p>
            <w:pPr>
              <w:spacing w:after="60" w:line="259" w:lineRule="auto"/>
            </w:pPr>
            <w:r>
              <w:rPr>
                <w:rFonts w:ascii="Calibri" w:hAnsi="Calibri"/>
                <w:b w:val="0"/>
                <w:i w:val="0"/>
                <w:color w:val="212121"/>
                <w:sz w:val="19"/>
              </w:rPr>
              <w:t>Simple dandruff tends to wane in the elderly as sebum production falls; however, inflammatory seborrhoeic dermatitis rises again after the fourth decade, particularly in those with Parkinson disease or reduced mobility that limits scalp hygiene.</w:t>
            </w:r>
          </w:p>
          <w:p>
            <w:pPr>
              <w:spacing w:after="40" w:before="60" w:line="259" w:lineRule="auto"/>
            </w:pPr>
            <w:r>
              <w:rPr>
                <w:rFonts w:ascii="Calibri" w:hAnsi="Calibri"/>
                <w:b w:val="0"/>
                <w:i w:val="0"/>
                <w:color w:val="212121"/>
                <w:sz w:val="19"/>
              </w:rPr>
              <w:t>Dandruff is most prevalent and severe among adolescents and young adults and is comparatively rare among children and the elderly.</w:t>
            </w:r>
          </w:p>
          <w:p>
            <w:pPr>
              <w:spacing w:after="40" w:line="252" w:lineRule="auto"/>
            </w:pPr>
            <w:hyperlink r:id="rId11">
              <w:r>
                <w:rPr>
                  <w:rFonts w:ascii="Calibri" w:hAnsi="Calibri" w:cs="Calibri"/>
                  <w:sz w:val="18"/>
                  <w:color w:val="1155CC"/>
                  <w:u w:val="single"/>
                </w:rPr>
                <w:t xml:space="preserve">ijdvl.com - The genus Malassezia and human disease</w:t>
              </w:r>
            </w:hyperlink>
          </w:p>
          <w:p>
            <w:pPr>
              <w:spacing w:before="60" w:after="40"/>
            </w:pPr>
            <w:r>
              <w:rPr>
                <w:rFonts w:ascii="Calibri" w:hAnsi="Calibri"/>
                <w:b w:val="0"/>
                <w:i w:val="0"/>
                <w:color w:val="5A5A5A"/>
                <w:sz w:val="18"/>
              </w:rPr>
              <w:t>#elderly  #seborrhoeicdermatitis  #Parkinson  #reducedsebum</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Infants (cradle cap)</w:t>
            </w:r>
          </w:p>
        </w:tc>
        <w:tc>
          <w:tcPr>
            <w:tcW w:type="dxa" w:w="4276"/>
            <w:vAlign w:val="top"/>
          </w:tcPr>
          <w:p>
            <w:pPr>
              <w:spacing w:after="60" w:line="259" w:lineRule="auto"/>
            </w:pPr>
            <w:r>
              <w:rPr>
                <w:rFonts w:ascii="Calibri" w:hAnsi="Calibri"/>
                <w:b w:val="0"/>
                <w:i w:val="0"/>
                <w:color w:val="212121"/>
                <w:sz w:val="19"/>
              </w:rPr>
              <w:t>Infantile pityriasis capitis (cradle cap) appears in the first months of life as residual maternal androgens stimulate the sebaceous glands; it is greasy, yellow and adherent, self-limiting, usually clears by 8-12 months, and is clinically distinct from adult dandruff.</w:t>
            </w:r>
          </w:p>
          <w:p>
            <w:pPr>
              <w:spacing w:after="40" w:before="60" w:line="259" w:lineRule="auto"/>
            </w:pPr>
            <w:r>
              <w:rPr>
                <w:rFonts w:ascii="Calibri" w:hAnsi="Calibri"/>
                <w:b w:val="0"/>
                <w:i w:val="0"/>
                <w:color w:val="212121"/>
                <w:sz w:val="19"/>
              </w:rPr>
              <w:t>Seborrhoeic scaling has a bimodal age pattern, peaking in the first three months of life and again from adrenarche onward; the infantile form resolves spontaneously.</w:t>
            </w:r>
          </w:p>
          <w:p>
            <w:pPr>
              <w:spacing w:after="40" w:line="252" w:lineRule="auto"/>
            </w:pPr>
            <w:hyperlink r:id="rId10">
              <w:r>
                <w:rPr>
                  <w:rFonts w:ascii="Calibri" w:hAnsi="Calibri" w:cs="Calibri"/>
                  <w:sz w:val="18"/>
                  <w:color w:val="1155CC"/>
                  <w:u w:val="single"/>
                </w:rPr>
                <w:t xml:space="preserve">ncbi.nlm.nih.gov - StatPearls: Seborrheic Dermatitis</w:t>
              </w:r>
            </w:hyperlink>
          </w:p>
          <w:p>
            <w:pPr>
              <w:spacing w:before="60" w:after="40"/>
            </w:pPr>
            <w:r>
              <w:rPr>
                <w:rFonts w:ascii="Calibri" w:hAnsi="Calibri"/>
                <w:b w:val="0"/>
                <w:i w:val="0"/>
                <w:color w:val="5A5A5A"/>
                <w:sz w:val="18"/>
              </w:rPr>
              <w:t>#infants  #cradlecap  #maternalandrogens  #selflimiting</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Male</w:t>
            </w:r>
          </w:p>
        </w:tc>
        <w:tc>
          <w:tcPr>
            <w:tcW w:type="dxa" w:w="4276"/>
            <w:vAlign w:val="top"/>
          </w:tcPr>
          <w:p>
            <w:pPr>
              <w:spacing w:after="60" w:line="259" w:lineRule="auto"/>
            </w:pPr>
            <w:r>
              <w:rPr>
                <w:rFonts w:ascii="Calibri" w:hAnsi="Calibri"/>
                <w:b w:val="0"/>
                <w:i w:val="0"/>
                <w:color w:val="212121"/>
                <w:sz w:val="19"/>
              </w:rPr>
              <w:t>Dandruff and seborrhoeic dermatitis are somewhat more common and more severe in males because androgens (testosterone and DHT) drive larger, more active sebaceous glands and higher sebum output. Indian clinic series sometimes record more female attendees, which reflects greater cosmetic health-seeking rather than higher biological risk.</w:t>
            </w:r>
          </w:p>
          <w:p>
            <w:pPr>
              <w:spacing w:after="40" w:before="60" w:line="259" w:lineRule="auto"/>
            </w:pPr>
            <w:r>
              <w:rPr>
                <w:rFonts w:ascii="Calibri" w:hAnsi="Calibri"/>
                <w:b w:val="0"/>
                <w:i w:val="0"/>
                <w:color w:val="212121"/>
                <w:sz w:val="19"/>
              </w:rPr>
              <w:t>Male sex is listed among the consistent risk factors for seborrhoeic dermatitis / dandruff in the general population.</w:t>
            </w:r>
          </w:p>
          <w:p>
            <w:pPr>
              <w:spacing w:after="40" w:line="252" w:lineRule="auto"/>
            </w:pPr>
            <w:hyperlink r:id="rId10">
              <w:r>
                <w:rPr>
                  <w:rFonts w:ascii="Calibri" w:hAnsi="Calibri" w:cs="Calibri"/>
                  <w:sz w:val="18"/>
                  <w:color w:val="1155CC"/>
                  <w:u w:val="single"/>
                </w:rPr>
                <w:t xml:space="preserve">ncbi.nlm.nih.gov - StatPearls: Seborrheic Dermatitis</w:t>
              </w:r>
            </w:hyperlink>
          </w:p>
          <w:p>
            <w:pPr>
              <w:spacing w:before="60" w:after="40"/>
            </w:pPr>
            <w:r>
              <w:rPr>
                <w:rFonts w:ascii="Calibri" w:hAnsi="Calibri"/>
                <w:b w:val="0"/>
                <w:i w:val="0"/>
                <w:color w:val="5A5A5A"/>
                <w:sz w:val="18"/>
              </w:rPr>
              <w:t>#male  #androgens  #sebum  #DHT  #healthseeking</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Lower-income and rural groups with limited scalp-hygiene access</w:t>
            </w:r>
          </w:p>
        </w:tc>
        <w:tc>
          <w:tcPr>
            <w:tcW w:type="dxa" w:w="4276"/>
            <w:vAlign w:val="top"/>
          </w:tcPr>
          <w:p>
            <w:pPr>
              <w:spacing w:after="60" w:line="259" w:lineRule="auto"/>
            </w:pPr>
            <w:r>
              <w:rPr>
                <w:rFonts w:ascii="Calibri" w:hAnsi="Calibri"/>
                <w:b w:val="0"/>
                <w:i w:val="0"/>
                <w:color w:val="212121"/>
                <w:sz w:val="19"/>
              </w:rPr>
              <w:t>Severe dandruff clusters where scalp-hygiene practices are less frequent - less regular washing, shared combs, and limited access to medicated shampoos - allowing heavier scaling and a higher Malassezia load.</w:t>
            </w:r>
          </w:p>
          <w:p>
            <w:pPr>
              <w:spacing w:after="40" w:before="60" w:line="259" w:lineRule="auto"/>
            </w:pPr>
            <w:r>
              <w:rPr>
                <w:rFonts w:ascii="Calibri" w:hAnsi="Calibri"/>
                <w:b w:val="0"/>
                <w:i w:val="0"/>
                <w:color w:val="212121"/>
                <w:sz w:val="19"/>
              </w:rPr>
              <w:t>In an Indian urban-versus-rural study, severe (59%) and very severe (71%) dandruff / seborrhoeic dermatitis was significantly higher in the rural than the urban population.</w:t>
            </w:r>
          </w:p>
          <w:p>
            <w:pPr>
              <w:spacing w:after="40" w:line="252" w:lineRule="auto"/>
            </w:pPr>
            <w:hyperlink r:id="rId12">
              <w:r>
                <w:rPr>
                  <w:rFonts w:ascii="Calibri" w:hAnsi="Calibri" w:cs="Calibri"/>
                  <w:sz w:val="18"/>
                  <w:color w:val="1155CC"/>
                  <w:u w:val="single"/>
                </w:rPr>
                <w:t xml:space="preserve">pubmed.ncbi.nlm.nih.gov/32556200 - urban vs rural Malassezia (India)</w:t>
              </w:r>
            </w:hyperlink>
          </w:p>
          <w:p>
            <w:pPr>
              <w:spacing w:before="60" w:after="40"/>
            </w:pPr>
            <w:r>
              <w:rPr>
                <w:rFonts w:ascii="Calibri" w:hAnsi="Calibri"/>
                <w:b w:val="0"/>
                <w:i w:val="0"/>
                <w:color w:val="5A5A5A"/>
                <w:sz w:val="18"/>
              </w:rPr>
              <w:t>#rural  #hygieneaccess  #severity  #washfrequency</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Ethnicity</w:t>
            </w:r>
          </w:p>
        </w:tc>
        <w:tc>
          <w:tcPr>
            <w:tcW w:type="dxa" w:w="2160"/>
            <w:vAlign w:val="top"/>
          </w:tcPr>
          <w:p>
            <w:pPr>
              <w:spacing w:after="40" w:before="0" w:line="259" w:lineRule="auto"/>
            </w:pPr>
            <w:r>
              <w:rPr>
                <w:rFonts w:ascii="Calibri" w:hAnsi="Calibri"/>
                <w:b w:val="0"/>
                <w:i w:val="0"/>
                <w:color w:val="212121"/>
                <w:sz w:val="19"/>
              </w:rPr>
              <w:t>South Indian and coastal humid-tropical residents</w:t>
            </w:r>
          </w:p>
        </w:tc>
        <w:tc>
          <w:tcPr>
            <w:tcW w:type="dxa" w:w="4276"/>
            <w:vAlign w:val="top"/>
          </w:tcPr>
          <w:p>
            <w:pPr>
              <w:spacing w:after="60" w:line="259" w:lineRule="auto"/>
            </w:pPr>
            <w:r>
              <w:rPr>
                <w:rFonts w:ascii="Calibri" w:hAnsi="Calibri"/>
                <w:b w:val="0"/>
                <w:i w:val="0"/>
                <w:color w:val="212121"/>
                <w:sz w:val="19"/>
              </w:rPr>
              <w:t>Hot, humid coastal and southern regions favour Malassezia growth on the scalp; the yeast abounds in tropical and subtropical climates, and warm, sweaty conditions plus heavy hair-oiling raise scalp lipid and moisture.</w:t>
            </w:r>
          </w:p>
          <w:p>
            <w:pPr>
              <w:spacing w:after="40" w:before="60" w:line="259" w:lineRule="auto"/>
            </w:pPr>
            <w:r>
              <w:rPr>
                <w:rFonts w:ascii="Calibri" w:hAnsi="Calibri"/>
                <w:b w:val="0"/>
                <w:i w:val="0"/>
                <w:color w:val="212121"/>
                <w:sz w:val="19"/>
              </w:rPr>
              <w:t>In a north-versus-south Indian comparison, Malassezia was isolated from 84% of dandruff patients (versus 30% of healthy scalps), with M. furfur predominating in the hot-humid south (46.4%), where about 90% of patients also applied coconut oil.</w:t>
            </w:r>
          </w:p>
          <w:p>
            <w:pPr>
              <w:spacing w:after="40" w:line="252" w:lineRule="auto"/>
            </w:pPr>
            <w:hyperlink r:id="rId9">
              <w:r>
                <w:rPr>
                  <w:rFonts w:ascii="Calibri" w:hAnsi="Calibri" w:cs="Calibri"/>
                  <w:sz w:val="18"/>
                  <w:color w:val="1155CC"/>
                  <w:u w:val="single"/>
                </w:rPr>
                <w:t xml:space="preserve">ijmr.org.in - Malassezia species with dandruff (India)</w:t>
              </w:r>
            </w:hyperlink>
          </w:p>
          <w:p>
            <w:pPr>
              <w:spacing w:before="60" w:after="40"/>
            </w:pPr>
            <w:r>
              <w:rPr>
                <w:rFonts w:ascii="Calibri" w:hAnsi="Calibri"/>
                <w:b w:val="0"/>
                <w:i w:val="0"/>
                <w:color w:val="5A5A5A"/>
                <w:sz w:val="18"/>
              </w:rPr>
              <w:t>#tropical  #humidity  #SouthIndia  #Mfurfur  #coconutoil</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Region</w:t>
            </w:r>
          </w:p>
        </w:tc>
        <w:tc>
          <w:tcPr>
            <w:tcW w:type="dxa" w:w="2160"/>
            <w:vAlign w:val="top"/>
          </w:tcPr>
          <w:p>
            <w:pPr>
              <w:spacing w:after="40" w:before="0" w:line="259" w:lineRule="auto"/>
            </w:pPr>
            <w:r>
              <w:rPr>
                <w:rFonts w:ascii="Calibri" w:hAnsi="Calibri"/>
                <w:b w:val="0"/>
                <w:i w:val="0"/>
                <w:color w:val="212121"/>
                <w:sz w:val="19"/>
              </w:rPr>
              <w:t>Indian scalp Malassezia species profile</w:t>
            </w:r>
          </w:p>
        </w:tc>
        <w:tc>
          <w:tcPr>
            <w:tcW w:type="dxa" w:w="4276"/>
            <w:vAlign w:val="top"/>
          </w:tcPr>
          <w:p>
            <w:pPr>
              <w:spacing w:after="60" w:line="259" w:lineRule="auto"/>
            </w:pPr>
            <w:r>
              <w:rPr>
                <w:rFonts w:ascii="Calibri" w:hAnsi="Calibri"/>
                <w:b w:val="0"/>
                <w:i w:val="0"/>
                <w:color w:val="212121"/>
                <w:sz w:val="19"/>
              </w:rPr>
              <w:t>The Indian scalp carries a distinct Malassezia spectrum: M. globosa and M. restricta dominate overall, and the novel species M. arunalokei was first described from India, so local species profiles differ from Western series.</w:t>
            </w:r>
          </w:p>
          <w:p>
            <w:pPr>
              <w:spacing w:after="40" w:before="60" w:line="259" w:lineRule="auto"/>
            </w:pPr>
            <w:r>
              <w:rPr>
                <w:rFonts w:ascii="Calibri" w:hAnsi="Calibri"/>
                <w:b w:val="0"/>
                <w:i w:val="0"/>
                <w:color w:val="212121"/>
                <w:sz w:val="19"/>
              </w:rPr>
              <w:t>Among 200 Indian seborrhoeic dermatitis / dandruff patients, M. globosa (36.2%) and M. restricta (31.3%) predominated, followed by M. furfur (15.7%), mixed infection (12%) and M. arunalokei (4.8%); overall Malassezia isolation was 82% versus 67% in controls.</w:t>
            </w:r>
          </w:p>
          <w:p>
            <w:pPr>
              <w:spacing w:after="40" w:line="252" w:lineRule="auto"/>
            </w:pPr>
            <w:hyperlink r:id="rId12">
              <w:r>
                <w:rPr>
                  <w:rFonts w:ascii="Calibri" w:hAnsi="Calibri" w:cs="Calibri"/>
                  <w:sz w:val="18"/>
                  <w:color w:val="1155CC"/>
                  <w:u w:val="single"/>
                </w:rPr>
                <w:t xml:space="preserve">pubmed.ncbi.nlm.nih.gov/32556200 - Malassezia species spectrum (India)</w:t>
              </w:r>
            </w:hyperlink>
          </w:p>
          <w:p>
            <w:pPr>
              <w:spacing w:before="60" w:after="40"/>
            </w:pPr>
            <w:r>
              <w:rPr>
                <w:rFonts w:ascii="Calibri" w:hAnsi="Calibri"/>
                <w:b w:val="0"/>
                <w:i w:val="0"/>
                <w:color w:val="5A5A5A"/>
                <w:sz w:val="18"/>
              </w:rPr>
              <w:t>#Mglobosa  #Mrestricta  #Marunalokei  #speciesdistribution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Climate</w:t>
            </w:r>
          </w:p>
        </w:tc>
        <w:tc>
          <w:tcPr>
            <w:tcW w:type="dxa" w:w="2160"/>
            <w:vAlign w:val="top"/>
          </w:tcPr>
          <w:p>
            <w:pPr>
              <w:spacing w:after="40" w:before="0" w:line="259" w:lineRule="auto"/>
            </w:pPr>
            <w:r>
              <w:rPr>
                <w:rFonts w:ascii="Calibri" w:hAnsi="Calibri"/>
                <w:b w:val="0"/>
                <w:i w:val="0"/>
                <w:color w:val="212121"/>
                <w:sz w:val="19"/>
              </w:rPr>
              <w:t>Seasonal (winter and high-humidity) exposure</w:t>
            </w:r>
          </w:p>
        </w:tc>
        <w:tc>
          <w:tcPr>
            <w:tcW w:type="dxa" w:w="4276"/>
            <w:vAlign w:val="top"/>
          </w:tcPr>
          <w:p>
            <w:pPr>
              <w:spacing w:after="60" w:line="259" w:lineRule="auto"/>
            </w:pPr>
            <w:r>
              <w:rPr>
                <w:rFonts w:ascii="Calibri" w:hAnsi="Calibri"/>
                <w:b w:val="0"/>
                <w:i w:val="0"/>
                <w:color w:val="212121"/>
                <w:sz w:val="19"/>
              </w:rPr>
              <w:t>Symptoms characteristically worsen in cold, dry winter, when low humidity dries and cracks the scalp barrier, and can also flare in hot, sweaty, humid conditions; both extremes, together with hair cosmetics, aggravate scaling.</w:t>
            </w:r>
          </w:p>
          <w:p>
            <w:pPr>
              <w:spacing w:after="40" w:before="60" w:line="259" w:lineRule="auto"/>
            </w:pPr>
            <w:r>
              <w:rPr>
                <w:rFonts w:ascii="Calibri" w:hAnsi="Calibri"/>
                <w:b w:val="0"/>
                <w:i w:val="0"/>
                <w:color w:val="212121"/>
                <w:sz w:val="19"/>
              </w:rPr>
              <w:t>Environmental factors such as the winter season, UV irradiation, airborne irritants and hair cosmetics are known to aggravate the condition.</w:t>
            </w:r>
          </w:p>
          <w:p>
            <w:pPr>
              <w:spacing w:after="40" w:line="252" w:lineRule="auto"/>
            </w:pPr>
            <w:hyperlink r:id="rId11">
              <w:r>
                <w:rPr>
                  <w:rFonts w:ascii="Calibri" w:hAnsi="Calibri" w:cs="Calibri"/>
                  <w:sz w:val="18"/>
                  <w:color w:val="1155CC"/>
                  <w:u w:val="single"/>
                </w:rPr>
                <w:t xml:space="preserve">ijdvl.com - The genus Malassezia and human disease</w:t>
              </w:r>
            </w:hyperlink>
          </w:p>
          <w:p>
            <w:pPr>
              <w:spacing w:before="60" w:after="40"/>
            </w:pPr>
            <w:r>
              <w:rPr>
                <w:rFonts w:ascii="Calibri" w:hAnsi="Calibri"/>
                <w:b w:val="0"/>
                <w:i w:val="0"/>
                <w:color w:val="5A5A5A"/>
                <w:sz w:val="18"/>
              </w:rPr>
              <w:t>#winter  #seasonal  #humidity  #flare  #haircosmetics</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Hygiene</w:t>
            </w:r>
          </w:p>
        </w:tc>
        <w:tc>
          <w:tcPr>
            <w:tcW w:type="dxa" w:w="2160"/>
            <w:vAlign w:val="top"/>
          </w:tcPr>
          <w:p>
            <w:pPr>
              <w:spacing w:after="40" w:before="0" w:line="259" w:lineRule="auto"/>
            </w:pPr>
            <w:r>
              <w:rPr>
                <w:rFonts w:ascii="Calibri" w:hAnsi="Calibri"/>
                <w:b w:val="0"/>
                <w:i w:val="0"/>
                <w:color w:val="212121"/>
                <w:sz w:val="19"/>
              </w:rPr>
              <w:t>Infrequent hair washing</w:t>
            </w:r>
          </w:p>
        </w:tc>
        <w:tc>
          <w:tcPr>
            <w:tcW w:type="dxa" w:w="4276"/>
            <w:vAlign w:val="top"/>
          </w:tcPr>
          <w:p>
            <w:pPr>
              <w:spacing w:after="60" w:line="259" w:lineRule="auto"/>
            </w:pPr>
            <w:r>
              <w:rPr>
                <w:rFonts w:ascii="Calibri" w:hAnsi="Calibri"/>
                <w:b w:val="0"/>
                <w:i w:val="0"/>
                <w:color w:val="212121"/>
                <w:sz w:val="19"/>
              </w:rPr>
              <w:t>Infrequent shampooing lets sebum, scale and Malassezia accumulate; regular cleansing physically removes scale and yeast and is the single most important controllable factor. Conversely, over-washing with harsh surfactants can irritate the scalp.</w:t>
            </w:r>
          </w:p>
          <w:p>
            <w:pPr>
              <w:spacing w:after="40" w:before="60" w:line="259" w:lineRule="auto"/>
            </w:pPr>
            <w:r>
              <w:rPr>
                <w:rFonts w:ascii="Calibri" w:hAnsi="Calibri"/>
                <w:b w:val="0"/>
                <w:i w:val="0"/>
                <w:color w:val="212121"/>
                <w:sz w:val="19"/>
              </w:rPr>
              <w:t>Severe dandruff is reported more often in populations that pay less attention to scalp hygiene and washing frequency, as seen in the higher rural severity in Indian studies.</w:t>
            </w:r>
          </w:p>
          <w:p>
            <w:pPr>
              <w:spacing w:after="40" w:line="252" w:lineRule="auto"/>
            </w:pPr>
            <w:hyperlink r:id="rId12">
              <w:r>
                <w:rPr>
                  <w:rFonts w:ascii="Calibri" w:hAnsi="Calibri" w:cs="Calibri"/>
                  <w:sz w:val="18"/>
                  <w:color w:val="1155CC"/>
                  <w:u w:val="single"/>
                </w:rPr>
                <w:t xml:space="preserve">pubmed.ncbi.nlm.nih.gov/32556200 - hygiene and dandruff severity (India)</w:t>
              </w:r>
            </w:hyperlink>
          </w:p>
          <w:p>
            <w:pPr>
              <w:spacing w:before="60" w:after="40"/>
            </w:pPr>
            <w:r>
              <w:rPr>
                <w:rFonts w:ascii="Calibri" w:hAnsi="Calibri"/>
                <w:b w:val="0"/>
                <w:i w:val="0"/>
                <w:color w:val="5A5A5A"/>
                <w:sz w:val="18"/>
              </w:rPr>
              <w:t>#hygiene  #washfrequency  #scalphygiene  #sebumbuildup</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Hair-care practice</w:t>
            </w:r>
          </w:p>
        </w:tc>
        <w:tc>
          <w:tcPr>
            <w:tcW w:type="dxa" w:w="2160"/>
            <w:vAlign w:val="top"/>
          </w:tcPr>
          <w:p>
            <w:pPr>
              <w:spacing w:after="40" w:before="0" w:line="259" w:lineRule="auto"/>
            </w:pPr>
            <w:r>
              <w:rPr>
                <w:rFonts w:ascii="Calibri" w:hAnsi="Calibri"/>
                <w:b w:val="0"/>
                <w:i w:val="0"/>
                <w:color w:val="212121"/>
                <w:sz w:val="19"/>
              </w:rPr>
              <w:t>Heavy hair oiling (traditional Indian custom)</w:t>
            </w:r>
          </w:p>
        </w:tc>
        <w:tc>
          <w:tcPr>
            <w:tcW w:type="dxa" w:w="4276"/>
            <w:vAlign w:val="top"/>
          </w:tcPr>
          <w:p>
            <w:pPr>
              <w:spacing w:after="60" w:line="259" w:lineRule="auto"/>
            </w:pPr>
            <w:r>
              <w:rPr>
                <w:rFonts w:ascii="Calibri" w:hAnsi="Calibri"/>
                <w:b w:val="0"/>
                <w:i w:val="0"/>
                <w:color w:val="212121"/>
                <w:sz w:val="19"/>
              </w:rPr>
              <w:t>Traditional heavy scalp oiling, especially leaving oil on overnight, supplies abundant lipid substrate for lipid-dependent Malassezia and creates a warm, occluded, moist scalp that promotes yeast overgrowth; in dandruff-prone people oil is best confined to the hair shaft, not the scalp.</w:t>
            </w:r>
          </w:p>
          <w:p>
            <w:pPr>
              <w:spacing w:after="40" w:before="60" w:line="259" w:lineRule="auto"/>
            </w:pPr>
            <w:r>
              <w:rPr>
                <w:rFonts w:ascii="Calibri" w:hAnsi="Calibri"/>
                <w:b w:val="0"/>
                <w:i w:val="0"/>
                <w:color w:val="212121"/>
                <w:sz w:val="19"/>
              </w:rPr>
              <w:t>In laboratory testing, M. furfur grew well on butter, corn, olive and coconut oils and oleic acid but poorly without added lipid, and scalp oils are proposed to propagate Malassezia and exacerbate seborrhoeic dermatitis.</w:t>
            </w:r>
          </w:p>
          <w:p>
            <w:pPr>
              <w:spacing w:after="40" w:line="252" w:lineRule="auto"/>
            </w:pPr>
            <w:hyperlink r:id="rId13">
              <w:r>
                <w:rPr>
                  <w:rFonts w:ascii="Calibri" w:hAnsi="Calibri" w:cs="Calibri"/>
                  <w:sz w:val="18"/>
                  <w:color w:val="1155CC"/>
                  <w:u w:val="single"/>
                </w:rPr>
                <w:t xml:space="preserve">karger.com - Hair oils may worsen seborrheic dermatitis (Skin Appendage Disord 2023)</w:t>
              </w:r>
            </w:hyperlink>
          </w:p>
          <w:p>
            <w:pPr>
              <w:spacing w:before="60" w:after="40"/>
            </w:pPr>
            <w:r>
              <w:rPr>
                <w:rFonts w:ascii="Calibri" w:hAnsi="Calibri"/>
                <w:b w:val="0"/>
                <w:i w:val="0"/>
                <w:color w:val="5A5A5A"/>
                <w:sz w:val="18"/>
              </w:rPr>
              <w:t>#hairoil  #coconutoil  #occlusion  #lipidsubstrate  #Malassezia</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Smoking</w:t>
            </w:r>
          </w:p>
        </w:tc>
        <w:tc>
          <w:tcPr>
            <w:tcW w:type="dxa" w:w="2160"/>
            <w:vAlign w:val="top"/>
          </w:tcPr>
          <w:p>
            <w:pPr>
              <w:spacing w:after="40" w:before="0" w:line="259" w:lineRule="auto"/>
            </w:pPr>
            <w:r>
              <w:rPr>
                <w:rFonts w:ascii="Calibri" w:hAnsi="Calibri"/>
                <w:b w:val="0"/>
                <w:i w:val="0"/>
                <w:color w:val="212121"/>
                <w:sz w:val="19"/>
              </w:rPr>
              <w:t>Cigarette and tobacco smokers</w:t>
            </w:r>
          </w:p>
        </w:tc>
        <w:tc>
          <w:tcPr>
            <w:tcW w:type="dxa" w:w="4276"/>
            <w:vAlign w:val="top"/>
          </w:tcPr>
          <w:p>
            <w:pPr>
              <w:spacing w:after="60" w:line="259" w:lineRule="auto"/>
            </w:pPr>
            <w:r>
              <w:rPr>
                <w:rFonts w:ascii="Calibri" w:hAnsi="Calibri"/>
                <w:b w:val="0"/>
                <w:i w:val="0"/>
                <w:color w:val="212121"/>
                <w:sz w:val="19"/>
              </w:rPr>
              <w:t>Tobacco smoking is a recognised risk factor for seborrhoeic dermatitis and dandruff, plausibly through effects on sebaceous glands, cutaneous immunity and oxidative stress that favour inflammation and scaling.</w:t>
            </w:r>
          </w:p>
          <w:p>
            <w:pPr>
              <w:spacing w:after="40" w:before="60" w:line="259" w:lineRule="auto"/>
            </w:pPr>
            <w:r>
              <w:rPr>
                <w:rFonts w:ascii="Calibri" w:hAnsi="Calibri"/>
                <w:b w:val="0"/>
                <w:i w:val="0"/>
                <w:color w:val="212121"/>
                <w:sz w:val="19"/>
              </w:rPr>
              <w:t>Smoking is consistently associated with a higher risk of seborrhoeic dermatitis / dandruff, and cessation is advised as part of scalp-health management.</w:t>
            </w:r>
          </w:p>
          <w:p>
            <w:pPr>
              <w:spacing w:before="60" w:after="40"/>
            </w:pPr>
            <w:r>
              <w:rPr>
                <w:rFonts w:ascii="Calibri" w:hAnsi="Calibri"/>
                <w:b w:val="0"/>
                <w:i w:val="0"/>
                <w:color w:val="5A5A5A"/>
                <w:sz w:val="18"/>
              </w:rPr>
              <w:t>#smoking  #tobacco  #oxidativestress  #scalpinflammation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Alcohol</w:t>
            </w:r>
          </w:p>
        </w:tc>
        <w:tc>
          <w:tcPr>
            <w:tcW w:type="dxa" w:w="2160"/>
            <w:vAlign w:val="top"/>
          </w:tcPr>
          <w:p>
            <w:pPr>
              <w:spacing w:after="40" w:before="0" w:line="259" w:lineRule="auto"/>
            </w:pPr>
            <w:r>
              <w:rPr>
                <w:rFonts w:ascii="Calibri" w:hAnsi="Calibri"/>
                <w:b w:val="0"/>
                <w:i w:val="0"/>
                <w:color w:val="212121"/>
                <w:sz w:val="19"/>
              </w:rPr>
              <w:t>Chronic heavy drinkers</w:t>
            </w:r>
          </w:p>
        </w:tc>
        <w:tc>
          <w:tcPr>
            <w:tcW w:type="dxa" w:w="4276"/>
            <w:vAlign w:val="top"/>
          </w:tcPr>
          <w:p>
            <w:pPr>
              <w:spacing w:after="60" w:line="259" w:lineRule="auto"/>
            </w:pPr>
            <w:r>
              <w:rPr>
                <w:rFonts w:ascii="Calibri" w:hAnsi="Calibri"/>
                <w:b w:val="0"/>
                <w:i w:val="0"/>
                <w:color w:val="212121"/>
                <w:sz w:val="19"/>
              </w:rPr>
              <w:t>Chronic heavy alcohol use and alcoholic liver disease are associated with more frequent and severe seborrhoeic dermatitis; the link with mild, isolated dandruff is weaker.</w:t>
            </w:r>
          </w:p>
          <w:p>
            <w:pPr>
              <w:spacing w:after="40" w:before="60" w:line="259" w:lineRule="auto"/>
            </w:pPr>
            <w:r>
              <w:rPr>
                <w:rFonts w:ascii="Calibri" w:hAnsi="Calibri"/>
                <w:b w:val="0"/>
                <w:i w:val="0"/>
                <w:color w:val="212121"/>
                <w:sz w:val="19"/>
              </w:rPr>
              <w:t>Seborrhoeic dermatitis is reported to be more common and severe in people with chronic alcohol use and alcoholic liver disease.</w:t>
            </w:r>
          </w:p>
          <w:p>
            <w:pPr>
              <w:spacing w:before="60" w:after="40"/>
            </w:pPr>
            <w:r>
              <w:rPr>
                <w:rFonts w:ascii="Calibri" w:hAnsi="Calibri"/>
                <w:b w:val="0"/>
                <w:i w:val="0"/>
                <w:color w:val="5A5A5A"/>
                <w:sz w:val="18"/>
              </w:rPr>
              <w:t>#alcohol  #liverdisease  #seborrhoea  #severity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Provoking factors</w:t>
            </w:r>
          </w:p>
        </w:tc>
        <w:tc>
          <w:tcPr>
            <w:tcW w:type="dxa" w:w="2160"/>
            <w:vAlign w:val="top"/>
          </w:tcPr>
          <w:p>
            <w:pPr>
              <w:spacing w:after="40" w:before="0" w:line="259" w:lineRule="auto"/>
            </w:pPr>
            <w:r>
              <w:rPr>
                <w:rFonts w:ascii="Calibri" w:hAnsi="Calibri"/>
                <w:b w:val="0"/>
                <w:i w:val="0"/>
                <w:color w:val="212121"/>
                <w:sz w:val="19"/>
              </w:rPr>
              <w:t>Occlusive head coverings (helmets, turbans, caps, prolonged sweat)</w:t>
            </w:r>
          </w:p>
        </w:tc>
        <w:tc>
          <w:tcPr>
            <w:tcW w:type="dxa" w:w="4276"/>
            <w:vAlign w:val="top"/>
          </w:tcPr>
          <w:p>
            <w:pPr>
              <w:spacing w:after="60" w:line="259" w:lineRule="auto"/>
            </w:pPr>
            <w:r>
              <w:rPr>
                <w:rFonts w:ascii="Calibri" w:hAnsi="Calibri"/>
                <w:b w:val="0"/>
                <w:i w:val="0"/>
                <w:color w:val="212121"/>
                <w:sz w:val="19"/>
              </w:rPr>
              <w:t>Prolonged occlusion and sweating under helmets, turbans, caps or scarves raise scalp temperature, humidity and sebum retention, favouring Malassezia proliferation - a relevant everyday exposure for many Indians (two-wheeler helmet use, occupational headgear).</w:t>
            </w:r>
          </w:p>
          <w:p>
            <w:pPr>
              <w:spacing w:after="40" w:before="60" w:line="259" w:lineRule="auto"/>
            </w:pPr>
            <w:r>
              <w:rPr>
                <w:rFonts w:ascii="Calibri" w:hAnsi="Calibri"/>
                <w:b w:val="0"/>
                <w:i w:val="0"/>
                <w:color w:val="212121"/>
                <w:sz w:val="19"/>
              </w:rPr>
              <w:t>Malassezia abounds in the skin of people from warm, humid tropical and subtropical climates, and occlusion with sweating reproduces these favourable conditions on the scalp.</w:t>
            </w:r>
          </w:p>
          <w:p>
            <w:pPr>
              <w:spacing w:after="40" w:line="252" w:lineRule="auto"/>
            </w:pPr>
            <w:hyperlink r:id="rId11">
              <w:r>
                <w:rPr>
                  <w:rFonts w:ascii="Calibri" w:hAnsi="Calibri" w:cs="Calibri"/>
                  <w:sz w:val="18"/>
                  <w:color w:val="1155CC"/>
                  <w:u w:val="single"/>
                </w:rPr>
                <w:t xml:space="preserve">ijdvl.com - The genus Malassezia and human disease</w:t>
              </w:r>
            </w:hyperlink>
          </w:p>
          <w:p>
            <w:pPr>
              <w:spacing w:before="60" w:after="40"/>
            </w:pPr>
            <w:r>
              <w:rPr>
                <w:rFonts w:ascii="Calibri" w:hAnsi="Calibri"/>
                <w:b w:val="0"/>
                <w:i w:val="0"/>
                <w:color w:val="5A5A5A"/>
                <w:sz w:val="18"/>
              </w:rPr>
              <w:t>#occlusion  #helmet  #turban  #sweat  #humidity</w:t>
            </w:r>
          </w:p>
        </w:tc>
      </w:tr>
      <w:tr>
        <w:trPr>
          <w:cantSplit/>
        </w:trPr>
        <w:tc>
          <w:tcPr>
            <w:tcW w:type="dxa" w:w="1512"/>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Dietary preference</w:t>
            </w:r>
          </w:p>
        </w:tc>
        <w:tc>
          <w:tcPr>
            <w:tcW w:type="dxa" w:w="2160"/>
            <w:vAlign w:val="top"/>
          </w:tcPr>
          <w:p>
            <w:pPr>
              <w:spacing w:after="40" w:before="0" w:line="259" w:lineRule="auto"/>
            </w:pPr>
            <w:r>
              <w:rPr>
                <w:rFonts w:ascii="Calibri" w:hAnsi="Calibri"/>
                <w:b w:val="0"/>
                <w:i w:val="0"/>
                <w:color w:val="212121"/>
                <w:sz w:val="19"/>
              </w:rPr>
              <w:t>High-sugar, high-fat, low-fruit diets</w:t>
            </w:r>
          </w:p>
        </w:tc>
        <w:tc>
          <w:tcPr>
            <w:tcW w:type="dxa" w:w="4276"/>
            <w:vAlign w:val="top"/>
          </w:tcPr>
          <w:p>
            <w:pPr>
              <w:spacing w:after="60" w:line="259" w:lineRule="auto"/>
            </w:pPr>
            <w:r>
              <w:rPr>
                <w:rFonts w:ascii="Calibri" w:hAnsi="Calibri"/>
                <w:b w:val="0"/>
                <w:i w:val="0"/>
                <w:color w:val="212121"/>
                <w:sz w:val="19"/>
              </w:rPr>
              <w:t>Diet has a modest and still-uncertain role; some studies link frequent high-sugar and fried or fatty foods to more seborrhoeic dermatitis and a fruit-rich diet to less, possibly through effects on sebum composition and inflammation. Dandruff can occur on any diet.</w:t>
            </w:r>
          </w:p>
          <w:p>
            <w:pPr>
              <w:spacing w:after="40" w:before="60" w:line="259" w:lineRule="auto"/>
            </w:pPr>
            <w:r>
              <w:rPr>
                <w:rFonts w:ascii="Calibri" w:hAnsi="Calibri"/>
                <w:b w:val="0"/>
                <w:i w:val="0"/>
                <w:color w:val="212121"/>
                <w:sz w:val="19"/>
              </w:rPr>
              <w:t>Dietary associations with seborrhoeic dermatitis are weak and non-decisive; no diet reliably prevents or cures dandruff.</w:t>
            </w:r>
          </w:p>
          <w:p>
            <w:pPr>
              <w:spacing w:before="60" w:after="40"/>
            </w:pPr>
            <w:r>
              <w:rPr>
                <w:rFonts w:ascii="Calibri" w:hAnsi="Calibri"/>
                <w:b w:val="0"/>
                <w:i w:val="0"/>
                <w:color w:val="5A5A5A"/>
                <w:sz w:val="18"/>
              </w:rPr>
              <w:t>#diet  #sugar  #friedfood  #fruit  #weakevidence</w:t>
            </w:r>
          </w:p>
        </w:tc>
      </w:tr>
      <w:tr>
        <w:trPr>
          <w:cantSplit/>
        </w:trPr>
        <w:tc>
          <w:tcPr>
            <w:tcW w:type="dxa" w:w="1512"/>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Family history</w:t>
            </w:r>
          </w:p>
        </w:tc>
        <w:tc>
          <w:tcPr>
            <w:tcW w:type="dxa" w:w="2160"/>
            <w:vAlign w:val="top"/>
          </w:tcPr>
          <w:p>
            <w:pPr>
              <w:spacing w:after="40" w:before="0" w:line="259" w:lineRule="auto"/>
            </w:pPr>
            <w:r>
              <w:rPr>
                <w:rFonts w:ascii="Calibri" w:hAnsi="Calibri"/>
                <w:b w:val="0"/>
                <w:i w:val="0"/>
                <w:color w:val="212121"/>
                <w:sz w:val="19"/>
              </w:rPr>
              <w:t>Familial predisposition and individual susceptibility</w:t>
            </w:r>
          </w:p>
        </w:tc>
        <w:tc>
          <w:tcPr>
            <w:tcW w:type="dxa" w:w="4276"/>
            <w:vAlign w:val="top"/>
          </w:tcPr>
          <w:p>
            <w:pPr>
              <w:spacing w:after="60" w:line="259" w:lineRule="auto"/>
            </w:pPr>
            <w:r>
              <w:rPr>
                <w:rFonts w:ascii="Calibri" w:hAnsi="Calibri"/>
                <w:b w:val="0"/>
                <w:i w:val="0"/>
                <w:color w:val="212121"/>
                <w:sz w:val="19"/>
              </w:rPr>
              <w:t>Dandruff clusters in families; beyond Malassezia and sebum, an inherited individual sensitivity of the scalp barrier and immune response to Malassezia metabolites (free fatty acids such as oleic acid) determines who flakes.</w:t>
            </w:r>
          </w:p>
          <w:p>
            <w:pPr>
              <w:spacing w:after="40" w:before="60" w:line="259" w:lineRule="auto"/>
            </w:pPr>
            <w:r>
              <w:rPr>
                <w:rFonts w:ascii="Calibri" w:hAnsi="Calibri"/>
                <w:b w:val="0"/>
                <w:i w:val="0"/>
                <w:color w:val="212121"/>
                <w:sz w:val="19"/>
              </w:rPr>
              <w:t>The disorder reflects an interplay of Malassezia, skin-surface lipid composition and individual susceptibility; neither the level of sebum produced nor the amount of yeast alone appears decisive.</w:t>
            </w:r>
          </w:p>
          <w:p>
            <w:pPr>
              <w:spacing w:after="40" w:line="252" w:lineRule="auto"/>
            </w:pPr>
            <w:hyperlink r:id="rId10">
              <w:r>
                <w:rPr>
                  <w:rFonts w:ascii="Calibri" w:hAnsi="Calibri" w:cs="Calibri"/>
                  <w:sz w:val="18"/>
                  <w:color w:val="1155CC"/>
                  <w:u w:val="single"/>
                </w:rPr>
                <w:t xml:space="preserve">ncbi.nlm.nih.gov - StatPearls: Seborrheic Dermatitis</w:t>
              </w:r>
            </w:hyperlink>
          </w:p>
          <w:p>
            <w:pPr>
              <w:spacing w:before="60" w:after="40"/>
            </w:pPr>
            <w:r>
              <w:rPr>
                <w:rFonts w:ascii="Calibri" w:hAnsi="Calibri"/>
                <w:b w:val="0"/>
                <w:i w:val="0"/>
                <w:color w:val="5A5A5A"/>
                <w:sz w:val="18"/>
              </w:rPr>
              <w:t>#familyhistory  #individualsusceptibility  #oleicacid  #barrier</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HIV / immunosuppression</w:t>
            </w:r>
          </w:p>
        </w:tc>
        <w:tc>
          <w:tcPr>
            <w:tcW w:type="dxa" w:w="2160"/>
            <w:vAlign w:val="top"/>
          </w:tcPr>
          <w:p>
            <w:pPr>
              <w:spacing w:after="40" w:before="0" w:line="259" w:lineRule="auto"/>
            </w:pPr>
            <w:r>
              <w:rPr>
                <w:rFonts w:ascii="Calibri" w:hAnsi="Calibri"/>
                <w:b w:val="0"/>
                <w:i w:val="0"/>
                <w:color w:val="212121"/>
                <w:sz w:val="19"/>
              </w:rPr>
              <w:t>Immunocompromised patients (HIV/AIDS, transplant, lymphoma)</w:t>
            </w:r>
          </w:p>
        </w:tc>
        <w:tc>
          <w:tcPr>
            <w:tcW w:type="dxa" w:w="4276"/>
            <w:vAlign w:val="top"/>
          </w:tcPr>
          <w:p>
            <w:pPr>
              <w:spacing w:after="60" w:line="259" w:lineRule="auto"/>
            </w:pPr>
            <w:r>
              <w:rPr>
                <w:rFonts w:ascii="Calibri" w:hAnsi="Calibri"/>
                <w:b w:val="0"/>
                <w:i w:val="0"/>
                <w:color w:val="212121"/>
                <w:sz w:val="19"/>
              </w:rPr>
              <w:t>Seborrhoeic dermatitis, the inflammatory end of the dandruff spectrum, is far more common, severe and refractory in HIV/AIDS and other immunosuppression; sudden, severe or treatment-resistant scalp seborrhoea should prompt HIV testing.</w:t>
            </w:r>
          </w:p>
          <w:p>
            <w:pPr>
              <w:spacing w:after="40" w:before="60" w:line="259" w:lineRule="auto"/>
            </w:pPr>
            <w:r>
              <w:rPr>
                <w:rFonts w:ascii="Calibri" w:hAnsi="Calibri"/>
                <w:b w:val="0"/>
                <w:i w:val="0"/>
                <w:color w:val="212121"/>
                <w:sz w:val="19"/>
              </w:rPr>
              <w:t>About 35% of people with early HIV infection have seborrhoeic dermatitis, rising to as high as 85% in those with AIDS.</w:t>
            </w:r>
          </w:p>
          <w:p>
            <w:pPr>
              <w:spacing w:after="40" w:line="252" w:lineRule="auto"/>
            </w:pPr>
            <w:hyperlink r:id="rId10">
              <w:r>
                <w:rPr>
                  <w:rFonts w:ascii="Calibri" w:hAnsi="Calibri" w:cs="Calibri"/>
                  <w:sz w:val="18"/>
                  <w:color w:val="1155CC"/>
                  <w:u w:val="single"/>
                </w:rPr>
                <w:t xml:space="preserve">ncbi.nlm.nih.gov - StatPearls: Seborrheic Dermatitis</w:t>
              </w:r>
            </w:hyperlink>
          </w:p>
          <w:p>
            <w:pPr>
              <w:spacing w:before="60" w:after="40"/>
            </w:pPr>
            <w:r>
              <w:rPr>
                <w:rFonts w:ascii="Calibri" w:hAnsi="Calibri"/>
                <w:b w:val="0"/>
                <w:i w:val="0"/>
                <w:color w:val="5A5A5A"/>
                <w:sz w:val="18"/>
              </w:rPr>
              <w:t>#HIV  #AIDS  #immunosuppression  #severeSD  #CD4</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Parkinson disease</w:t>
            </w:r>
          </w:p>
        </w:tc>
        <w:tc>
          <w:tcPr>
            <w:tcW w:type="dxa" w:w="2160"/>
            <w:vAlign w:val="top"/>
          </w:tcPr>
          <w:p>
            <w:pPr>
              <w:spacing w:after="40" w:before="0" w:line="259" w:lineRule="auto"/>
            </w:pPr>
            <w:r>
              <w:rPr>
                <w:rFonts w:ascii="Calibri" w:hAnsi="Calibri"/>
                <w:b w:val="0"/>
                <w:i w:val="0"/>
                <w:color w:val="212121"/>
                <w:sz w:val="19"/>
              </w:rPr>
              <w:t>Parkinson disease and other neurological conditions</w:t>
            </w:r>
          </w:p>
        </w:tc>
        <w:tc>
          <w:tcPr>
            <w:tcW w:type="dxa" w:w="4276"/>
            <w:vAlign w:val="top"/>
          </w:tcPr>
          <w:p>
            <w:pPr>
              <w:spacing w:after="60" w:line="259" w:lineRule="auto"/>
            </w:pPr>
            <w:r>
              <w:rPr>
                <w:rFonts w:ascii="Calibri" w:hAnsi="Calibri"/>
                <w:b w:val="0"/>
                <w:i w:val="0"/>
                <w:color w:val="212121"/>
                <w:sz w:val="19"/>
              </w:rPr>
              <w:t>Parkinson disease, neuroleptic-induced parkinsonism, stroke and mood disorders are linked to increased facial and scalp sebum (seborrhoea) and higher rates of seborrhoeic dermatitis, partly through autonomic and dopaminergic effects on sebaceous secretion.</w:t>
            </w:r>
          </w:p>
          <w:p>
            <w:pPr>
              <w:spacing w:after="40" w:before="60" w:line="259" w:lineRule="auto"/>
            </w:pPr>
            <w:r>
              <w:rPr>
                <w:rFonts w:ascii="Calibri" w:hAnsi="Calibri"/>
                <w:b w:val="0"/>
                <w:i w:val="0"/>
                <w:color w:val="212121"/>
                <w:sz w:val="19"/>
              </w:rPr>
              <w:t>Neurological and psychiatric conditions, notably Parkinson disease, are established risk factors for seborrhoeic dermatitis.</w:t>
            </w:r>
          </w:p>
          <w:p>
            <w:pPr>
              <w:spacing w:after="40" w:line="252" w:lineRule="auto"/>
            </w:pPr>
            <w:hyperlink r:id="rId10">
              <w:r>
                <w:rPr>
                  <w:rFonts w:ascii="Calibri" w:hAnsi="Calibri" w:cs="Calibri"/>
                  <w:sz w:val="18"/>
                  <w:color w:val="1155CC"/>
                  <w:u w:val="single"/>
                </w:rPr>
                <w:t xml:space="preserve">ncbi.nlm.nih.gov - StatPearls: Seborrheic Dermatitis</w:t>
              </w:r>
            </w:hyperlink>
          </w:p>
          <w:p>
            <w:pPr>
              <w:spacing w:before="60" w:after="40"/>
            </w:pPr>
            <w:r>
              <w:rPr>
                <w:rFonts w:ascii="Calibri" w:hAnsi="Calibri"/>
                <w:b w:val="0"/>
                <w:i w:val="0"/>
                <w:color w:val="5A5A5A"/>
                <w:sz w:val="18"/>
              </w:rPr>
              <w:t>#Parkinson  #neurological  #seborrhoea  #dopamine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Seborrhoeic skin</w:t>
            </w:r>
          </w:p>
        </w:tc>
        <w:tc>
          <w:tcPr>
            <w:tcW w:type="dxa" w:w="2160"/>
            <w:vAlign w:val="top"/>
          </w:tcPr>
          <w:p>
            <w:pPr>
              <w:spacing w:after="40" w:before="0" w:line="259" w:lineRule="auto"/>
            </w:pPr>
            <w:r>
              <w:rPr>
                <w:rFonts w:ascii="Calibri" w:hAnsi="Calibri"/>
                <w:b w:val="0"/>
                <w:i w:val="0"/>
                <w:color w:val="212121"/>
                <w:sz w:val="19"/>
              </w:rPr>
              <w:t>Oily (seborrhoeic) skin, acne and seborrhoeic dermatitis</w:t>
            </w:r>
          </w:p>
        </w:tc>
        <w:tc>
          <w:tcPr>
            <w:tcW w:type="dxa" w:w="4276"/>
            <w:vAlign w:val="top"/>
          </w:tcPr>
          <w:p>
            <w:pPr>
              <w:spacing w:after="60" w:line="259" w:lineRule="auto"/>
            </w:pPr>
            <w:r>
              <w:rPr>
                <w:rFonts w:ascii="Calibri" w:hAnsi="Calibri"/>
                <w:b w:val="0"/>
                <w:i w:val="0"/>
                <w:color w:val="212121"/>
                <w:sz w:val="19"/>
              </w:rPr>
              <w:t>Dandruff is the mildest, non-inflammatory form of the same disease continuum as seborrhoeic dermatitis; people with oily seborrhoeic skin, acne or facial and central-chest seborrhoea frequently also have scalp dandruff, sharing the Malassezia-sebum mechanism.</w:t>
            </w:r>
          </w:p>
          <w:p>
            <w:pPr>
              <w:spacing w:after="40" w:before="60" w:line="259" w:lineRule="auto"/>
            </w:pPr>
            <w:r>
              <w:rPr>
                <w:rFonts w:ascii="Calibri" w:hAnsi="Calibri"/>
                <w:b w:val="0"/>
                <w:i w:val="0"/>
                <w:color w:val="212121"/>
                <w:sz w:val="19"/>
              </w:rPr>
              <w:t>Dandruff and seborrhoeic dermatitis form one severity continuum; worldwide seborrhoeic dermatitis prevalence is around 5% while dandruff is closer to 50%.</w:t>
            </w:r>
          </w:p>
          <w:p>
            <w:pPr>
              <w:spacing w:after="40" w:line="252" w:lineRule="auto"/>
            </w:pPr>
            <w:hyperlink r:id="rId10">
              <w:r>
                <w:rPr>
                  <w:rFonts w:ascii="Calibri" w:hAnsi="Calibri" w:cs="Calibri"/>
                  <w:sz w:val="18"/>
                  <w:color w:val="1155CC"/>
                  <w:u w:val="single"/>
                </w:rPr>
                <w:t xml:space="preserve">ncbi.nlm.nih.gov - StatPearls: Seborrheic Dermatitis</w:t>
              </w:r>
            </w:hyperlink>
          </w:p>
          <w:p>
            <w:pPr>
              <w:spacing w:before="60" w:after="40"/>
            </w:pPr>
            <w:r>
              <w:rPr>
                <w:rFonts w:ascii="Calibri" w:hAnsi="Calibri"/>
                <w:b w:val="0"/>
                <w:i w:val="0"/>
                <w:color w:val="5A5A5A"/>
                <w:sz w:val="18"/>
              </w:rPr>
              <w:t>#seborrhoeicdermatitis  #oilyskin  #acne  #spectrum</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Exercise does not cause dandruff, but heavy sweating and prolonged scalp occlusion under headgear can transiently raise scalp moisture and sebum retention, mildly favouring Malassezia; keeping the scalp clean and dry offsets this.</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Diet has a modest, uncertain role; frequent high-sugar and fried foods have been weakly linked to more seborrhoeic dermatitis and a fruit-rich diet to less, but dandruff occurs on any diet.</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Poor sleep and fatigue can amplify stress-driven flares, but there is no direct causal link between sleep duration and dandruff.</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Tobacco smoking is a recognised risk factor for seborrhoeic dermatitis and dandruff, plausibly via effects on sebaceous glands, cutaneous immunity and oxidative stress.</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Chronic heavy alcohol use and alcoholic liver disease are associated with more severe seborrhoeic dermatitis; the link with mild dandruff is weak.</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Psychological stress is a well-recognised trigger of dandruff and seborrhoeic dermatitis flares, and the visible condition in turn causes embarrassment and lowered self-esteem.</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Adequate hydration supports general skin health but has no established direct effect on dandruff.</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No established relationship between caffeine intake and dandruff; it is not a recognised trigger.</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Scalp hygiene is the single most important controllable factor: infrequent washing lets sebum, scale and Malassezia accumulate, while regular cleansing and correct use of medicated antifungal shampoos remove scale and yeast. Heavy occlusive scalp oiling, common in India, adds lipid substrate for the yeast.</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Warm, humid tropical climate, sweating and occlusion favour Malassezia growth, while cold, dry winter, UV, airborne irritants and hair cosmetics aggravate scaling; Malassezia density itself correlates with dandruff severity.</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Hygiene</w:t>
            </w:r>
          </w:p>
        </w:tc>
        <w:tc>
          <w:tcPr>
            <w:tcW w:type="dxa" w:w="1944"/>
            <w:vAlign w:val="top"/>
          </w:tcPr>
          <w:p>
            <w:pPr>
              <w:spacing w:after="40" w:before="0" w:line="259" w:lineRule="auto"/>
            </w:pPr>
            <w:r>
              <w:rPr>
                <w:rFonts w:ascii="Calibri" w:hAnsi="Calibri"/>
                <w:b w:val="0"/>
                <w:i w:val="0"/>
                <w:color w:val="212121"/>
                <w:sz w:val="19"/>
              </w:rPr>
              <w:t>Hair-wash frequency (washes/week)</w:t>
            </w:r>
          </w:p>
        </w:tc>
        <w:tc>
          <w:tcPr>
            <w:tcW w:type="dxa" w:w="1655"/>
            <w:vAlign w:val="top"/>
          </w:tcPr>
          <w:p>
            <w:pPr>
              <w:spacing w:after="40" w:before="0" w:line="259" w:lineRule="auto"/>
            </w:pPr>
            <w:r>
              <w:rPr>
                <w:rFonts w:ascii="Calibri" w:hAnsi="Calibri"/>
                <w:b w:val="0"/>
                <w:i w:val="0"/>
                <w:color w:val="212121"/>
                <w:sz w:val="19"/>
              </w:rPr>
              <w:t>Adolescents, oily-scalp adults</w:t>
            </w:r>
          </w:p>
        </w:tc>
        <w:tc>
          <w:tcPr>
            <w:tcW w:type="dxa" w:w="1512"/>
            <w:vAlign w:val="top"/>
          </w:tcPr>
          <w:p>
            <w:pPr>
              <w:spacing w:after="40" w:before="0" w:line="259" w:lineRule="auto"/>
            </w:pPr>
            <w:r>
              <w:rPr>
                <w:rFonts w:ascii="Calibri" w:hAnsi="Calibri"/>
                <w:b w:val="0"/>
                <w:i w:val="0"/>
                <w:color w:val="212121"/>
                <w:sz w:val="19"/>
              </w:rPr>
              <w:t>2-4 washes/week (or per medicated regimen)</w:t>
            </w:r>
          </w:p>
        </w:tc>
        <w:tc>
          <w:tcPr>
            <w:tcW w:type="dxa" w:w="1512"/>
            <w:vAlign w:val="top"/>
          </w:tcPr>
          <w:p>
            <w:pPr>
              <w:spacing w:after="40" w:before="0" w:line="259" w:lineRule="auto"/>
            </w:pPr>
            <w:r>
              <w:rPr>
                <w:rFonts w:ascii="Calibri" w:hAnsi="Calibri"/>
                <w:b w:val="0"/>
                <w:i w:val="0"/>
                <w:color w:val="212121"/>
                <w:sz w:val="19"/>
              </w:rPr>
              <w:t>&lt;= 1 wash/week</w:t>
            </w:r>
          </w:p>
        </w:tc>
        <w:tc>
          <w:tcPr>
            <w:tcW w:type="dxa" w:w="1468"/>
            <w:vAlign w:val="top"/>
          </w:tcPr>
          <w:p>
            <w:pPr>
              <w:spacing w:after="60" w:line="259" w:lineRule="auto"/>
            </w:pPr>
            <w:r>
              <w:rPr>
                <w:rFonts w:ascii="Calibri" w:hAnsi="Calibri"/>
                <w:b w:val="0"/>
                <w:i w:val="0"/>
                <w:color w:val="212121"/>
                <w:sz w:val="19"/>
              </w:rPr>
              <w:t>Regular cleansing removes scale, sebum and Malassezia</w:t>
            </w:r>
          </w:p>
          <w:p>
            <w:pPr>
              <w:spacing w:after="40" w:line="252" w:lineRule="auto"/>
            </w:pPr>
            <w:hyperlink r:id="rId12">
              <w:r>
                <w:rPr>
                  <w:rFonts w:ascii="Calibri" w:hAnsi="Calibri" w:cs="Calibri"/>
                  <w:sz w:val="18"/>
                  <w:color w:val="1155CC"/>
                  <w:u w:val="single"/>
                </w:rPr>
                <w:t xml:space="preserve">https://pubmed.ncbi.nlm.nih.gov/32556200/</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Medicated antifungal shampoo use</w:t>
            </w:r>
          </w:p>
        </w:tc>
        <w:tc>
          <w:tcPr>
            <w:tcW w:type="dxa" w:w="1655"/>
            <w:vAlign w:val="top"/>
          </w:tcPr>
          <w:p>
            <w:pPr>
              <w:spacing w:after="40" w:before="0" w:line="259" w:lineRule="auto"/>
            </w:pPr>
            <w:r>
              <w:rPr>
                <w:rFonts w:ascii="Calibri" w:hAnsi="Calibri"/>
                <w:b w:val="0"/>
                <w:i w:val="0"/>
                <w:color w:val="212121"/>
                <w:sz w:val="19"/>
              </w:rPr>
              <w:t>Dandruff patients</w:t>
            </w:r>
          </w:p>
        </w:tc>
        <w:tc>
          <w:tcPr>
            <w:tcW w:type="dxa" w:w="1512"/>
            <w:vAlign w:val="top"/>
          </w:tcPr>
          <w:p>
            <w:pPr>
              <w:spacing w:after="40" w:before="0" w:line="259" w:lineRule="auto"/>
            </w:pPr>
            <w:r>
              <w:rPr>
                <w:rFonts w:ascii="Calibri" w:hAnsi="Calibri"/>
                <w:b w:val="0"/>
                <w:i w:val="0"/>
                <w:color w:val="212121"/>
                <w:sz w:val="19"/>
              </w:rPr>
              <w:t>2-3x/week in flares, 1x/week maintenance (ketoconazole 2%, zinc pyrithione, selenium sulfide, ciclopirox)</w:t>
            </w:r>
          </w:p>
        </w:tc>
        <w:tc>
          <w:tcPr>
            <w:tcW w:type="dxa" w:w="1512"/>
            <w:vAlign w:val="top"/>
          </w:tcPr>
          <w:p>
            <w:pPr>
              <w:spacing w:after="40" w:before="0" w:line="259" w:lineRule="auto"/>
            </w:pPr>
            <w:r>
              <w:rPr>
                <w:rFonts w:ascii="Calibri" w:hAnsi="Calibri"/>
                <w:b w:val="0"/>
                <w:i w:val="0"/>
                <w:color w:val="212121"/>
                <w:sz w:val="19"/>
              </w:rPr>
              <w:t>No medicated shampoo used</w:t>
            </w:r>
          </w:p>
        </w:tc>
        <w:tc>
          <w:tcPr>
            <w:tcW w:type="dxa" w:w="1468"/>
            <w:vAlign w:val="top"/>
          </w:tcPr>
          <w:p>
            <w:pPr>
              <w:spacing w:after="40" w:before="0" w:line="259" w:lineRule="auto"/>
            </w:pPr>
            <w:r>
              <w:rPr>
                <w:rFonts w:ascii="Calibri" w:hAnsi="Calibri"/>
                <w:b w:val="0"/>
                <w:i w:val="0"/>
                <w:color w:val="212121"/>
                <w:sz w:val="19"/>
              </w:rPr>
              <w:t>Antifungal shampoos reduce Malassezia load and scaling</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Scalp oil dwell time</w:t>
            </w:r>
          </w:p>
        </w:tc>
        <w:tc>
          <w:tcPr>
            <w:tcW w:type="dxa" w:w="1655"/>
            <w:vAlign w:val="top"/>
          </w:tcPr>
          <w:p>
            <w:pPr>
              <w:spacing w:after="40" w:before="0" w:line="259" w:lineRule="auto"/>
            </w:pPr>
            <w:r>
              <w:rPr>
                <w:rFonts w:ascii="Calibri" w:hAnsi="Calibri"/>
                <w:b w:val="0"/>
                <w:i w:val="0"/>
                <w:color w:val="212121"/>
                <w:sz w:val="19"/>
              </w:rPr>
              <w:t>Oil-using, dandruff-prone</w:t>
            </w:r>
          </w:p>
        </w:tc>
        <w:tc>
          <w:tcPr>
            <w:tcW w:type="dxa" w:w="1512"/>
            <w:vAlign w:val="top"/>
          </w:tcPr>
          <w:p>
            <w:pPr>
              <w:spacing w:after="40" w:before="0" w:line="259" w:lineRule="auto"/>
            </w:pPr>
            <w:r>
              <w:rPr>
                <w:rFonts w:ascii="Calibri" w:hAnsi="Calibri"/>
                <w:b w:val="0"/>
                <w:i w:val="0"/>
                <w:color w:val="212121"/>
                <w:sz w:val="19"/>
              </w:rPr>
              <w:t>Oil on hair shaft only; rinse within ~1-2 h</w:t>
            </w:r>
          </w:p>
        </w:tc>
        <w:tc>
          <w:tcPr>
            <w:tcW w:type="dxa" w:w="1512"/>
            <w:vAlign w:val="top"/>
          </w:tcPr>
          <w:p>
            <w:pPr>
              <w:spacing w:after="40" w:before="0" w:line="259" w:lineRule="auto"/>
            </w:pPr>
            <w:r>
              <w:rPr>
                <w:rFonts w:ascii="Calibri" w:hAnsi="Calibri"/>
                <w:b w:val="0"/>
                <w:i w:val="0"/>
                <w:color w:val="212121"/>
                <w:sz w:val="19"/>
              </w:rPr>
              <w:t>Heavy overnight scalp oiling</w:t>
            </w:r>
          </w:p>
        </w:tc>
        <w:tc>
          <w:tcPr>
            <w:tcW w:type="dxa" w:w="1468"/>
            <w:vAlign w:val="top"/>
          </w:tcPr>
          <w:p>
            <w:pPr>
              <w:spacing w:after="60" w:line="259" w:lineRule="auto"/>
            </w:pPr>
            <w:r>
              <w:rPr>
                <w:rFonts w:ascii="Calibri" w:hAnsi="Calibri"/>
                <w:b w:val="0"/>
                <w:i w:val="0"/>
                <w:color w:val="212121"/>
                <w:sz w:val="19"/>
              </w:rPr>
              <w:t>Occlusive scalp oil supplies lipid substrate for Malassezia</w:t>
            </w:r>
          </w:p>
          <w:p>
            <w:pPr>
              <w:spacing w:after="40" w:line="252" w:lineRule="auto"/>
            </w:pPr>
            <w:hyperlink r:id="rId13">
              <w:r>
                <w:rPr>
                  <w:rFonts w:ascii="Calibri" w:hAnsi="Calibri" w:cs="Calibri"/>
                  <w:sz w:val="18"/>
                  <w:color w:val="1155CC"/>
                  <w:u w:val="single"/>
                </w:rPr>
                <w:t xml:space="preserve">https://karger.com/sad/article/9/2/151/832285/Hair-Oils-May-Worsen-Seborrheic-Dermatitis-in</w:t>
              </w:r>
            </w:hyperlink>
          </w:p>
        </w:tc>
      </w:tr>
      <w:tr>
        <w:trPr>
          <w:cantSplit/>
        </w:trPr>
        <w:tc>
          <w:tcPr>
            <w:tcW w:type="dxa" w:w="1512"/>
            <w:vMerge w:val="restart"/>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Scalp Malassezia density</w:t>
            </w:r>
          </w:p>
        </w:tc>
        <w:tc>
          <w:tcPr>
            <w:tcW w:type="dxa" w:w="1655"/>
            <w:vAlign w:val="top"/>
          </w:tcPr>
          <w:p>
            <w:pPr>
              <w:spacing w:after="40" w:before="0" w:line="259" w:lineRule="auto"/>
            </w:pPr>
            <w:r>
              <w:rPr>
                <w:rFonts w:ascii="Calibri" w:hAnsi="Calibri"/>
                <w:b w:val="0"/>
                <w:i w:val="0"/>
                <w:color w:val="212121"/>
                <w:sz w:val="19"/>
              </w:rPr>
              <w:t>Dandruff patients</w:t>
            </w:r>
          </w:p>
        </w:tc>
        <w:tc>
          <w:tcPr>
            <w:tcW w:type="dxa" w:w="1512"/>
            <w:vAlign w:val="top"/>
          </w:tcPr>
          <w:p>
            <w:pPr>
              <w:spacing w:after="40" w:before="0" w:line="259" w:lineRule="auto"/>
            </w:pPr>
            <w:r>
              <w:rPr>
                <w:rFonts w:ascii="Calibri" w:hAnsi="Calibri"/>
                <w:b w:val="0"/>
                <w:i w:val="0"/>
                <w:color w:val="212121"/>
                <w:sz w:val="19"/>
              </w:rPr>
              <w:t>Low commensal load</w:t>
            </w:r>
          </w:p>
        </w:tc>
        <w:tc>
          <w:tcPr>
            <w:tcW w:type="dxa" w:w="1512"/>
            <w:vAlign w:val="top"/>
          </w:tcPr>
          <w:p>
            <w:pPr>
              <w:spacing w:after="40" w:before="0" w:line="259" w:lineRule="auto"/>
            </w:pPr>
            <w:r>
              <w:rPr>
                <w:rFonts w:ascii="Calibri" w:hAnsi="Calibri"/>
                <w:b w:val="0"/>
                <w:i w:val="0"/>
                <w:color w:val="212121"/>
                <w:sz w:val="19"/>
              </w:rPr>
              <w:t>High yeast density</w:t>
            </w:r>
          </w:p>
        </w:tc>
        <w:tc>
          <w:tcPr>
            <w:tcW w:type="dxa" w:w="1468"/>
            <w:vAlign w:val="top"/>
          </w:tcPr>
          <w:p>
            <w:pPr>
              <w:spacing w:after="60" w:line="259" w:lineRule="auto"/>
            </w:pPr>
            <w:r>
              <w:rPr>
                <w:rFonts w:ascii="Calibri" w:hAnsi="Calibri"/>
                <w:b w:val="0"/>
                <w:i w:val="0"/>
                <w:color w:val="212121"/>
                <w:sz w:val="19"/>
              </w:rPr>
              <w:t>Malassezia density correlates with dandruff severity</w:t>
            </w:r>
          </w:p>
          <w:p>
            <w:pPr>
              <w:spacing w:after="40" w:line="252" w:lineRule="auto"/>
            </w:pPr>
            <w:hyperlink r:id="rId9">
              <w:r>
                <w:rPr>
                  <w:rFonts w:ascii="Calibri" w:hAnsi="Calibri" w:cs="Calibri"/>
                  <w:sz w:val="18"/>
                  <w:color w:val="1155CC"/>
                  <w:u w:val="single"/>
                </w:rPr>
                <w:t xml:space="preserve">https://ijmr.org.in/association-of-malassezia-species-with-dandruff/</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Ambient humidity and heat</w:t>
            </w:r>
          </w:p>
        </w:tc>
        <w:tc>
          <w:tcPr>
            <w:tcW w:type="dxa" w:w="1655"/>
            <w:vAlign w:val="top"/>
          </w:tcPr>
          <w:p>
            <w:pPr>
              <w:spacing w:after="40" w:before="0" w:line="259" w:lineRule="auto"/>
            </w:pPr>
            <w:r>
              <w:rPr>
                <w:rFonts w:ascii="Calibri" w:hAnsi="Calibri"/>
                <w:b w:val="0"/>
                <w:i w:val="0"/>
                <w:color w:val="212121"/>
                <w:sz w:val="19"/>
              </w:rPr>
              <w:t>Tropical/coastal residents</w:t>
            </w:r>
          </w:p>
        </w:tc>
        <w:tc>
          <w:tcPr>
            <w:tcW w:type="dxa" w:w="1512"/>
            <w:vAlign w:val="top"/>
          </w:tcPr>
          <w:p>
            <w:pPr>
              <w:spacing w:after="40" w:before="0" w:line="259" w:lineRule="auto"/>
            </w:pPr>
            <w:r>
              <w:rPr>
                <w:rFonts w:ascii="Calibri" w:hAnsi="Calibri"/>
                <w:b w:val="0"/>
                <w:i w:val="0"/>
                <w:color w:val="212121"/>
                <w:sz w:val="19"/>
              </w:rPr>
              <w:t>Cool, dry, ventilated scalp</w:t>
            </w:r>
          </w:p>
        </w:tc>
        <w:tc>
          <w:tcPr>
            <w:tcW w:type="dxa" w:w="1512"/>
            <w:vAlign w:val="top"/>
          </w:tcPr>
          <w:p>
            <w:pPr>
              <w:spacing w:after="40" w:before="0" w:line="259" w:lineRule="auto"/>
            </w:pPr>
            <w:r>
              <w:rPr>
                <w:rFonts w:ascii="Calibri" w:hAnsi="Calibri"/>
                <w:b w:val="0"/>
                <w:i w:val="0"/>
                <w:color w:val="212121"/>
                <w:sz w:val="19"/>
              </w:rPr>
              <w:t>Hot, humid, sweaty, occluded scalp</w:t>
            </w:r>
          </w:p>
        </w:tc>
        <w:tc>
          <w:tcPr>
            <w:tcW w:type="dxa" w:w="1468"/>
            <w:vAlign w:val="top"/>
          </w:tcPr>
          <w:p>
            <w:pPr>
              <w:spacing w:after="60" w:line="259" w:lineRule="auto"/>
            </w:pPr>
            <w:r>
              <w:rPr>
                <w:rFonts w:ascii="Calibri" w:hAnsi="Calibri"/>
                <w:b w:val="0"/>
                <w:i w:val="0"/>
                <w:color w:val="212121"/>
                <w:sz w:val="19"/>
              </w:rPr>
              <w:t>Malassezia abounds in warm humid climates</w:t>
            </w:r>
          </w:p>
          <w:p>
            <w:pPr>
              <w:spacing w:after="40" w:line="252" w:lineRule="auto"/>
            </w:pPr>
            <w:hyperlink r:id="rId11">
              <w:r>
                <w:rPr>
                  <w:rFonts w:ascii="Calibri" w:hAnsi="Calibri" w:cs="Calibri"/>
                  <w:sz w:val="18"/>
                  <w:color w:val="1155CC"/>
                  <w:u w:val="single"/>
                </w:rPr>
                <w:t xml:space="preserve">https://ijdvl.com/the-genus-malassezia-and-human-disease/</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Season</w:t>
            </w:r>
          </w:p>
        </w:tc>
        <w:tc>
          <w:tcPr>
            <w:tcW w:type="dxa" w:w="1655"/>
            <w:vAlign w:val="top"/>
          </w:tcPr>
          <w:p>
            <w:pPr>
              <w:spacing w:after="40" w:before="0" w:line="259" w:lineRule="auto"/>
            </w:pPr>
            <w:r>
              <w:rPr>
                <w:rFonts w:ascii="Calibri" w:hAnsi="Calibri"/>
                <w:b w:val="0"/>
                <w:i w:val="0"/>
                <w:color w:val="212121"/>
                <w:sz w:val="19"/>
              </w:rPr>
              <w:t>All</w:t>
            </w:r>
          </w:p>
        </w:tc>
        <w:tc>
          <w:tcPr>
            <w:tcW w:type="dxa" w:w="1512"/>
            <w:vAlign w:val="top"/>
          </w:tcPr>
          <w:p>
            <w:pPr>
              <w:spacing w:after="40" w:before="0" w:line="259" w:lineRule="auto"/>
            </w:pPr>
            <w:r>
              <w:rPr>
                <w:rFonts w:ascii="Calibri" w:hAnsi="Calibri"/>
                <w:b w:val="0"/>
                <w:i w:val="0"/>
                <w:color w:val="212121"/>
                <w:sz w:val="19"/>
              </w:rPr>
              <w:t>Stable, moderate conditions</w:t>
            </w:r>
          </w:p>
        </w:tc>
        <w:tc>
          <w:tcPr>
            <w:tcW w:type="dxa" w:w="1512"/>
            <w:vAlign w:val="top"/>
          </w:tcPr>
          <w:p>
            <w:pPr>
              <w:spacing w:after="40" w:before="0" w:line="259" w:lineRule="auto"/>
            </w:pPr>
            <w:r>
              <w:rPr>
                <w:rFonts w:ascii="Calibri" w:hAnsi="Calibri"/>
                <w:b w:val="0"/>
                <w:i w:val="0"/>
                <w:color w:val="212121"/>
                <w:sz w:val="19"/>
              </w:rPr>
              <w:t>Cold, dry winter; irritant hair cosmetics</w:t>
            </w:r>
          </w:p>
        </w:tc>
        <w:tc>
          <w:tcPr>
            <w:tcW w:type="dxa" w:w="1468"/>
            <w:vAlign w:val="top"/>
          </w:tcPr>
          <w:p>
            <w:pPr>
              <w:spacing w:after="60" w:line="259" w:lineRule="auto"/>
            </w:pPr>
            <w:r>
              <w:rPr>
                <w:rFonts w:ascii="Calibri" w:hAnsi="Calibri"/>
                <w:b w:val="0"/>
                <w:i w:val="0"/>
                <w:color w:val="212121"/>
                <w:sz w:val="19"/>
              </w:rPr>
              <w:t>Winter and hair cosmetics aggravate scaling</w:t>
            </w:r>
          </w:p>
          <w:p>
            <w:pPr>
              <w:spacing w:after="40" w:line="252" w:lineRule="auto"/>
            </w:pPr>
            <w:hyperlink r:id="rId11">
              <w:r>
                <w:rPr>
                  <w:rFonts w:ascii="Calibri" w:hAnsi="Calibri" w:cs="Calibri"/>
                  <w:sz w:val="18"/>
                  <w:color w:val="1155CC"/>
                  <w:u w:val="single"/>
                </w:rPr>
                <w:t xml:space="preserve">https://ijdvl.com/the-genus-malassezia-and-human-disease/</w:t>
              </w:r>
            </w:hyperlink>
          </w:p>
        </w:tc>
      </w:tr>
      <w:tr>
        <w:trPr>
          <w:cantSplit/>
        </w:trPr>
        <w:tc>
          <w:tcPr>
            <w:tcW w:type="dxa" w:w="1512"/>
            <w:vAlign w:val="center"/>
          </w:tcPr>
          <w:p>
            <w:pPr>
              <w:spacing w:after="40"/>
            </w:pPr>
            <w:r>
              <w:rPr>
                <w:rFonts w:ascii="Calibri" w:hAnsi="Calibri"/>
                <w:b w:val="0"/>
                <w:i w:val="0"/>
                <w:color w:val="212121"/>
                <w:sz w:val="19"/>
              </w:rPr>
              <w:t>Smoking</w:t>
            </w:r>
          </w:p>
        </w:tc>
        <w:tc>
          <w:tcPr>
            <w:tcW w:type="dxa" w:w="1944"/>
            <w:vAlign w:val="top"/>
          </w:tcPr>
          <w:p>
            <w:pPr>
              <w:spacing w:after="40" w:before="0" w:line="259" w:lineRule="auto"/>
            </w:pPr>
            <w:r>
              <w:rPr>
                <w:rFonts w:ascii="Calibri" w:hAnsi="Calibri"/>
                <w:b w:val="0"/>
                <w:i w:val="0"/>
                <w:color w:val="212121"/>
                <w:sz w:val="19"/>
              </w:rPr>
              <w:t>Cigarettes per day</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0 per day</w:t>
            </w:r>
          </w:p>
        </w:tc>
        <w:tc>
          <w:tcPr>
            <w:tcW w:type="dxa" w:w="1512"/>
            <w:vAlign w:val="top"/>
          </w:tcPr>
          <w:p>
            <w:pPr>
              <w:spacing w:after="40" w:before="0" w:line="259" w:lineRule="auto"/>
            </w:pPr>
            <w:r>
              <w:rPr>
                <w:rFonts w:ascii="Calibri" w:hAnsi="Calibri"/>
                <w:b w:val="0"/>
                <w:i w:val="0"/>
                <w:color w:val="212121"/>
                <w:sz w:val="19"/>
              </w:rPr>
              <w:t>&gt;= 1 per day</w:t>
            </w:r>
          </w:p>
        </w:tc>
        <w:tc>
          <w:tcPr>
            <w:tcW w:type="dxa" w:w="1468"/>
            <w:vAlign w:val="top"/>
          </w:tcPr>
          <w:p>
            <w:pPr>
              <w:spacing w:after="40" w:before="0" w:line="259" w:lineRule="auto"/>
            </w:pPr>
            <w:r>
              <w:rPr>
                <w:rFonts w:ascii="Calibri" w:hAnsi="Calibri"/>
                <w:b w:val="0"/>
                <w:i w:val="0"/>
                <w:color w:val="212121"/>
                <w:sz w:val="19"/>
              </w:rPr>
              <w:t>Smoking is associated with seborrhoeic dermatitis</w:t>
            </w:r>
          </w:p>
        </w:tc>
      </w:tr>
      <w:tr>
        <w:trPr>
          <w:cantSplit/>
        </w:trPr>
        <w:tc>
          <w:tcPr>
            <w:tcW w:type="dxa" w:w="1512"/>
            <w:vAlign w:val="center"/>
          </w:tcPr>
          <w:p>
            <w:pPr>
              <w:spacing w:after="40"/>
            </w:pPr>
            <w:r>
              <w:rPr>
                <w:rFonts w:ascii="Calibri" w:hAnsi="Calibri"/>
                <w:b w:val="0"/>
                <w:i w:val="0"/>
                <w:color w:val="212121"/>
                <w:sz w:val="19"/>
              </w:rPr>
              <w:t>Mental health</w:t>
            </w:r>
          </w:p>
        </w:tc>
        <w:tc>
          <w:tcPr>
            <w:tcW w:type="dxa" w:w="1944"/>
            <w:vAlign w:val="top"/>
          </w:tcPr>
          <w:p>
            <w:pPr>
              <w:spacing w:after="40" w:before="0" w:line="259" w:lineRule="auto"/>
            </w:pPr>
            <w:r>
              <w:rPr>
                <w:rFonts w:ascii="Calibri" w:hAnsi="Calibri"/>
                <w:b w:val="0"/>
                <w:i w:val="0"/>
                <w:color w:val="212121"/>
                <w:sz w:val="19"/>
              </w:rPr>
              <w:t>Perceived stress</w:t>
            </w:r>
          </w:p>
        </w:tc>
        <w:tc>
          <w:tcPr>
            <w:tcW w:type="dxa" w:w="1655"/>
            <w:vAlign w:val="top"/>
          </w:tcPr>
          <w:p>
            <w:pPr>
              <w:spacing w:after="40" w:before="0" w:line="259" w:lineRule="auto"/>
            </w:pPr>
            <w:r>
              <w:rPr>
                <w:rFonts w:ascii="Calibri" w:hAnsi="Calibri"/>
                <w:b w:val="0"/>
                <w:i w:val="0"/>
                <w:color w:val="212121"/>
                <w:sz w:val="19"/>
              </w:rPr>
              <w:t>All</w:t>
            </w:r>
          </w:p>
        </w:tc>
        <w:tc>
          <w:tcPr>
            <w:tcW w:type="dxa" w:w="1512"/>
            <w:vAlign w:val="top"/>
          </w:tcPr>
          <w:p>
            <w:pPr>
              <w:spacing w:after="40" w:before="0" w:line="259" w:lineRule="auto"/>
            </w:pPr>
            <w:r>
              <w:rPr>
                <w:rFonts w:ascii="Calibri" w:hAnsi="Calibri"/>
                <w:b w:val="0"/>
                <w:i w:val="0"/>
                <w:color w:val="212121"/>
                <w:sz w:val="19"/>
              </w:rPr>
              <w:t>Well-managed</w:t>
            </w:r>
          </w:p>
        </w:tc>
        <w:tc>
          <w:tcPr>
            <w:tcW w:type="dxa" w:w="1512"/>
            <w:vAlign w:val="top"/>
          </w:tcPr>
          <w:p>
            <w:pPr>
              <w:spacing w:after="40" w:before="0" w:line="259" w:lineRule="auto"/>
            </w:pPr>
            <w:r>
              <w:rPr>
                <w:rFonts w:ascii="Calibri" w:hAnsi="Calibri"/>
                <w:b w:val="0"/>
                <w:i w:val="0"/>
                <w:color w:val="212121"/>
                <w:sz w:val="19"/>
              </w:rPr>
              <w:t>High or chronic stress</w:t>
            </w:r>
          </w:p>
        </w:tc>
        <w:tc>
          <w:tcPr>
            <w:tcW w:type="dxa" w:w="1468"/>
            <w:vAlign w:val="top"/>
          </w:tcPr>
          <w:p>
            <w:pPr>
              <w:spacing w:after="40" w:before="0" w:line="259" w:lineRule="auto"/>
            </w:pPr>
            <w:r>
              <w:rPr>
                <w:rFonts w:ascii="Calibri" w:hAnsi="Calibri"/>
                <w:b w:val="0"/>
                <w:i w:val="0"/>
                <w:color w:val="212121"/>
                <w:sz w:val="19"/>
              </w:rPr>
              <w:t>Stress commonly triggers dandruff flares</w:t>
            </w:r>
          </w:p>
        </w:tc>
      </w:tr>
      <w:tr>
        <w:trPr>
          <w:cantSplit/>
        </w:trPr>
        <w:tc>
          <w:tcPr>
            <w:tcW w:type="dxa" w:w="1512"/>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Dietary pattern</w:t>
            </w:r>
          </w:p>
        </w:tc>
        <w:tc>
          <w:tcPr>
            <w:tcW w:type="dxa" w:w="1655"/>
            <w:vAlign w:val="top"/>
          </w:tcPr>
          <w:p>
            <w:pPr>
              <w:spacing w:after="40" w:before="0" w:line="259" w:lineRule="auto"/>
            </w:pPr>
            <w:r>
              <w:rPr>
                <w:rFonts w:ascii="Calibri" w:hAnsi="Calibri"/>
                <w:b w:val="0"/>
                <w:i w:val="0"/>
                <w:color w:val="212121"/>
                <w:sz w:val="19"/>
              </w:rPr>
              <w:t>All</w:t>
            </w:r>
          </w:p>
        </w:tc>
        <w:tc>
          <w:tcPr>
            <w:tcW w:type="dxa" w:w="1512"/>
            <w:vAlign w:val="top"/>
          </w:tcPr>
          <w:p>
            <w:pPr>
              <w:spacing w:after="40" w:before="0" w:line="259" w:lineRule="auto"/>
            </w:pPr>
            <w:r>
              <w:rPr>
                <w:rFonts w:ascii="Calibri" w:hAnsi="Calibri"/>
                <w:b w:val="0"/>
                <w:i w:val="0"/>
                <w:color w:val="212121"/>
                <w:sz w:val="19"/>
              </w:rPr>
              <w:t>Fruit- and vegetable-rich, low added sugar and fried fat</w:t>
            </w:r>
          </w:p>
        </w:tc>
        <w:tc>
          <w:tcPr>
            <w:tcW w:type="dxa" w:w="1512"/>
            <w:vAlign w:val="top"/>
          </w:tcPr>
          <w:p>
            <w:pPr>
              <w:spacing w:after="40" w:before="0" w:line="259" w:lineRule="auto"/>
            </w:pPr>
            <w:r>
              <w:rPr>
                <w:rFonts w:ascii="Calibri" w:hAnsi="Calibri"/>
                <w:b w:val="0"/>
                <w:i w:val="0"/>
                <w:color w:val="212121"/>
                <w:sz w:val="19"/>
              </w:rPr>
              <w:t>Frequent high-sugar and fried foods</w:t>
            </w:r>
          </w:p>
        </w:tc>
        <w:tc>
          <w:tcPr>
            <w:tcW w:type="dxa" w:w="1468"/>
            <w:vAlign w:val="top"/>
          </w:tcPr>
          <w:p>
            <w:pPr>
              <w:spacing w:after="40" w:before="0" w:line="259" w:lineRule="auto"/>
            </w:pPr>
            <w:r>
              <w:rPr>
                <w:rFonts w:ascii="Calibri" w:hAnsi="Calibri"/>
                <w:b w:val="0"/>
                <w:i w:val="0"/>
                <w:color w:val="212121"/>
                <w:sz w:val="19"/>
              </w:rPr>
              <w:t>Weak, non-decisive dietary association</w:t>
            </w:r>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Mycological</w:t>
            </w:r>
          </w:p>
        </w:tc>
        <w:tc>
          <w:tcPr>
            <w:tcW w:type="dxa" w:w="1036"/>
            <w:vAlign w:val="top"/>
          </w:tcPr>
          <w:p>
            <w:pPr>
              <w:spacing w:after="40" w:before="0" w:line="259" w:lineRule="auto"/>
            </w:pPr>
            <w:r>
              <w:rPr>
                <w:rFonts w:ascii="Calibri" w:hAnsi="Calibri"/>
                <w:b w:val="0"/>
                <w:i w:val="0"/>
                <w:color w:val="212121"/>
                <w:sz w:val="16"/>
              </w:rPr>
              <w:t>KOH microscopy of scalp scales</w:t>
            </w:r>
          </w:p>
        </w:tc>
        <w:tc>
          <w:tcPr>
            <w:tcW w:type="dxa" w:w="892"/>
            <w:vAlign w:val="top"/>
          </w:tcPr>
          <w:p>
            <w:pPr>
              <w:spacing w:after="40" w:before="0" w:line="259" w:lineRule="auto"/>
            </w:pPr>
            <w:r>
              <w:rPr>
                <w:rFonts w:ascii="Calibri" w:hAnsi="Calibri"/>
                <w:b w:val="0"/>
                <w:i w:val="0"/>
                <w:color w:val="212121"/>
                <w:sz w:val="16"/>
              </w:rPr>
              <w:t>Direct microscopy</w:t>
            </w:r>
          </w:p>
        </w:tc>
        <w:tc>
          <w:tcPr>
            <w:tcW w:type="dxa" w:w="950"/>
            <w:vAlign w:val="top"/>
          </w:tcPr>
          <w:p>
            <w:pPr>
              <w:spacing w:after="40" w:before="0" w:line="259" w:lineRule="auto"/>
            </w:pPr>
            <w:r>
              <w:rPr>
                <w:rFonts w:ascii="Calibri" w:hAnsi="Calibri"/>
                <w:b w:val="0"/>
                <w:i w:val="0"/>
                <w:color w:val="212121"/>
                <w:sz w:val="16"/>
              </w:rPr>
              <w:t>No dermatophyte hyphae; scanty commensal yeast</w:t>
            </w:r>
          </w:p>
        </w:tc>
        <w:tc>
          <w:tcPr>
            <w:tcW w:type="dxa" w:w="950"/>
            <w:vAlign w:val="top"/>
          </w:tcPr>
          <w:p>
            <w:pPr>
              <w:spacing w:after="40" w:before="0" w:line="259" w:lineRule="auto"/>
            </w:pPr>
            <w:r>
              <w:rPr>
                <w:rFonts w:ascii="Calibri" w:hAnsi="Calibri"/>
                <w:b w:val="0"/>
                <w:i w:val="0"/>
                <w:color w:val="212121"/>
                <w:sz w:val="16"/>
              </w:rPr>
              <w:t>Abundant round budding yeast (Malassezia); hyphae suggest tinea</w:t>
            </w:r>
          </w:p>
        </w:tc>
        <w:tc>
          <w:tcPr>
            <w:tcW w:type="dxa" w:w="1036"/>
            <w:vAlign w:val="top"/>
          </w:tcPr>
          <w:p>
            <w:pPr>
              <w:spacing w:after="40" w:before="0" w:line="259" w:lineRule="auto"/>
            </w:pPr>
            <w:r>
              <w:rPr>
                <w:rFonts w:ascii="Calibri" w:hAnsi="Calibri"/>
                <w:b w:val="0"/>
                <w:i w:val="0"/>
                <w:color w:val="212121"/>
                <w:sz w:val="16"/>
              </w:rPr>
              <w:t>Excludes tinea capitis and supports Malassezia overgrowth</w:t>
            </w:r>
          </w:p>
        </w:tc>
        <w:tc>
          <w:tcPr>
            <w:tcW w:type="dxa" w:w="1036"/>
            <w:vAlign w:val="top"/>
          </w:tcPr>
          <w:p>
            <w:pPr>
              <w:spacing w:after="40" w:before="0" w:line="259" w:lineRule="auto"/>
            </w:pPr>
            <w:r>
              <w:rPr>
                <w:rFonts w:ascii="Calibri" w:hAnsi="Calibri"/>
                <w:b w:val="0"/>
                <w:i w:val="0"/>
                <w:color w:val="212121"/>
                <w:sz w:val="16"/>
              </w:rPr>
              <w:t>Children, atypical or refractory cases</w:t>
            </w:r>
          </w:p>
        </w:tc>
        <w:tc>
          <w:tcPr>
            <w:tcW w:type="dxa" w:w="720"/>
            <w:vAlign w:val="top"/>
          </w:tcPr>
          <w:p>
            <w:pPr>
              <w:spacing w:after="40" w:before="0" w:line="259" w:lineRule="auto"/>
            </w:pPr>
            <w:r>
              <w:rPr>
                <w:rFonts w:ascii="Calibri" w:hAnsi="Calibri"/>
                <w:b w:val="0"/>
                <w:i w:val="0"/>
                <w:color w:val="212121"/>
                <w:sz w:val="16"/>
              </w:rPr>
              <w:t>Hygiene; 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Malassezia demonstration is not required to diagnose dandruff</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Mycological</w:t>
            </w:r>
          </w:p>
        </w:tc>
        <w:tc>
          <w:tcPr>
            <w:tcW w:type="dxa" w:w="1036"/>
            <w:vAlign w:val="top"/>
          </w:tcPr>
          <w:p>
            <w:pPr>
              <w:spacing w:after="40" w:before="0" w:line="259" w:lineRule="auto"/>
            </w:pPr>
            <w:r>
              <w:rPr>
                <w:rFonts w:ascii="Calibri" w:hAnsi="Calibri"/>
                <w:b w:val="0"/>
                <w:i w:val="0"/>
                <w:color w:val="212121"/>
                <w:sz w:val="16"/>
              </w:rPr>
              <w:t>Fungal culture (lipid-enriched media)</w:t>
            </w:r>
          </w:p>
        </w:tc>
        <w:tc>
          <w:tcPr>
            <w:tcW w:type="dxa" w:w="892"/>
            <w:vAlign w:val="top"/>
          </w:tcPr>
          <w:p>
            <w:pPr>
              <w:spacing w:after="40" w:before="0" w:line="259" w:lineRule="auto"/>
            </w:pPr>
            <w:r>
              <w:rPr>
                <w:rFonts w:ascii="Calibri" w:hAnsi="Calibri"/>
                <w:b w:val="0"/>
                <w:i w:val="0"/>
                <w:color w:val="212121"/>
                <w:sz w:val="16"/>
              </w:rPr>
              <w:t>Culture and speciation</w:t>
            </w:r>
          </w:p>
        </w:tc>
        <w:tc>
          <w:tcPr>
            <w:tcW w:type="dxa" w:w="950"/>
            <w:vAlign w:val="top"/>
          </w:tcPr>
          <w:p>
            <w:pPr>
              <w:spacing w:after="40" w:before="0" w:line="259" w:lineRule="auto"/>
            </w:pPr>
            <w:r>
              <w:rPr>
                <w:rFonts w:ascii="Calibri" w:hAnsi="Calibri"/>
                <w:b w:val="0"/>
                <w:i w:val="0"/>
                <w:color w:val="212121"/>
                <w:sz w:val="16"/>
              </w:rPr>
              <w:t>Low commensal Malassezia load</w:t>
            </w:r>
          </w:p>
        </w:tc>
        <w:tc>
          <w:tcPr>
            <w:tcW w:type="dxa" w:w="950"/>
            <w:vAlign w:val="top"/>
          </w:tcPr>
          <w:p>
            <w:pPr>
              <w:spacing w:after="40" w:before="0" w:line="259" w:lineRule="auto"/>
            </w:pPr>
            <w:r>
              <w:rPr>
                <w:rFonts w:ascii="Calibri" w:hAnsi="Calibri"/>
                <w:b w:val="0"/>
                <w:i w:val="0"/>
                <w:color w:val="212121"/>
                <w:sz w:val="16"/>
              </w:rPr>
              <w:t>Heavy Malassezia growth; species identified (M. restricta, M. globosa, M. furfur)</w:t>
            </w:r>
          </w:p>
        </w:tc>
        <w:tc>
          <w:tcPr>
            <w:tcW w:type="dxa" w:w="1036"/>
            <w:vAlign w:val="top"/>
          </w:tcPr>
          <w:p>
            <w:pPr>
              <w:spacing w:after="40" w:before="0" w:line="259" w:lineRule="auto"/>
            </w:pPr>
            <w:r>
              <w:rPr>
                <w:rFonts w:ascii="Calibri" w:hAnsi="Calibri"/>
                <w:b w:val="0"/>
                <w:i w:val="0"/>
                <w:color w:val="212121"/>
                <w:sz w:val="16"/>
              </w:rPr>
              <w:t>Confirms and speciates Malassezia; profile varies by region</w:t>
            </w:r>
          </w:p>
        </w:tc>
        <w:tc>
          <w:tcPr>
            <w:tcW w:type="dxa" w:w="1036"/>
            <w:vAlign w:val="top"/>
          </w:tcPr>
          <w:p>
            <w:pPr>
              <w:spacing w:after="40" w:before="0" w:line="259" w:lineRule="auto"/>
            </w:pPr>
            <w:r>
              <w:rPr>
                <w:rFonts w:ascii="Calibri" w:hAnsi="Calibri"/>
                <w:b w:val="0"/>
                <w:i w:val="0"/>
                <w:color w:val="212121"/>
                <w:sz w:val="16"/>
              </w:rPr>
              <w:t>Research, refractory disease</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Research</w:t>
            </w:r>
          </w:p>
        </w:tc>
        <w:tc>
          <w:tcPr>
            <w:tcW w:type="dxa" w:w="720"/>
            <w:vAlign w:val="top"/>
          </w:tcPr>
          <w:p>
            <w:pPr>
              <w:spacing w:after="40" w:before="0" w:line="259" w:lineRule="auto"/>
            </w:pPr>
            <w:r>
              <w:rPr>
                <w:rFonts w:ascii="Calibri" w:hAnsi="Calibri"/>
                <w:b w:val="0"/>
                <w:i w:val="0"/>
                <w:color w:val="212121"/>
                <w:sz w:val="16"/>
              </w:rPr>
              <w:t>Malassezia needs lipid-supplemented media (Dixon / Leeming-Notman) to grow</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Bedside</w:t>
            </w:r>
          </w:p>
        </w:tc>
        <w:tc>
          <w:tcPr>
            <w:tcW w:type="dxa" w:w="1036"/>
            <w:vAlign w:val="top"/>
          </w:tcPr>
          <w:p>
            <w:pPr>
              <w:spacing w:after="40" w:before="0" w:line="259" w:lineRule="auto"/>
            </w:pPr>
            <w:r>
              <w:rPr>
                <w:rFonts w:ascii="Calibri" w:hAnsi="Calibri"/>
                <w:b w:val="0"/>
                <w:i w:val="0"/>
                <w:color w:val="212121"/>
                <w:sz w:val="16"/>
              </w:rPr>
              <w:t>Wood's lamp examination</w:t>
            </w:r>
          </w:p>
        </w:tc>
        <w:tc>
          <w:tcPr>
            <w:tcW w:type="dxa" w:w="892"/>
            <w:vAlign w:val="top"/>
          </w:tcPr>
          <w:p>
            <w:pPr>
              <w:spacing w:after="40" w:before="0" w:line="259" w:lineRule="auto"/>
            </w:pPr>
            <w:r>
              <w:rPr>
                <w:rFonts w:ascii="Calibri" w:hAnsi="Calibri"/>
                <w:b w:val="0"/>
                <w:i w:val="0"/>
                <w:color w:val="212121"/>
                <w:sz w:val="16"/>
              </w:rPr>
              <w:t>Ultraviolet light exam</w:t>
            </w:r>
          </w:p>
        </w:tc>
        <w:tc>
          <w:tcPr>
            <w:tcW w:type="dxa" w:w="950"/>
            <w:vAlign w:val="top"/>
          </w:tcPr>
          <w:p>
            <w:pPr>
              <w:spacing w:after="40" w:before="0" w:line="259" w:lineRule="auto"/>
            </w:pPr>
            <w:r>
              <w:rPr>
                <w:rFonts w:ascii="Calibri" w:hAnsi="Calibri"/>
                <w:b w:val="0"/>
                <w:i w:val="0"/>
                <w:color w:val="212121"/>
                <w:sz w:val="16"/>
              </w:rPr>
              <w:t>No significant fluorescence</w:t>
            </w:r>
          </w:p>
        </w:tc>
        <w:tc>
          <w:tcPr>
            <w:tcW w:type="dxa" w:w="950"/>
            <w:vAlign w:val="top"/>
          </w:tcPr>
          <w:p>
            <w:pPr>
              <w:spacing w:after="40" w:before="0" w:line="259" w:lineRule="auto"/>
            </w:pPr>
            <w:r>
              <w:rPr>
                <w:rFonts w:ascii="Calibri" w:hAnsi="Calibri"/>
                <w:b w:val="0"/>
                <w:i w:val="0"/>
                <w:color w:val="212121"/>
                <w:sz w:val="16"/>
              </w:rPr>
              <w:t>Green fluorescence suggests some tinea capitis; Malassezia may show pale yellow-green</w:t>
            </w:r>
          </w:p>
        </w:tc>
        <w:tc>
          <w:tcPr>
            <w:tcW w:type="dxa" w:w="1036"/>
            <w:vAlign w:val="top"/>
          </w:tcPr>
          <w:p>
            <w:pPr>
              <w:spacing w:after="40" w:before="0" w:line="259" w:lineRule="auto"/>
            </w:pPr>
            <w:r>
              <w:rPr>
                <w:rFonts w:ascii="Calibri" w:hAnsi="Calibri"/>
                <w:b w:val="0"/>
                <w:i w:val="0"/>
                <w:color w:val="212121"/>
                <w:sz w:val="16"/>
              </w:rPr>
              <w:t>Helps screen for dermatophyte infection</w:t>
            </w:r>
          </w:p>
        </w:tc>
        <w:tc>
          <w:tcPr>
            <w:tcW w:type="dxa" w:w="1036"/>
            <w:vAlign w:val="top"/>
          </w:tcPr>
          <w:p>
            <w:pPr>
              <w:spacing w:after="40" w:before="0" w:line="259" w:lineRule="auto"/>
            </w:pPr>
            <w:r>
              <w:rPr>
                <w:rFonts w:ascii="Calibri" w:hAnsi="Calibri"/>
                <w:b w:val="0"/>
                <w:i w:val="0"/>
                <w:color w:val="212121"/>
                <w:sz w:val="16"/>
              </w:rPr>
              <w:t>Children, atypical scaling</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Not diagnostic on its own</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Dermoscopy</w:t>
            </w:r>
          </w:p>
        </w:tc>
        <w:tc>
          <w:tcPr>
            <w:tcW w:type="dxa" w:w="1036"/>
            <w:vAlign w:val="top"/>
          </w:tcPr>
          <w:p>
            <w:pPr>
              <w:spacing w:after="40" w:before="0" w:line="259" w:lineRule="auto"/>
            </w:pPr>
            <w:r>
              <w:rPr>
                <w:rFonts w:ascii="Calibri" w:hAnsi="Calibri"/>
                <w:b w:val="0"/>
                <w:i w:val="0"/>
                <w:color w:val="212121"/>
                <w:sz w:val="16"/>
              </w:rPr>
              <w:t>Trichoscopy of scalp</w:t>
            </w:r>
          </w:p>
        </w:tc>
        <w:tc>
          <w:tcPr>
            <w:tcW w:type="dxa" w:w="892"/>
            <w:vAlign w:val="top"/>
          </w:tcPr>
          <w:p>
            <w:pPr>
              <w:spacing w:after="40" w:before="0" w:line="259" w:lineRule="auto"/>
            </w:pPr>
            <w:r>
              <w:rPr>
                <w:rFonts w:ascii="Calibri" w:hAnsi="Calibri"/>
                <w:b w:val="0"/>
                <w:i w:val="0"/>
                <w:color w:val="212121"/>
                <w:sz w:val="16"/>
              </w:rPr>
              <w:t>Dermoscopic examination</w:t>
            </w:r>
          </w:p>
        </w:tc>
        <w:tc>
          <w:tcPr>
            <w:tcW w:type="dxa" w:w="950"/>
            <w:vAlign w:val="top"/>
          </w:tcPr>
          <w:p>
            <w:pPr>
              <w:spacing w:after="40" w:before="0" w:line="259" w:lineRule="auto"/>
            </w:pPr>
            <w:r>
              <w:rPr>
                <w:rFonts w:ascii="Calibri" w:hAnsi="Calibri"/>
                <w:b w:val="0"/>
                <w:i w:val="0"/>
                <w:color w:val="212121"/>
                <w:sz w:val="16"/>
              </w:rPr>
              <w:t>Normal hair and scalp</w:t>
            </w:r>
          </w:p>
        </w:tc>
        <w:tc>
          <w:tcPr>
            <w:tcW w:type="dxa" w:w="950"/>
            <w:vAlign w:val="top"/>
          </w:tcPr>
          <w:p>
            <w:pPr>
              <w:spacing w:after="40" w:before="0" w:line="259" w:lineRule="auto"/>
            </w:pPr>
            <w:r>
              <w:rPr>
                <w:rFonts w:ascii="Calibri" w:hAnsi="Calibri"/>
                <w:b w:val="0"/>
                <w:i w:val="0"/>
                <w:color w:val="212121"/>
                <w:sz w:val="16"/>
              </w:rPr>
              <w:t>White-yellow scales with thin arborising vessels (dandruff/SD); red dots (psoriasis); comma/corkscrew hairs (tinea)</w:t>
            </w:r>
          </w:p>
        </w:tc>
        <w:tc>
          <w:tcPr>
            <w:tcW w:type="dxa" w:w="1036"/>
            <w:vAlign w:val="top"/>
          </w:tcPr>
          <w:p>
            <w:pPr>
              <w:spacing w:after="40" w:before="0" w:line="259" w:lineRule="auto"/>
            </w:pPr>
            <w:r>
              <w:rPr>
                <w:rFonts w:ascii="Calibri" w:hAnsi="Calibri"/>
                <w:b w:val="0"/>
                <w:i w:val="0"/>
                <w:color w:val="212121"/>
                <w:sz w:val="16"/>
              </w:rPr>
              <w:t>Differentiates dandruff/SD from psoriasis and tinea</w:t>
            </w:r>
          </w:p>
        </w:tc>
        <w:tc>
          <w:tcPr>
            <w:tcW w:type="dxa" w:w="1036"/>
            <w:vAlign w:val="top"/>
          </w:tcPr>
          <w:p>
            <w:pPr>
              <w:spacing w:after="40" w:before="0" w:line="259" w:lineRule="auto"/>
            </w:pPr>
            <w:r>
              <w:rPr>
                <w:rFonts w:ascii="Calibri" w:hAnsi="Calibri"/>
                <w:b w:val="0"/>
                <w:i w:val="0"/>
                <w:color w:val="212121"/>
                <w:sz w:val="16"/>
              </w:rPr>
              <w:t>Uncertain or overlapping cases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Quick and non-invasive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Histopathology</w:t>
            </w:r>
          </w:p>
        </w:tc>
        <w:tc>
          <w:tcPr>
            <w:tcW w:type="dxa" w:w="1036"/>
            <w:vAlign w:val="top"/>
          </w:tcPr>
          <w:p>
            <w:pPr>
              <w:spacing w:after="40" w:before="0" w:line="259" w:lineRule="auto"/>
            </w:pPr>
            <w:r>
              <w:rPr>
                <w:rFonts w:ascii="Calibri" w:hAnsi="Calibri"/>
                <w:b w:val="0"/>
                <w:i w:val="0"/>
                <w:color w:val="212121"/>
                <w:sz w:val="16"/>
              </w:rPr>
              <w:t>Scalp skin biopsy</w:t>
            </w:r>
          </w:p>
        </w:tc>
        <w:tc>
          <w:tcPr>
            <w:tcW w:type="dxa" w:w="892"/>
            <w:vAlign w:val="top"/>
          </w:tcPr>
          <w:p>
            <w:pPr>
              <w:spacing w:after="40" w:before="0" w:line="259" w:lineRule="auto"/>
            </w:pPr>
            <w:r>
              <w:rPr>
                <w:rFonts w:ascii="Calibri" w:hAnsi="Calibri"/>
                <w:b w:val="0"/>
                <w:i w:val="0"/>
                <w:color w:val="212121"/>
                <w:sz w:val="16"/>
              </w:rPr>
              <w:t>Histopathological examination</w:t>
            </w:r>
          </w:p>
        </w:tc>
        <w:tc>
          <w:tcPr>
            <w:tcW w:type="dxa" w:w="950"/>
            <w:vAlign w:val="top"/>
          </w:tcPr>
          <w:p>
            <w:pPr>
              <w:spacing w:after="40" w:before="0" w:line="259" w:lineRule="auto"/>
            </w:pPr>
            <w:r>
              <w:rPr>
                <w:rFonts w:ascii="Calibri" w:hAnsi="Calibri"/>
                <w:b w:val="0"/>
                <w:i w:val="0"/>
                <w:color w:val="212121"/>
                <w:sz w:val="16"/>
              </w:rPr>
              <w:t>Not indicated in typical dandruff</w:t>
            </w:r>
          </w:p>
        </w:tc>
        <w:tc>
          <w:tcPr>
            <w:tcW w:type="dxa" w:w="950"/>
            <w:vAlign w:val="top"/>
          </w:tcPr>
          <w:p>
            <w:pPr>
              <w:spacing w:after="40" w:before="0" w:line="259" w:lineRule="auto"/>
            </w:pPr>
            <w:r>
              <w:rPr>
                <w:rFonts w:ascii="Calibri" w:hAnsi="Calibri"/>
                <w:b w:val="0"/>
                <w:i w:val="0"/>
                <w:color w:val="212121"/>
                <w:sz w:val="16"/>
              </w:rPr>
              <w:t>Parakeratosis, follicular plugging, spongiosis, perifollicular inflammation</w:t>
            </w:r>
          </w:p>
        </w:tc>
        <w:tc>
          <w:tcPr>
            <w:tcW w:type="dxa" w:w="1036"/>
            <w:vAlign w:val="top"/>
          </w:tcPr>
          <w:p>
            <w:pPr>
              <w:spacing w:after="40" w:before="0" w:line="259" w:lineRule="auto"/>
            </w:pPr>
            <w:r>
              <w:rPr>
                <w:rFonts w:ascii="Calibri" w:hAnsi="Calibri"/>
                <w:b w:val="0"/>
                <w:i w:val="0"/>
                <w:color w:val="212121"/>
                <w:sz w:val="16"/>
              </w:rPr>
              <w:t>Reserved for atypical/refractory disease to exclude psoriasis and others</w:t>
            </w:r>
          </w:p>
        </w:tc>
        <w:tc>
          <w:tcPr>
            <w:tcW w:type="dxa" w:w="1036"/>
            <w:vAlign w:val="top"/>
          </w:tcPr>
          <w:p>
            <w:pPr>
              <w:spacing w:after="40" w:before="0" w:line="259" w:lineRule="auto"/>
            </w:pPr>
            <w:r>
              <w:rPr>
                <w:rFonts w:ascii="Calibri" w:hAnsi="Calibri"/>
                <w:b w:val="0"/>
                <w:i w:val="0"/>
                <w:color w:val="212121"/>
                <w:sz w:val="16"/>
              </w:rPr>
              <w:t>Atypical, refractory or diagnostically uncertain</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Confirmatory</w:t>
            </w:r>
          </w:p>
        </w:tc>
        <w:tc>
          <w:tcPr>
            <w:tcW w:type="dxa" w:w="720"/>
            <w:vAlign w:val="top"/>
          </w:tcPr>
          <w:p>
            <w:pPr>
              <w:spacing w:after="40" w:before="0" w:line="259" w:lineRule="auto"/>
            </w:pPr>
            <w:r>
              <w:rPr>
                <w:rFonts w:ascii="Calibri" w:hAnsi="Calibri"/>
                <w:b w:val="0"/>
                <w:i w:val="0"/>
                <w:color w:val="212121"/>
                <w:sz w:val="16"/>
              </w:rPr>
              <w:t>Rarely needed</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Serological</w:t>
            </w:r>
          </w:p>
        </w:tc>
        <w:tc>
          <w:tcPr>
            <w:tcW w:type="dxa" w:w="1036"/>
            <w:vAlign w:val="top"/>
          </w:tcPr>
          <w:p>
            <w:pPr>
              <w:spacing w:after="40" w:before="0" w:line="259" w:lineRule="auto"/>
            </w:pPr>
            <w:r>
              <w:rPr>
                <w:rFonts w:ascii="Calibri" w:hAnsi="Calibri"/>
                <w:b w:val="0"/>
                <w:i w:val="0"/>
                <w:color w:val="212121"/>
                <w:sz w:val="16"/>
              </w:rPr>
              <w:t>HIV serology / CD4 count</w:t>
            </w:r>
          </w:p>
        </w:tc>
        <w:tc>
          <w:tcPr>
            <w:tcW w:type="dxa" w:w="892"/>
            <w:vAlign w:val="top"/>
          </w:tcPr>
          <w:p>
            <w:pPr>
              <w:spacing w:after="40" w:before="0" w:line="259" w:lineRule="auto"/>
            </w:pPr>
            <w:r>
              <w:rPr>
                <w:rFonts w:ascii="Calibri" w:hAnsi="Calibri"/>
                <w:b w:val="0"/>
                <w:i w:val="0"/>
                <w:color w:val="212121"/>
                <w:sz w:val="16"/>
              </w:rPr>
              <w:t>Immune screen</w:t>
            </w:r>
          </w:p>
        </w:tc>
        <w:tc>
          <w:tcPr>
            <w:tcW w:type="dxa" w:w="950"/>
            <w:vAlign w:val="top"/>
          </w:tcPr>
          <w:p>
            <w:pPr>
              <w:spacing w:after="40" w:before="0" w:line="259" w:lineRule="auto"/>
            </w:pPr>
            <w:r>
              <w:rPr>
                <w:rFonts w:ascii="Calibri" w:hAnsi="Calibri"/>
                <w:b w:val="0"/>
                <w:i w:val="0"/>
                <w:color w:val="212121"/>
                <w:sz w:val="16"/>
              </w:rPr>
              <w:t>HIV non-reactive; normal CD4</w:t>
            </w:r>
          </w:p>
        </w:tc>
        <w:tc>
          <w:tcPr>
            <w:tcW w:type="dxa" w:w="950"/>
            <w:vAlign w:val="top"/>
          </w:tcPr>
          <w:p>
            <w:pPr>
              <w:spacing w:after="40" w:before="0" w:line="259" w:lineRule="auto"/>
            </w:pPr>
            <w:r>
              <w:rPr>
                <w:rFonts w:ascii="Calibri" w:hAnsi="Calibri"/>
                <w:b w:val="0"/>
                <w:i w:val="0"/>
                <w:color w:val="212121"/>
                <w:sz w:val="16"/>
              </w:rPr>
              <w:t>HIV-reactive; low CD4 count</w:t>
            </w:r>
          </w:p>
        </w:tc>
        <w:tc>
          <w:tcPr>
            <w:tcW w:type="dxa" w:w="1036"/>
            <w:vAlign w:val="top"/>
          </w:tcPr>
          <w:p>
            <w:pPr>
              <w:spacing w:after="40" w:before="0" w:line="259" w:lineRule="auto"/>
            </w:pPr>
            <w:r>
              <w:rPr>
                <w:rFonts w:ascii="Calibri" w:hAnsi="Calibri"/>
                <w:b w:val="0"/>
                <w:i w:val="0"/>
                <w:color w:val="212121"/>
                <w:sz w:val="16"/>
              </w:rPr>
              <w:t>Sudden, severe, extensive or refractory scalp SD can indicate HIV/immunosuppression</w:t>
            </w:r>
          </w:p>
        </w:tc>
        <w:tc>
          <w:tcPr>
            <w:tcW w:type="dxa" w:w="1036"/>
            <w:vAlign w:val="top"/>
          </w:tcPr>
          <w:p>
            <w:pPr>
              <w:spacing w:after="40" w:before="0" w:line="259" w:lineRule="auto"/>
            </w:pPr>
            <w:r>
              <w:rPr>
                <w:rFonts w:ascii="Calibri" w:hAnsi="Calibri"/>
                <w:b w:val="0"/>
                <w:i w:val="0"/>
                <w:color w:val="212121"/>
                <w:sz w:val="16"/>
              </w:rPr>
              <w:t>Severe, explosive or treatment-resistant scalp SD</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Seborrhoeic dermatitis affects up to 85% in AIDS</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Chief complaints</w:t>
            </w:r>
          </w:p>
        </w:tc>
        <w:tc>
          <w:tcPr>
            <w:tcW w:type="dxa" w:w="979"/>
            <w:vAlign w:val="top"/>
          </w:tcPr>
          <w:p>
            <w:pPr>
              <w:spacing w:after="40" w:before="0" w:line="259" w:lineRule="auto"/>
            </w:pPr>
            <w:r>
              <w:rPr>
                <w:rFonts w:ascii="Calibri" w:hAnsi="Calibri"/>
                <w:b w:val="0"/>
                <w:i w:val="0"/>
                <w:color w:val="212121"/>
                <w:sz w:val="16"/>
              </w:rPr>
              <w:t>Flaking, itching, greasy or dry scaling</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Visible flakes, scalp itch, scaling</w:t>
            </w:r>
          </w:p>
        </w:tc>
        <w:tc>
          <w:tcPr>
            <w:tcW w:type="dxa" w:w="1036"/>
            <w:vAlign w:val="top"/>
          </w:tcPr>
          <w:p>
            <w:pPr>
              <w:spacing w:after="40" w:before="0" w:line="259" w:lineRule="auto"/>
            </w:pPr>
            <w:r>
              <w:rPr>
                <w:rFonts w:ascii="Calibri" w:hAnsi="Calibri"/>
                <w:b w:val="0"/>
                <w:i w:val="0"/>
                <w:color w:val="212121"/>
                <w:sz w:val="16"/>
              </w:rPr>
              <w:t>Cardinal symptoms of dandruff</w:t>
            </w:r>
          </w:p>
        </w:tc>
        <w:tc>
          <w:tcPr>
            <w:tcW w:type="dxa" w:w="1036"/>
            <w:vAlign w:val="top"/>
          </w:tcPr>
          <w:p>
            <w:pPr>
              <w:spacing w:after="40" w:before="0" w:line="259" w:lineRule="auto"/>
            </w:pPr>
            <w:r>
              <w:rPr>
                <w:rFonts w:ascii="Calibri" w:hAnsi="Calibri"/>
                <w:b w:val="0"/>
                <w:i w:val="0"/>
                <w:color w:val="212121"/>
                <w:sz w:val="16"/>
              </w:rPr>
              <w:t>Adolescents, young adults</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Cosmetic and psychosocial burden is common</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w:t>
            </w:r>
          </w:p>
        </w:tc>
        <w:tc>
          <w:tcPr>
            <w:tcW w:type="dxa" w:w="950"/>
            <w:vAlign w:val="top"/>
          </w:tcPr>
          <w:p>
            <w:pPr>
              <w:spacing w:after="40" w:before="0" w:line="259" w:lineRule="auto"/>
            </w:pPr>
            <w:r>
              <w:rPr>
                <w:rFonts w:ascii="Calibri" w:hAnsi="Calibri"/>
                <w:b w:val="0"/>
                <w:i w:val="0"/>
                <w:color w:val="212121"/>
                <w:sz w:val="16"/>
              </w:rPr>
              <w:t>Distribution</w:t>
            </w:r>
          </w:p>
        </w:tc>
        <w:tc>
          <w:tcPr>
            <w:tcW w:type="dxa" w:w="979"/>
            <w:vAlign w:val="top"/>
          </w:tcPr>
          <w:p>
            <w:pPr>
              <w:spacing w:after="40" w:before="0" w:line="259" w:lineRule="auto"/>
            </w:pPr>
            <w:r>
              <w:rPr>
                <w:rFonts w:ascii="Calibri" w:hAnsi="Calibri"/>
                <w:b w:val="0"/>
                <w:i w:val="0"/>
                <w:color w:val="212121"/>
                <w:sz w:val="16"/>
              </w:rPr>
              <w:t>Scalp-confined vs extension to face/ears/chest</w:t>
            </w:r>
          </w:p>
        </w:tc>
        <w:tc>
          <w:tcPr>
            <w:tcW w:type="dxa" w:w="950"/>
            <w:vAlign w:val="top"/>
          </w:tcPr>
          <w:p>
            <w:pPr>
              <w:spacing w:after="40" w:before="0" w:line="259" w:lineRule="auto"/>
            </w:pPr>
            <w:r>
              <w:rPr>
                <w:rFonts w:ascii="Calibri" w:hAnsi="Calibri"/>
                <w:b w:val="0"/>
                <w:i w:val="0"/>
                <w:color w:val="212121"/>
                <w:sz w:val="16"/>
              </w:rPr>
              <w:t>Scalp only, no redness (dandruff)</w:t>
            </w:r>
          </w:p>
        </w:tc>
        <w:tc>
          <w:tcPr>
            <w:tcW w:type="dxa" w:w="950"/>
            <w:vAlign w:val="top"/>
          </w:tcPr>
          <w:p>
            <w:pPr>
              <w:spacing w:after="40" w:before="0" w:line="259" w:lineRule="auto"/>
            </w:pPr>
            <w:r>
              <w:rPr>
                <w:rFonts w:ascii="Calibri" w:hAnsi="Calibri"/>
                <w:b w:val="0"/>
                <w:i w:val="0"/>
                <w:color w:val="212121"/>
                <w:sz w:val="16"/>
              </w:rPr>
              <w:t>Erythema extending to hairline, eyebrows, nasolabial folds, ears, chest (SD)</w:t>
            </w:r>
          </w:p>
        </w:tc>
        <w:tc>
          <w:tcPr>
            <w:tcW w:type="dxa" w:w="1036"/>
            <w:vAlign w:val="top"/>
          </w:tcPr>
          <w:p>
            <w:pPr>
              <w:spacing w:after="40" w:before="0" w:line="259" w:lineRule="auto"/>
            </w:pPr>
            <w:r>
              <w:rPr>
                <w:rFonts w:ascii="Calibri" w:hAnsi="Calibri"/>
                <w:b w:val="0"/>
                <w:i w:val="0"/>
                <w:color w:val="212121"/>
                <w:sz w:val="16"/>
              </w:rPr>
              <w:t>Distinguishes dandruff from seborrhoeic dermatitis</w:t>
            </w:r>
          </w:p>
        </w:tc>
        <w:tc>
          <w:tcPr>
            <w:tcW w:type="dxa" w:w="1036"/>
            <w:vAlign w:val="top"/>
          </w:tcPr>
          <w:p>
            <w:pPr>
              <w:spacing w:after="40" w:before="0" w:line="259" w:lineRule="auto"/>
            </w:pPr>
            <w:r>
              <w:rPr>
                <w:rFonts w:ascii="Calibri" w:hAnsi="Calibri"/>
                <w:b w:val="0"/>
                <w:i w:val="0"/>
                <w:color w:val="212121"/>
                <w:sz w:val="16"/>
              </w:rPr>
              <w:t>All patients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Defines position on the spectrum</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w:t>
            </w:r>
          </w:p>
        </w:tc>
        <w:tc>
          <w:tcPr>
            <w:tcW w:type="dxa" w:w="950"/>
            <w:vAlign w:val="top"/>
          </w:tcPr>
          <w:p>
            <w:pPr>
              <w:spacing w:after="40" w:before="0" w:line="259" w:lineRule="auto"/>
            </w:pPr>
            <w:r>
              <w:rPr>
                <w:rFonts w:ascii="Calibri" w:hAnsi="Calibri"/>
                <w:b w:val="0"/>
                <w:i w:val="0"/>
                <w:color w:val="212121"/>
                <w:sz w:val="16"/>
              </w:rPr>
              <w:t>Scale character</w:t>
            </w:r>
          </w:p>
        </w:tc>
        <w:tc>
          <w:tcPr>
            <w:tcW w:type="dxa" w:w="979"/>
            <w:vAlign w:val="top"/>
          </w:tcPr>
          <w:p>
            <w:pPr>
              <w:spacing w:after="40" w:before="0" w:line="259" w:lineRule="auto"/>
            </w:pPr>
            <w:r>
              <w:rPr>
                <w:rFonts w:ascii="Calibri" w:hAnsi="Calibri"/>
                <w:b w:val="0"/>
                <w:i w:val="0"/>
                <w:color w:val="212121"/>
                <w:sz w:val="16"/>
              </w:rPr>
              <w:t>Dry white (simplex) vs greasy yellow (steatoides)</w:t>
            </w:r>
          </w:p>
        </w:tc>
        <w:tc>
          <w:tcPr>
            <w:tcW w:type="dxa" w:w="950"/>
            <w:vAlign w:val="top"/>
          </w:tcPr>
          <w:p>
            <w:pPr>
              <w:spacing w:after="40" w:before="0" w:line="259" w:lineRule="auto"/>
            </w:pPr>
            <w:r>
              <w:rPr>
                <w:rFonts w:ascii="Calibri" w:hAnsi="Calibri"/>
                <w:b w:val="0"/>
                <w:i w:val="0"/>
                <w:color w:val="212121"/>
                <w:sz w:val="16"/>
              </w:rPr>
              <w:t>Minimal fine scale</w:t>
            </w:r>
          </w:p>
        </w:tc>
        <w:tc>
          <w:tcPr>
            <w:tcW w:type="dxa" w:w="950"/>
            <w:vAlign w:val="top"/>
          </w:tcPr>
          <w:p>
            <w:pPr>
              <w:spacing w:after="40" w:before="0" w:line="259" w:lineRule="auto"/>
            </w:pPr>
            <w:r>
              <w:rPr>
                <w:rFonts w:ascii="Calibri" w:hAnsi="Calibri"/>
                <w:b w:val="0"/>
                <w:i w:val="0"/>
                <w:color w:val="212121"/>
                <w:sz w:val="16"/>
              </w:rPr>
              <w:t>Heavy dry or greasy adherent scale</w:t>
            </w:r>
          </w:p>
        </w:tc>
        <w:tc>
          <w:tcPr>
            <w:tcW w:type="dxa" w:w="1036"/>
            <w:vAlign w:val="top"/>
          </w:tcPr>
          <w:p>
            <w:pPr>
              <w:spacing w:after="40" w:before="0" w:line="259" w:lineRule="auto"/>
            </w:pPr>
            <w:r>
              <w:rPr>
                <w:rFonts w:ascii="Calibri" w:hAnsi="Calibri"/>
                <w:b w:val="0"/>
                <w:i w:val="0"/>
                <w:color w:val="212121"/>
                <w:sz w:val="16"/>
              </w:rPr>
              <w:t>Defines clinical form and severity</w:t>
            </w:r>
          </w:p>
        </w:tc>
        <w:tc>
          <w:tcPr>
            <w:tcW w:type="dxa" w:w="1036"/>
            <w:vAlign w:val="top"/>
          </w:tcPr>
          <w:p>
            <w:pPr>
              <w:spacing w:after="40" w:before="0" w:line="259" w:lineRule="auto"/>
            </w:pPr>
            <w:r>
              <w:rPr>
                <w:rFonts w:ascii="Calibri" w:hAnsi="Calibri"/>
                <w:b w:val="0"/>
                <w:i w:val="0"/>
                <w:color w:val="212121"/>
                <w:sz w:val="16"/>
              </w:rPr>
              <w:t>All patients</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Guides shampoo choice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w:t>
            </w:r>
          </w:p>
        </w:tc>
        <w:tc>
          <w:tcPr>
            <w:tcW w:type="dxa" w:w="950"/>
            <w:vAlign w:val="top"/>
          </w:tcPr>
          <w:p>
            <w:pPr>
              <w:spacing w:after="40" w:before="0" w:line="259" w:lineRule="auto"/>
            </w:pPr>
            <w:r>
              <w:rPr>
                <w:rFonts w:ascii="Calibri" w:hAnsi="Calibri"/>
                <w:b w:val="0"/>
                <w:i w:val="0"/>
                <w:color w:val="212121"/>
                <w:sz w:val="16"/>
              </w:rPr>
              <w:t>Inflammation</w:t>
            </w:r>
          </w:p>
        </w:tc>
        <w:tc>
          <w:tcPr>
            <w:tcW w:type="dxa" w:w="979"/>
            <w:vAlign w:val="top"/>
          </w:tcPr>
          <w:p>
            <w:pPr>
              <w:spacing w:after="40" w:before="0" w:line="259" w:lineRule="auto"/>
            </w:pPr>
            <w:r>
              <w:rPr>
                <w:rFonts w:ascii="Calibri" w:hAnsi="Calibri"/>
                <w:b w:val="0"/>
                <w:i w:val="0"/>
                <w:color w:val="212121"/>
                <w:sz w:val="16"/>
              </w:rPr>
              <w:t>Presence or absence of erythema</w:t>
            </w:r>
          </w:p>
        </w:tc>
        <w:tc>
          <w:tcPr>
            <w:tcW w:type="dxa" w:w="950"/>
            <w:vAlign w:val="top"/>
          </w:tcPr>
          <w:p>
            <w:pPr>
              <w:spacing w:after="40" w:before="0" w:line="259" w:lineRule="auto"/>
            </w:pPr>
            <w:r>
              <w:rPr>
                <w:rFonts w:ascii="Calibri" w:hAnsi="Calibri"/>
                <w:b w:val="0"/>
                <w:i w:val="0"/>
                <w:color w:val="212121"/>
                <w:sz w:val="16"/>
              </w:rPr>
              <w:t>No erythema (dandruff)</w:t>
            </w:r>
          </w:p>
        </w:tc>
        <w:tc>
          <w:tcPr>
            <w:tcW w:type="dxa" w:w="950"/>
            <w:vAlign w:val="top"/>
          </w:tcPr>
          <w:p>
            <w:pPr>
              <w:spacing w:after="40" w:before="0" w:line="259" w:lineRule="auto"/>
            </w:pPr>
            <w:r>
              <w:rPr>
                <w:rFonts w:ascii="Calibri" w:hAnsi="Calibri"/>
                <w:b w:val="0"/>
                <w:i w:val="0"/>
                <w:color w:val="212121"/>
                <w:sz w:val="16"/>
              </w:rPr>
              <w:t>Erythema and inflammation (seborrhoeic dermatitis)</w:t>
            </w:r>
          </w:p>
        </w:tc>
        <w:tc>
          <w:tcPr>
            <w:tcW w:type="dxa" w:w="1036"/>
            <w:vAlign w:val="top"/>
          </w:tcPr>
          <w:p>
            <w:pPr>
              <w:spacing w:after="40" w:before="0" w:line="259" w:lineRule="auto"/>
            </w:pPr>
            <w:r>
              <w:rPr>
                <w:rFonts w:ascii="Calibri" w:hAnsi="Calibri"/>
                <w:b w:val="0"/>
                <w:i w:val="0"/>
                <w:color w:val="212121"/>
                <w:sz w:val="16"/>
              </w:rPr>
              <w:t>Marks progression along the spectrum</w:t>
            </w:r>
          </w:p>
        </w:tc>
        <w:tc>
          <w:tcPr>
            <w:tcW w:type="dxa" w:w="1036"/>
            <w:vAlign w:val="top"/>
          </w:tcPr>
          <w:p>
            <w:pPr>
              <w:spacing w:after="40" w:before="0" w:line="259" w:lineRule="auto"/>
            </w:pPr>
            <w:r>
              <w:rPr>
                <w:rFonts w:ascii="Calibri" w:hAnsi="Calibri"/>
                <w:b w:val="0"/>
                <w:i w:val="0"/>
                <w:color w:val="212121"/>
                <w:sz w:val="16"/>
              </w:rPr>
              <w:t>All patients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Inflamed disease may need short-term anti-inflammatory therapy</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Hair-care history</w:t>
            </w:r>
          </w:p>
        </w:tc>
        <w:tc>
          <w:tcPr>
            <w:tcW w:type="dxa" w:w="979"/>
            <w:vAlign w:val="top"/>
          </w:tcPr>
          <w:p>
            <w:pPr>
              <w:spacing w:after="40" w:before="0" w:line="259" w:lineRule="auto"/>
            </w:pPr>
            <w:r>
              <w:rPr>
                <w:rFonts w:ascii="Calibri" w:hAnsi="Calibri"/>
                <w:b w:val="0"/>
                <w:i w:val="0"/>
                <w:color w:val="212121"/>
                <w:sz w:val="16"/>
              </w:rPr>
              <w:t>Wash frequency, hair-oiling, cosmetics, head coverings</w:t>
            </w:r>
          </w:p>
        </w:tc>
        <w:tc>
          <w:tcPr>
            <w:tcW w:type="dxa" w:w="950"/>
            <w:vAlign w:val="top"/>
          </w:tcPr>
          <w:p>
            <w:pPr>
              <w:spacing w:after="40" w:before="0" w:line="259" w:lineRule="auto"/>
            </w:pPr>
            <w:r>
              <w:rPr>
                <w:rFonts w:ascii="Calibri" w:hAnsi="Calibri"/>
                <w:b w:val="0"/>
                <w:i w:val="0"/>
                <w:color w:val="212121"/>
                <w:sz w:val="16"/>
              </w:rPr>
              <w:t>Regular washing, oil on shafts only</w:t>
            </w:r>
          </w:p>
        </w:tc>
        <w:tc>
          <w:tcPr>
            <w:tcW w:type="dxa" w:w="950"/>
            <w:vAlign w:val="top"/>
          </w:tcPr>
          <w:p>
            <w:pPr>
              <w:spacing w:after="40" w:before="0" w:line="259" w:lineRule="auto"/>
            </w:pPr>
            <w:r>
              <w:rPr>
                <w:rFonts w:ascii="Calibri" w:hAnsi="Calibri"/>
                <w:b w:val="0"/>
                <w:i w:val="0"/>
                <w:color w:val="212121"/>
                <w:sz w:val="16"/>
              </w:rPr>
              <w:t>Infrequent washing, heavy overnight scalp oiling, occlusive headgear</w:t>
            </w:r>
          </w:p>
        </w:tc>
        <w:tc>
          <w:tcPr>
            <w:tcW w:type="dxa" w:w="1036"/>
            <w:vAlign w:val="top"/>
          </w:tcPr>
          <w:p>
            <w:pPr>
              <w:spacing w:after="40" w:before="0" w:line="259" w:lineRule="auto"/>
            </w:pPr>
            <w:r>
              <w:rPr>
                <w:rFonts w:ascii="Calibri" w:hAnsi="Calibri"/>
                <w:b w:val="0"/>
                <w:i w:val="0"/>
                <w:color w:val="212121"/>
                <w:sz w:val="16"/>
              </w:rPr>
              <w:t>Identifies modifiable behavioural drivers</w:t>
            </w:r>
          </w:p>
        </w:tc>
        <w:tc>
          <w:tcPr>
            <w:tcW w:type="dxa" w:w="1036"/>
            <w:vAlign w:val="top"/>
          </w:tcPr>
          <w:p>
            <w:pPr>
              <w:spacing w:after="40" w:before="0" w:line="259" w:lineRule="auto"/>
            </w:pPr>
            <w:r>
              <w:rPr>
                <w:rFonts w:ascii="Calibri" w:hAnsi="Calibri"/>
                <w:b w:val="0"/>
                <w:i w:val="0"/>
                <w:color w:val="212121"/>
                <w:sz w:val="16"/>
              </w:rPr>
              <w:t>Heavy oil users, helmet/turban wearers</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Key India-specific counselling point</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Trigger history</w:t>
            </w:r>
          </w:p>
        </w:tc>
        <w:tc>
          <w:tcPr>
            <w:tcW w:type="dxa" w:w="979"/>
            <w:vAlign w:val="top"/>
          </w:tcPr>
          <w:p>
            <w:pPr>
              <w:spacing w:after="40" w:before="0" w:line="259" w:lineRule="auto"/>
            </w:pPr>
            <w:r>
              <w:rPr>
                <w:rFonts w:ascii="Calibri" w:hAnsi="Calibri"/>
                <w:b w:val="0"/>
                <w:i w:val="0"/>
                <w:color w:val="212121"/>
                <w:sz w:val="16"/>
              </w:rPr>
              <w:t>Season, humidity, sweating, stress</w:t>
            </w:r>
          </w:p>
        </w:tc>
        <w:tc>
          <w:tcPr>
            <w:tcW w:type="dxa" w:w="950"/>
            <w:vAlign w:val="top"/>
          </w:tcPr>
          <w:p>
            <w:pPr>
              <w:spacing w:after="40" w:before="0" w:line="259" w:lineRule="auto"/>
            </w:pPr>
            <w:r>
              <w:rPr>
                <w:rFonts w:ascii="Calibri" w:hAnsi="Calibri"/>
                <w:b w:val="0"/>
                <w:i w:val="0"/>
                <w:color w:val="212121"/>
                <w:sz w:val="16"/>
              </w:rPr>
              <w:t>No clear triggers</w:t>
            </w:r>
          </w:p>
        </w:tc>
        <w:tc>
          <w:tcPr>
            <w:tcW w:type="dxa" w:w="950"/>
            <w:vAlign w:val="top"/>
          </w:tcPr>
          <w:p>
            <w:pPr>
              <w:spacing w:after="40" w:before="0" w:line="259" w:lineRule="auto"/>
            </w:pPr>
            <w:r>
              <w:rPr>
                <w:rFonts w:ascii="Calibri" w:hAnsi="Calibri"/>
                <w:b w:val="0"/>
                <w:i w:val="0"/>
                <w:color w:val="212121"/>
                <w:sz w:val="16"/>
              </w:rPr>
              <w:t>Winter, hot-humid, sweaty or high-stress flares</w:t>
            </w:r>
          </w:p>
        </w:tc>
        <w:tc>
          <w:tcPr>
            <w:tcW w:type="dxa" w:w="1036"/>
            <w:vAlign w:val="top"/>
          </w:tcPr>
          <w:p>
            <w:pPr>
              <w:spacing w:after="40" w:before="0" w:line="259" w:lineRule="auto"/>
            </w:pPr>
            <w:r>
              <w:rPr>
                <w:rFonts w:ascii="Calibri" w:hAnsi="Calibri"/>
                <w:b w:val="0"/>
                <w:i w:val="0"/>
                <w:color w:val="212121"/>
                <w:sz w:val="16"/>
              </w:rPr>
              <w:t>Confirms provoking factors</w:t>
            </w:r>
          </w:p>
        </w:tc>
        <w:tc>
          <w:tcPr>
            <w:tcW w:type="dxa" w:w="1036"/>
            <w:vAlign w:val="top"/>
          </w:tcPr>
          <w:p>
            <w:pPr>
              <w:spacing w:after="40" w:before="0" w:line="259" w:lineRule="auto"/>
            </w:pPr>
            <w:r>
              <w:rPr>
                <w:rFonts w:ascii="Calibri" w:hAnsi="Calibri"/>
                <w:b w:val="0"/>
                <w:i w:val="0"/>
                <w:color w:val="212121"/>
                <w:sz w:val="16"/>
              </w:rPr>
              <w:t>Recurrent flarers</w:t>
            </w:r>
          </w:p>
        </w:tc>
        <w:tc>
          <w:tcPr>
            <w:tcW w:type="dxa" w:w="720"/>
            <w:vAlign w:val="top"/>
          </w:tcPr>
          <w:p>
            <w:pPr>
              <w:spacing w:after="40" w:before="0" w:line="259" w:lineRule="auto"/>
            </w:pPr>
            <w:r>
              <w:rPr>
                <w:rFonts w:ascii="Calibri" w:hAnsi="Calibri"/>
                <w:b w:val="0"/>
                <w:i w:val="0"/>
                <w:color w:val="212121"/>
                <w:sz w:val="16"/>
              </w:rPr>
              <w:t>Provoking factors; Mental health</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Guides prevention advice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Comorbidity / immune history</w:t>
            </w:r>
          </w:p>
        </w:tc>
        <w:tc>
          <w:tcPr>
            <w:tcW w:type="dxa" w:w="979"/>
            <w:vAlign w:val="top"/>
          </w:tcPr>
          <w:p>
            <w:pPr>
              <w:spacing w:after="40" w:before="0" w:line="259" w:lineRule="auto"/>
            </w:pPr>
            <w:r>
              <w:rPr>
                <w:rFonts w:ascii="Calibri" w:hAnsi="Calibri"/>
                <w:b w:val="0"/>
                <w:i w:val="0"/>
                <w:color w:val="212121"/>
                <w:sz w:val="16"/>
              </w:rPr>
              <w:t>HIV, Parkinson, immunosuppression, neuroleptics</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Immunosuppression or neurological disease present</w:t>
            </w:r>
          </w:p>
        </w:tc>
        <w:tc>
          <w:tcPr>
            <w:tcW w:type="dxa" w:w="1036"/>
            <w:vAlign w:val="top"/>
          </w:tcPr>
          <w:p>
            <w:pPr>
              <w:spacing w:after="40" w:before="0" w:line="259" w:lineRule="auto"/>
            </w:pPr>
            <w:r>
              <w:rPr>
                <w:rFonts w:ascii="Calibri" w:hAnsi="Calibri"/>
                <w:b w:val="0"/>
                <w:i w:val="0"/>
                <w:color w:val="212121"/>
                <w:sz w:val="16"/>
              </w:rPr>
              <w:t>Explains severe or refractory disease</w:t>
            </w:r>
          </w:p>
        </w:tc>
        <w:tc>
          <w:tcPr>
            <w:tcW w:type="dxa" w:w="1036"/>
            <w:vAlign w:val="top"/>
          </w:tcPr>
          <w:p>
            <w:pPr>
              <w:spacing w:after="40" w:before="0" w:line="259" w:lineRule="auto"/>
            </w:pPr>
            <w:r>
              <w:rPr>
                <w:rFonts w:ascii="Calibri" w:hAnsi="Calibri"/>
                <w:b w:val="0"/>
                <w:i w:val="0"/>
                <w:color w:val="212121"/>
                <w:sz w:val="16"/>
              </w:rPr>
              <w:t>Severe or atypical SD</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May prompt HIV testing</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Differential</w:t>
            </w:r>
          </w:p>
        </w:tc>
        <w:tc>
          <w:tcPr>
            <w:tcW w:type="dxa" w:w="950"/>
            <w:vAlign w:val="top"/>
          </w:tcPr>
          <w:p>
            <w:pPr>
              <w:spacing w:after="40" w:before="0" w:line="259" w:lineRule="auto"/>
            </w:pPr>
            <w:r>
              <w:rPr>
                <w:rFonts w:ascii="Calibri" w:hAnsi="Calibri"/>
                <w:b w:val="0"/>
                <w:i w:val="0"/>
                <w:color w:val="212121"/>
                <w:sz w:val="16"/>
              </w:rPr>
              <w:t>Exclusion of mimics</w:t>
            </w:r>
          </w:p>
        </w:tc>
        <w:tc>
          <w:tcPr>
            <w:tcW w:type="dxa" w:w="979"/>
            <w:vAlign w:val="top"/>
          </w:tcPr>
          <w:p>
            <w:pPr>
              <w:spacing w:after="40" w:before="0" w:line="259" w:lineRule="auto"/>
            </w:pPr>
            <w:r>
              <w:rPr>
                <w:rFonts w:ascii="Calibri" w:hAnsi="Calibri"/>
                <w:b w:val="0"/>
                <w:i w:val="0"/>
                <w:color w:val="212121"/>
                <w:sz w:val="16"/>
              </w:rPr>
              <w:t>Psoriasis, tinea capitis, pediculosis, atopic/contact dermatitis</w:t>
            </w:r>
          </w:p>
        </w:tc>
        <w:tc>
          <w:tcPr>
            <w:tcW w:type="dxa" w:w="950"/>
            <w:vAlign w:val="top"/>
          </w:tcPr>
          <w:p>
            <w:pPr>
              <w:spacing w:after="40" w:before="0" w:line="259" w:lineRule="auto"/>
            </w:pPr>
            <w:r>
              <w:rPr>
                <w:rFonts w:ascii="Calibri" w:hAnsi="Calibri"/>
                <w:b w:val="0"/>
                <w:i w:val="0"/>
                <w:color w:val="212121"/>
                <w:sz w:val="16"/>
              </w:rPr>
              <w:t>Features consistent with dandruff</w:t>
            </w:r>
          </w:p>
        </w:tc>
        <w:tc>
          <w:tcPr>
            <w:tcW w:type="dxa" w:w="950"/>
            <w:vAlign w:val="top"/>
          </w:tcPr>
          <w:p>
            <w:pPr>
              <w:spacing w:after="40" w:before="0" w:line="259" w:lineRule="auto"/>
            </w:pPr>
            <w:r>
              <w:rPr>
                <w:rFonts w:ascii="Calibri" w:hAnsi="Calibri"/>
                <w:b w:val="0"/>
                <w:i w:val="0"/>
                <w:color w:val="212121"/>
                <w:sz w:val="16"/>
              </w:rPr>
              <w:t>Silvery plaques, broken hairs/black dots, nits, or eczema</w:t>
            </w:r>
          </w:p>
        </w:tc>
        <w:tc>
          <w:tcPr>
            <w:tcW w:type="dxa" w:w="1036"/>
            <w:vAlign w:val="top"/>
          </w:tcPr>
          <w:p>
            <w:pPr>
              <w:spacing w:after="40" w:before="0" w:line="259" w:lineRule="auto"/>
            </w:pPr>
            <w:r>
              <w:rPr>
                <w:rFonts w:ascii="Calibri" w:hAnsi="Calibri"/>
                <w:b w:val="0"/>
                <w:i w:val="0"/>
                <w:color w:val="212121"/>
                <w:sz w:val="16"/>
              </w:rPr>
              <w:t>Ensures correct diagnosis</w:t>
            </w:r>
          </w:p>
        </w:tc>
        <w:tc>
          <w:tcPr>
            <w:tcW w:type="dxa" w:w="1036"/>
            <w:vAlign w:val="top"/>
          </w:tcPr>
          <w:p>
            <w:pPr>
              <w:spacing w:after="40" w:before="0" w:line="259" w:lineRule="auto"/>
            </w:pPr>
            <w:r>
              <w:rPr>
                <w:rFonts w:ascii="Calibri" w:hAnsi="Calibri"/>
                <w:b w:val="0"/>
                <w:i w:val="0"/>
                <w:color w:val="212121"/>
                <w:sz w:val="16"/>
              </w:rPr>
              <w:t>Atypical presentations, children</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Trichoscopy and KOH assist</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Visible white or grey flakes on scalp, hair and shoulders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Loose branny scales shed onto hair and dark clothing - the hallmark and main cosmetic complaint.</w:t>
            </w:r>
          </w:p>
        </w:tc>
      </w:tr>
      <w:tr>
        <w:trPr>
          <w:cantSplit/>
        </w:trPr>
        <w:tc>
          <w:tcPr>
            <w:tcW w:type="dxa" w:w="2304"/>
            <w:vAlign w:val="top"/>
          </w:tcPr>
          <w:p>
            <w:pPr>
              <w:spacing w:after="40" w:before="0" w:line="259" w:lineRule="auto"/>
            </w:pPr>
            <w:r>
              <w:rPr>
                <w:rFonts w:ascii="Calibri" w:hAnsi="Calibri"/>
                <w:b/>
                <w:i w:val="0"/>
                <w:color w:val="212121"/>
                <w:sz w:val="19"/>
              </w:rPr>
              <w:t>Scalp itching (pruritus)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The commonest symptom; scratching worsens scaling and can cause excoriation.</w:t>
            </w:r>
          </w:p>
        </w:tc>
      </w:tr>
      <w:tr>
        <w:trPr>
          <w:cantSplit/>
        </w:trPr>
        <w:tc>
          <w:tcPr>
            <w:tcW w:type="dxa" w:w="2304"/>
            <w:vAlign w:val="top"/>
          </w:tcPr>
          <w:p>
            <w:pPr>
              <w:spacing w:after="40" w:before="0" w:line="259" w:lineRule="auto"/>
            </w:pPr>
            <w:r>
              <w:rPr>
                <w:rFonts w:ascii="Calibri" w:hAnsi="Calibri"/>
                <w:b/>
                <w:i w:val="0"/>
                <w:color w:val="212121"/>
                <w:sz w:val="19"/>
              </w:rPr>
              <w:t>Dry, tight or flaky scalp sensation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Perceived scalp dryness even though sebum output is normal or high.</w:t>
            </w:r>
          </w:p>
        </w:tc>
      </w:tr>
      <w:tr>
        <w:trPr>
          <w:cantSplit/>
        </w:trPr>
        <w:tc>
          <w:tcPr>
            <w:tcW w:type="dxa" w:w="2304"/>
            <w:vAlign w:val="top"/>
          </w:tcPr>
          <w:p>
            <w:pPr>
              <w:spacing w:after="40" w:before="0" w:line="259" w:lineRule="auto"/>
            </w:pPr>
            <w:r>
              <w:rPr>
                <w:rFonts w:ascii="Calibri" w:hAnsi="Calibri"/>
                <w:b/>
                <w:i w:val="0"/>
                <w:color w:val="212121"/>
                <w:sz w:val="19"/>
              </w:rPr>
              <w:t>Greasy, waxy yellowish scaling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Pityriasis steatoides form; scales adhere to the scalp.</w:t>
            </w:r>
          </w:p>
        </w:tc>
      </w:tr>
      <w:tr>
        <w:trPr>
          <w:cantSplit/>
        </w:trPr>
        <w:tc>
          <w:tcPr>
            <w:tcW w:type="dxa" w:w="2304"/>
            <w:vAlign w:val="top"/>
          </w:tcPr>
          <w:p>
            <w:pPr>
              <w:spacing w:after="40" w:before="0" w:line="259" w:lineRule="auto"/>
            </w:pPr>
            <w:r>
              <w:rPr>
                <w:rFonts w:ascii="Calibri" w:hAnsi="Calibri"/>
                <w:b/>
                <w:i w:val="0"/>
                <w:color w:val="212121"/>
                <w:sz w:val="19"/>
              </w:rPr>
              <w:t>Worsening in winter and with stress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Characteristic seasonal and stress-related flares.</w:t>
            </w:r>
          </w:p>
        </w:tc>
      </w:tr>
      <w:tr>
        <w:trPr>
          <w:cantSplit/>
        </w:trPr>
        <w:tc>
          <w:tcPr>
            <w:tcW w:type="dxa" w:w="2304"/>
            <w:vAlign w:val="top"/>
          </w:tcPr>
          <w:p>
            <w:pPr>
              <w:spacing w:after="40" w:before="0" w:line="259" w:lineRule="auto"/>
            </w:pPr>
            <w:r>
              <w:rPr>
                <w:rFonts w:ascii="Calibri" w:hAnsi="Calibri"/>
                <w:b/>
                <w:i w:val="0"/>
                <w:color w:val="212121"/>
                <w:sz w:val="19"/>
              </w:rPr>
              <w:t>Embarrassment and social self-consciousness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Visible flakes drive a large cosmetic and psychosocial burden and product-seeking.</w:t>
            </w:r>
          </w:p>
        </w:tc>
      </w:tr>
      <w:tr>
        <w:trPr>
          <w:cantSplit/>
        </w:trPr>
        <w:tc>
          <w:tcPr>
            <w:tcW w:type="dxa" w:w="2304"/>
            <w:vAlign w:val="top"/>
          </w:tcPr>
          <w:p>
            <w:pPr>
              <w:spacing w:after="40" w:before="0" w:line="259" w:lineRule="auto"/>
            </w:pPr>
            <w:r>
              <w:rPr>
                <w:rFonts w:ascii="Calibri" w:hAnsi="Calibri"/>
                <w:b/>
                <w:i w:val="0"/>
                <w:color w:val="212121"/>
                <w:sz w:val="19"/>
              </w:rPr>
              <w:t>Mild scalp redness or irritation</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Suggests early progression toward seborrhoeic dermatitis.</w:t>
            </w:r>
          </w:p>
        </w:tc>
      </w:tr>
      <w:tr>
        <w:trPr>
          <w:cantSplit/>
        </w:trPr>
        <w:tc>
          <w:tcPr>
            <w:tcW w:type="dxa" w:w="2304"/>
            <w:vAlign w:val="top"/>
          </w:tcPr>
          <w:p>
            <w:pPr>
              <w:spacing w:after="40" w:before="0" w:line="259" w:lineRule="auto"/>
            </w:pPr>
            <w:r>
              <w:rPr>
                <w:rFonts w:ascii="Calibri" w:hAnsi="Calibri"/>
                <w:b/>
                <w:i w:val="0"/>
                <w:color w:val="212121"/>
                <w:sz w:val="19"/>
              </w:rPr>
              <w:t>Flaking or redness spreading to eyebrows, beard, behind the ears or nasolabial folds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Marks transition to seborrhoeic dermatitis.</w:t>
            </w:r>
          </w:p>
        </w:tc>
      </w:tr>
      <w:tr>
        <w:trPr>
          <w:cantSplit/>
        </w:trPr>
        <w:tc>
          <w:tcPr>
            <w:tcW w:type="dxa" w:w="2304"/>
            <w:vAlign w:val="top"/>
          </w:tcPr>
          <w:p>
            <w:pPr>
              <w:spacing w:after="40" w:before="0" w:line="259" w:lineRule="auto"/>
            </w:pPr>
            <w:r>
              <w:rPr>
                <w:rFonts w:ascii="Calibri" w:hAnsi="Calibri"/>
                <w:b/>
                <w:i w:val="0"/>
                <w:color w:val="212121"/>
                <w:sz w:val="19"/>
              </w:rPr>
              <w:t>Perceived increased hair shedding</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Temporary telogen-type shedding from inflammation or scratching; reversible and non-scarring.</w:t>
            </w:r>
          </w:p>
        </w:tc>
      </w:tr>
      <w:tr>
        <w:trPr>
          <w:cantSplit/>
        </w:trPr>
        <w:tc>
          <w:tcPr>
            <w:tcW w:type="dxa" w:w="2304"/>
            <w:vAlign w:val="top"/>
          </w:tcPr>
          <w:p>
            <w:pPr>
              <w:spacing w:after="40" w:before="0" w:line="259" w:lineRule="auto"/>
            </w:pPr>
            <w:r>
              <w:rPr>
                <w:rFonts w:ascii="Calibri" w:hAnsi="Calibri"/>
                <w:b/>
                <w:i w:val="0"/>
                <w:color w:val="212121"/>
                <w:sz w:val="19"/>
              </w:rPr>
              <w:t>Scalp burning or soreness</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With more inflamed disease or over-treatment / irritation.</w:t>
            </w:r>
          </w:p>
        </w:tc>
      </w:tr>
      <w:tr>
        <w:trPr>
          <w:cantSplit/>
        </w:trPr>
        <w:tc>
          <w:tcPr>
            <w:tcW w:type="dxa" w:w="2304"/>
            <w:vAlign w:val="top"/>
          </w:tcPr>
          <w:p>
            <w:pPr>
              <w:spacing w:after="40" w:before="0" w:line="259" w:lineRule="auto"/>
            </w:pPr>
            <w:r>
              <w:rPr>
                <w:rFonts w:ascii="Calibri" w:hAnsi="Calibri"/>
                <w:b/>
                <w:i w:val="0"/>
                <w:color w:val="212121"/>
                <w:sz w:val="19"/>
              </w:rPr>
              <w:t>Oozing, crusting or tender pustules</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Secondary bacterial infection from persistent scratching.</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Fine, dry, white-to-grey powdery scales diffusely over the scalp</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Pityriasis simplex / sicca; non-adherent and easily dislodged.</w:t>
            </w:r>
          </w:p>
        </w:tc>
      </w:tr>
      <w:tr>
        <w:trPr>
          <w:cantSplit/>
        </w:trPr>
        <w:tc>
          <w:tcPr>
            <w:tcW w:type="dxa" w:w="3456"/>
            <w:vAlign w:val="top"/>
          </w:tcPr>
          <w:p>
            <w:pPr>
              <w:spacing w:after="40" w:before="0" w:line="259" w:lineRule="auto"/>
            </w:pPr>
            <w:r>
              <w:rPr>
                <w:rFonts w:ascii="Calibri" w:hAnsi="Calibri"/>
                <w:b/>
                <w:i w:val="0"/>
                <w:color w:val="212121"/>
                <w:sz w:val="19"/>
              </w:rPr>
              <w:t>Greasy, waxy, yellowish adherent scales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Pityriasis steatoides; more adherent and mildly inflammatory.</w:t>
            </w:r>
          </w:p>
        </w:tc>
      </w:tr>
      <w:tr>
        <w:trPr>
          <w:cantSplit/>
        </w:trPr>
        <w:tc>
          <w:tcPr>
            <w:tcW w:type="dxa" w:w="3456"/>
            <w:vAlign w:val="top"/>
          </w:tcPr>
          <w:p>
            <w:pPr>
              <w:spacing w:after="40" w:before="0" w:line="259" w:lineRule="auto"/>
            </w:pPr>
            <w:r>
              <w:rPr>
                <w:rFonts w:ascii="Calibri" w:hAnsi="Calibri"/>
                <w:b/>
                <w:i w:val="0"/>
                <w:color w:val="212121"/>
                <w:sz w:val="19"/>
              </w:rPr>
              <w:t>Scale shedding onto hair and clothing</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Visible flakes on shoulders; a key clinical clue.</w:t>
            </w:r>
          </w:p>
        </w:tc>
      </w:tr>
      <w:tr>
        <w:trPr>
          <w:cantSplit/>
        </w:trPr>
        <w:tc>
          <w:tcPr>
            <w:tcW w:type="dxa" w:w="3456"/>
            <w:vAlign w:val="top"/>
          </w:tcPr>
          <w:p>
            <w:pPr>
              <w:spacing w:after="40" w:before="0" w:line="259" w:lineRule="auto"/>
            </w:pPr>
            <w:r>
              <w:rPr>
                <w:rFonts w:ascii="Calibri" w:hAnsi="Calibri"/>
                <w:b/>
                <w:i w:val="0"/>
                <w:color w:val="212121"/>
                <w:sz w:val="19"/>
              </w:rPr>
              <w:t>Minimal or absent scalp erythema</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Distinguishes simple dandruff from seborrhoeic dermatitis.</w:t>
            </w:r>
          </w:p>
        </w:tc>
      </w:tr>
      <w:tr>
        <w:trPr>
          <w:cantSplit/>
        </w:trPr>
        <w:tc>
          <w:tcPr>
            <w:tcW w:type="dxa" w:w="3456"/>
            <w:vAlign w:val="top"/>
          </w:tcPr>
          <w:p>
            <w:pPr>
              <w:spacing w:after="40" w:before="0" w:line="259" w:lineRule="auto"/>
            </w:pPr>
            <w:r>
              <w:rPr>
                <w:rFonts w:ascii="Calibri" w:hAnsi="Calibri"/>
                <w:b/>
                <w:i w:val="0"/>
                <w:color w:val="212121"/>
                <w:sz w:val="19"/>
              </w:rPr>
              <w:t>Non-scarring scalp with intact follicles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Reassuring - dandruff does not destroy follicles or cause permanent baldness.</w:t>
            </w:r>
          </w:p>
        </w:tc>
      </w:tr>
      <w:tr>
        <w:trPr>
          <w:cantSplit/>
        </w:trPr>
        <w:tc>
          <w:tcPr>
            <w:tcW w:type="dxa" w:w="3456"/>
            <w:vAlign w:val="top"/>
          </w:tcPr>
          <w:p>
            <w:pPr>
              <w:spacing w:after="40" w:before="0" w:line="259" w:lineRule="auto"/>
            </w:pPr>
            <w:r>
              <w:rPr>
                <w:rFonts w:ascii="Calibri" w:hAnsi="Calibri"/>
                <w:b/>
                <w:i w:val="0"/>
                <w:color w:val="212121"/>
                <w:sz w:val="19"/>
              </w:rPr>
              <w:t>Trichoscopy: white-yellow scales with thin arborising vessels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Supports the diagnosis and helps exclude psoriasis and tinea (on dermoscopy).</w:t>
            </w:r>
          </w:p>
        </w:tc>
      </w:tr>
      <w:tr>
        <w:trPr>
          <w:cantSplit/>
        </w:trPr>
        <w:tc>
          <w:tcPr>
            <w:tcW w:type="dxa" w:w="3456"/>
            <w:vAlign w:val="top"/>
          </w:tcPr>
          <w:p>
            <w:pPr>
              <w:spacing w:after="40" w:before="0" w:line="259" w:lineRule="auto"/>
            </w:pPr>
            <w:r>
              <w:rPr>
                <w:rFonts w:ascii="Calibri" w:hAnsi="Calibri"/>
                <w:b/>
                <w:i w:val="0"/>
                <w:color w:val="212121"/>
                <w:sz w:val="19"/>
              </w:rPr>
              <w:t>Ill-defined erythematous scaly patches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Indicate inflammatory seborrhoeic dermatitis.</w:t>
            </w:r>
          </w:p>
        </w:tc>
      </w:tr>
      <w:tr>
        <w:trPr>
          <w:cantSplit/>
        </w:trPr>
        <w:tc>
          <w:tcPr>
            <w:tcW w:type="dxa" w:w="3456"/>
            <w:vAlign w:val="top"/>
          </w:tcPr>
          <w:p>
            <w:pPr>
              <w:spacing w:after="40" w:before="0" w:line="259" w:lineRule="auto"/>
            </w:pPr>
            <w:r>
              <w:rPr>
                <w:rFonts w:ascii="Calibri" w:hAnsi="Calibri"/>
                <w:b/>
                <w:i w:val="0"/>
                <w:color w:val="212121"/>
                <w:sz w:val="19"/>
              </w:rPr>
              <w:t>Extension to hairline, retroauricular folds, eyebrows and nasolabial folds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Typical seborrhoeic dermatitis distribution.</w:t>
            </w:r>
          </w:p>
        </w:tc>
      </w:tr>
      <w:tr>
        <w:trPr>
          <w:cantSplit/>
        </w:trPr>
        <w:tc>
          <w:tcPr>
            <w:tcW w:type="dxa" w:w="3456"/>
            <w:vAlign w:val="top"/>
          </w:tcPr>
          <w:p>
            <w:pPr>
              <w:spacing w:after="40" w:before="0" w:line="259" w:lineRule="auto"/>
            </w:pPr>
            <w:r>
              <w:rPr>
                <w:rFonts w:ascii="Calibri" w:hAnsi="Calibri"/>
                <w:b/>
                <w:i w:val="0"/>
                <w:color w:val="212121"/>
                <w:sz w:val="19"/>
              </w:rPr>
              <w:t>Excoriation marks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From scratching; may bleed slightly.</w:t>
            </w:r>
          </w:p>
        </w:tc>
      </w:tr>
      <w:tr>
        <w:trPr>
          <w:cantSplit/>
        </w:trPr>
        <w:tc>
          <w:tcPr>
            <w:tcW w:type="dxa" w:w="3456"/>
            <w:vAlign w:val="top"/>
          </w:tcPr>
          <w:p>
            <w:pPr>
              <w:spacing w:after="40" w:before="0" w:line="259" w:lineRule="auto"/>
            </w:pPr>
            <w:r>
              <w:rPr>
                <w:rFonts w:ascii="Calibri" w:hAnsi="Calibri"/>
                <w:b/>
                <w:i w:val="0"/>
                <w:color w:val="212121"/>
                <w:sz w:val="19"/>
              </w:rPr>
              <w:t>Secondary impetiginisation (honey-coloured crusts or pustules)</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Bacterial superinfection of an excoriated scalp.</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relapsing scalp flaking and itch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Cosmetically visible scaling on hair and clothing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Progression of dry (pityriasis simplex) to greasy (pityriasis steatoides) dandruff</w:t>
            </w:r>
          </w:p>
        </w:tc>
        <w:tc>
          <w:tcPr>
            <w:tcW w:type="dxa" w:w="2980"/>
            <w:vAlign w:val="top"/>
          </w:tcPr>
          <w:p>
            <w:pPr>
              <w:spacing w:after="40" w:before="0" w:line="259" w:lineRule="auto"/>
            </w:pPr>
            <w:r>
              <w:rPr>
                <w:rFonts w:ascii="Calibri" w:hAnsi="Calibri"/>
                <w:b w:val="0"/>
                <w:i w:val="0"/>
                <w:color w:val="212121"/>
                <w:sz w:val="19"/>
              </w:rPr>
              <w:t>Direct manifestations of the dandruff process itself; benign and non-scarring.</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Progression to inflammatory seborrhoeic dermatitis of the scalp with erythema and extension to face and ears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Secondary bacterial infection (impetiginisation) from scratching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Temporary telogen-type hair shedding from chronic inflammation and scratching (reversible, non-scarring)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Scalp folliculitis</w:t>
            </w:r>
          </w:p>
        </w:tc>
        <w:tc>
          <w:tcPr>
            <w:tcW w:type="dxa" w:w="2980"/>
            <w:vAlign w:val="top"/>
          </w:tcPr>
          <w:p>
            <w:pPr>
              <w:spacing w:after="40" w:before="0" w:line="259" w:lineRule="auto"/>
            </w:pPr>
            <w:r>
              <w:rPr>
                <w:rFonts w:ascii="Calibri" w:hAnsi="Calibri"/>
                <w:b w:val="0"/>
                <w:i w:val="0"/>
                <w:color w:val="212121"/>
                <w:sz w:val="19"/>
              </w:rPr>
              <w:t>Result from inflammation, scratching and Malassezia-driven progression along the spectrum.</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Psychosocial impact - embarrassment, lowered self-esteem and impaired quality of life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Anxiety and social self-consciousness from visible flakes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Extensive, severe or refractory seborrhoeic dermatitis in the immunosuppressed (e.g., HIV/AIDS)</w:t>
            </w:r>
          </w:p>
        </w:tc>
        <w:tc>
          <w:tcPr>
            <w:tcW w:type="dxa" w:w="2980"/>
            <w:vAlign w:val="top"/>
          </w:tcPr>
          <w:p>
            <w:pPr>
              <w:spacing w:after="40" w:before="0" w:line="259" w:lineRule="auto"/>
            </w:pPr>
            <w:r>
              <w:rPr>
                <w:rFonts w:ascii="Calibri" w:hAnsi="Calibri"/>
                <w:b w:val="0"/>
                <w:i w:val="0"/>
                <w:color w:val="212121"/>
                <w:sz w:val="19"/>
              </w:rPr>
              <w:t>Chronic, visible and relapsing disease mainly affects wellbeing; dandruff itself does not cause permanent hair loss or scarring.</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Seborrhoeic dermatitis (same spectrum)</w:t>
            </w:r>
          </w:p>
        </w:tc>
        <w:tc>
          <w:tcPr>
            <w:tcW w:type="dxa" w:w="2520"/>
            <w:vAlign w:val="top"/>
          </w:tcPr>
          <w:p>
            <w:pPr>
              <w:spacing w:after="40" w:before="0" w:line="259" w:lineRule="auto"/>
            </w:pPr>
            <w:r>
              <w:rPr>
                <w:rFonts w:ascii="Calibri" w:hAnsi="Calibri"/>
                <w:b w:val="0"/>
                <w:i w:val="0"/>
                <w:color w:val="212121"/>
                <w:sz w:val="18"/>
              </w:rPr>
              <w:t>Shared Pathophysiology</w:t>
            </w:r>
          </w:p>
        </w:tc>
        <w:tc>
          <w:tcPr>
            <w:tcW w:type="dxa" w:w="4852"/>
            <w:vAlign w:val="top"/>
          </w:tcPr>
          <w:p>
            <w:pPr>
              <w:spacing w:after="40" w:before="0" w:line="259" w:lineRule="auto"/>
            </w:pPr>
            <w:r>
              <w:rPr>
                <w:rFonts w:ascii="Calibri" w:hAnsi="Calibri"/>
                <w:b w:val="0"/>
                <w:i w:val="0"/>
                <w:color w:val="212121"/>
                <w:sz w:val="19"/>
              </w:rPr>
              <w:t>Dandruff is the mildest, non-inflammatory form of seborrhoeic dermatitis; the two share Malassezia-sebum pathophysiology and frequently coexist.</w:t>
            </w:r>
          </w:p>
        </w:tc>
      </w:tr>
      <w:tr>
        <w:trPr>
          <w:cantSplit/>
        </w:trPr>
        <w:tc>
          <w:tcPr>
            <w:tcW w:type="dxa" w:w="2232"/>
            <w:vAlign w:val="top"/>
          </w:tcPr>
          <w:p>
            <w:pPr>
              <w:spacing w:after="40" w:before="0" w:line="259" w:lineRule="auto"/>
            </w:pPr>
            <w:r>
              <w:rPr>
                <w:rFonts w:ascii="Calibri" w:hAnsi="Calibri"/>
                <w:b/>
                <w:i w:val="0"/>
                <w:color w:val="212121"/>
                <w:sz w:val="19"/>
              </w:rPr>
              <w:t>Oily (seborrhoeic) skin and acne vulgaris</w:t>
            </w:r>
          </w:p>
        </w:tc>
        <w:tc>
          <w:tcPr>
            <w:tcW w:type="dxa" w:w="2520"/>
            <w:vAlign w:val="top"/>
          </w:tcPr>
          <w:p>
            <w:pPr>
              <w:spacing w:after="40" w:before="0" w:line="259" w:lineRule="auto"/>
            </w:pPr>
            <w:r>
              <w:rPr>
                <w:rFonts w:ascii="Calibri" w:hAnsi="Calibri"/>
                <w:b w:val="0"/>
                <w:i w:val="0"/>
                <w:color w:val="212121"/>
                <w:sz w:val="18"/>
              </w:rPr>
              <w:t>Shared Pathophysiology</w:t>
            </w:r>
          </w:p>
        </w:tc>
        <w:tc>
          <w:tcPr>
            <w:tcW w:type="dxa" w:w="4852"/>
            <w:vAlign w:val="top"/>
          </w:tcPr>
          <w:p>
            <w:pPr>
              <w:spacing w:after="40" w:before="0" w:line="259" w:lineRule="auto"/>
            </w:pPr>
            <w:r>
              <w:rPr>
                <w:rFonts w:ascii="Calibri" w:hAnsi="Calibri"/>
                <w:b w:val="0"/>
                <w:i w:val="0"/>
                <w:color w:val="212121"/>
                <w:sz w:val="19"/>
              </w:rPr>
              <w:t>Shared androgen-driven sebaceous overactivity; people with seborrhoea and acne commonly also have dandruff.</w:t>
            </w:r>
          </w:p>
        </w:tc>
      </w:tr>
      <w:tr>
        <w:trPr>
          <w:cantSplit/>
        </w:trPr>
        <w:tc>
          <w:tcPr>
            <w:tcW w:type="dxa" w:w="2232"/>
            <w:vAlign w:val="top"/>
          </w:tcPr>
          <w:p>
            <w:pPr>
              <w:spacing w:after="40" w:before="0" w:line="259" w:lineRule="auto"/>
            </w:pPr>
            <w:r>
              <w:rPr>
                <w:rFonts w:ascii="Calibri" w:hAnsi="Calibri"/>
                <w:b/>
                <w:i w:val="0"/>
                <w:color w:val="212121"/>
                <w:sz w:val="19"/>
              </w:rPr>
              <w:t>Pityriasis versicolor and Malassezia (pityrosporum) folliculitis</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Other conditions caused by the same genus Malassezia, more common in hot-humid Indian climates.</w:t>
            </w:r>
          </w:p>
        </w:tc>
      </w:tr>
      <w:tr>
        <w:trPr>
          <w:cantSplit/>
        </w:trPr>
        <w:tc>
          <w:tcPr>
            <w:tcW w:type="dxa" w:w="2232"/>
            <w:vAlign w:val="top"/>
          </w:tcPr>
          <w:p>
            <w:pPr>
              <w:spacing w:after="40" w:before="0" w:line="259" w:lineRule="auto"/>
            </w:pPr>
            <w:r>
              <w:rPr>
                <w:rFonts w:ascii="Calibri" w:hAnsi="Calibri"/>
                <w:b/>
                <w:i w:val="0"/>
                <w:color w:val="212121"/>
                <w:sz w:val="19"/>
              </w:rPr>
              <w:t>Atopic dermatitis (head-and-neck pattern)</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Malassezia sensitisation can drive head-and-neck eczema that overlaps with scalp seborrhoea.</w:t>
            </w:r>
          </w:p>
        </w:tc>
      </w:tr>
      <w:tr>
        <w:trPr>
          <w:cantSplit/>
        </w:trPr>
        <w:tc>
          <w:tcPr>
            <w:tcW w:type="dxa" w:w="2232"/>
            <w:vAlign w:val="top"/>
          </w:tcPr>
          <w:p>
            <w:pPr>
              <w:spacing w:after="40" w:before="0" w:line="259" w:lineRule="auto"/>
            </w:pPr>
            <w:r>
              <w:rPr>
                <w:rFonts w:ascii="Calibri" w:hAnsi="Calibri"/>
                <w:b/>
                <w:i w:val="0"/>
                <w:color w:val="212121"/>
                <w:sz w:val="19"/>
              </w:rPr>
              <w:t>Scalp psoriasis / sebopsoriasis</w:t>
            </w:r>
          </w:p>
        </w:tc>
        <w:tc>
          <w:tcPr>
            <w:tcW w:type="dxa" w:w="2520"/>
            <w:vAlign w:val="top"/>
          </w:tcPr>
          <w:p>
            <w:pPr>
              <w:spacing w:after="40" w:before="0" w:line="259" w:lineRule="auto"/>
            </w:pPr>
            <w:r>
              <w:rPr>
                <w:rFonts w:ascii="Calibri" w:hAnsi="Calibri"/>
                <w:b w:val="0"/>
                <w:i w:val="0"/>
                <w:color w:val="212121"/>
                <w:sz w:val="18"/>
              </w:rPr>
              <w:t>Shared Pathophysiology</w:t>
            </w:r>
          </w:p>
        </w:tc>
        <w:tc>
          <w:tcPr>
            <w:tcW w:type="dxa" w:w="4852"/>
            <w:vAlign w:val="top"/>
          </w:tcPr>
          <w:p>
            <w:pPr>
              <w:spacing w:after="40" w:before="0" w:line="259" w:lineRule="auto"/>
            </w:pPr>
            <w:r>
              <w:rPr>
                <w:rFonts w:ascii="Calibri" w:hAnsi="Calibri"/>
                <w:b w:val="0"/>
                <w:i w:val="0"/>
                <w:color w:val="212121"/>
                <w:sz w:val="19"/>
              </w:rPr>
              <w:t>Important overlap and differential; sebopsoriasis shares features of both conditions.</w:t>
            </w:r>
          </w:p>
        </w:tc>
      </w:tr>
      <w:tr>
        <w:trPr>
          <w:cantSplit/>
        </w:trPr>
        <w:tc>
          <w:tcPr>
            <w:tcW w:type="dxa" w:w="2232"/>
            <w:vAlign w:val="top"/>
          </w:tcPr>
          <w:p>
            <w:pPr>
              <w:spacing w:after="40" w:before="0" w:line="259" w:lineRule="auto"/>
            </w:pPr>
            <w:r>
              <w:rPr>
                <w:rFonts w:ascii="Calibri" w:hAnsi="Calibri"/>
                <w:b/>
                <w:i w:val="0"/>
                <w:color w:val="212121"/>
                <w:sz w:val="19"/>
              </w:rPr>
              <w:t>HIV / AIDS</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Seborrhoeic dermatitis is far more prevalent and severe in HIV, affecting about 35% in early infection and up to 85% in AIDS.</w:t>
            </w:r>
          </w:p>
          <w:p>
            <w:pPr>
              <w:spacing w:after="40" w:before="0" w:line="259" w:lineRule="auto"/>
            </w:pPr>
            <w:r>
              <w:rPr>
                <w:rFonts w:ascii="Calibri" w:hAnsi="Calibri"/>
                <w:b/>
                <w:i w:val="0"/>
                <w:color w:val="212121"/>
                <w:sz w:val="19"/>
              </w:rPr>
              <w:t>35%-85%</w:t>
            </w:r>
          </w:p>
        </w:tc>
      </w:tr>
      <w:tr>
        <w:trPr>
          <w:cantSplit/>
        </w:trPr>
        <w:tc>
          <w:tcPr>
            <w:tcW w:type="dxa" w:w="2232"/>
            <w:vAlign w:val="top"/>
          </w:tcPr>
          <w:p>
            <w:pPr>
              <w:spacing w:after="40" w:before="0" w:line="259" w:lineRule="auto"/>
            </w:pPr>
            <w:r>
              <w:rPr>
                <w:rFonts w:ascii="Calibri" w:hAnsi="Calibri"/>
                <w:b/>
                <w:i w:val="0"/>
                <w:color w:val="212121"/>
                <w:sz w:val="19"/>
              </w:rPr>
              <w:t>Parkinson disease and neuroleptic-induced parkinsonism</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Associated with increased sebum (seborrhoea) and higher rates of seborrhoeic dermatitis.</w:t>
            </w:r>
          </w:p>
        </w:tc>
      </w:tr>
      <w:tr>
        <w:trPr>
          <w:cantSplit/>
        </w:trPr>
        <w:tc>
          <w:tcPr>
            <w:tcW w:type="dxa" w:w="2232"/>
            <w:vAlign w:val="top"/>
          </w:tcPr>
          <w:p>
            <w:pPr>
              <w:spacing w:after="40" w:before="0" w:line="259" w:lineRule="auto"/>
            </w:pPr>
            <w:r>
              <w:rPr>
                <w:rFonts w:ascii="Calibri" w:hAnsi="Calibri"/>
                <w:b/>
                <w:i w:val="0"/>
                <w:color w:val="212121"/>
                <w:sz w:val="19"/>
              </w:rPr>
              <w:t>Depression and anxiety</w:t>
            </w:r>
          </w:p>
        </w:tc>
        <w:tc>
          <w:tcPr>
            <w:tcW w:type="dxa" w:w="2520"/>
            <w:vAlign w:val="top"/>
          </w:tcPr>
          <w:p>
            <w:pPr>
              <w:spacing w:after="40" w:before="0" w:line="259" w:lineRule="auto"/>
            </w:pPr>
            <w:r>
              <w:rPr>
                <w:rFonts w:ascii="Calibri" w:hAnsi="Calibri"/>
                <w:b w:val="0"/>
                <w:i w:val="0"/>
                <w:color w:val="212121"/>
                <w:sz w:val="18"/>
              </w:rPr>
              <w:t>Bidirectional Association</w:t>
            </w:r>
          </w:p>
        </w:tc>
        <w:tc>
          <w:tcPr>
            <w:tcW w:type="dxa" w:w="4852"/>
            <w:vAlign w:val="top"/>
          </w:tcPr>
          <w:p>
            <w:pPr>
              <w:spacing w:after="40" w:before="0" w:line="259" w:lineRule="auto"/>
            </w:pPr>
            <w:r>
              <w:rPr>
                <w:rFonts w:ascii="Calibri" w:hAnsi="Calibri"/>
                <w:b w:val="0"/>
                <w:i w:val="0"/>
                <w:color w:val="212121"/>
                <w:sz w:val="19"/>
              </w:rPr>
              <w:t>Bidirectional link with a chronic, visible, relapsing scalp condition that affects self-image.</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that dandruff is extremely common, benign, non-contagious and non-scarring - it is controllable rather than permanently curable, and tends to relapse.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Know it is driven by Malassezia yeast on a sebum-rich scalp, not by simple dryness - so adding more hair oil to the scalp can worsen it rather than help.</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a medicated anti-dandruff shampoo (ketoconazole, zinc pyrithione, selenium sulfide or ciclopirox) regularly and correctly, including adequate scalp contact time, not only when flakes appear.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progression: spreading redness on the face, ears or eyebrows, intense itching, or crusting suggests seborrhoeic dermatitis or infection and merits a dermatology visit.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Seek medical review for sudden, severe, extensive or treatment-resistant scalp seborrhoea, which can occasionally signal immunosuppression such as HIV.</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adolescents and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Oily-scalp individuals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who oil their hair heavily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Anyone with recurrent flaking</w:t>
            </w:r>
          </w:p>
        </w:tc>
        <w:tc>
          <w:tcPr>
            <w:tcW w:type="dxa" w:w="1036"/>
            <w:vAlign w:val="top"/>
          </w:tcPr>
          <w:p>
            <w:pPr>
              <w:spacing w:after="40" w:before="0" w:line="259" w:lineRule="auto"/>
            </w:pPr>
            <w:r>
              <w:rPr>
                <w:rFonts w:ascii="Calibri" w:hAnsi="Calibri"/>
                <w:b w:val="0"/>
                <w:i w:val="0"/>
                <w:color w:val="212121"/>
                <w:sz w:val="19"/>
              </w:rPr>
              <w:t>NA</w:t>
            </w:r>
          </w:p>
        </w:tc>
      </w:tr>
      <w:tr>
        <w:trPr>
          <w:cantSplit/>
        </w:trPr>
        <w:tc>
          <w:tcPr>
            <w:tcW w:type="dxa" w:w="1224"/>
            <w:vAlign w:val="center"/>
          </w:tcPr>
          <w:p>
            <w:pPr>
              <w:spacing w:after="40"/>
            </w:pPr>
            <w:r>
              <w:rPr>
                <w:rFonts w:ascii="Calibri" w:hAnsi="Calibri"/>
                <w:b w:val="0"/>
                <w:i w:val="0"/>
                <w:color w:val="212121"/>
                <w:sz w:val="19"/>
              </w:rPr>
              <w:t>Hygiene</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Wash the scalp regularly (typically 2-4 times per week, or as advised) to remove scale, sebum and yeast; frequency matters more than product cost.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an antifungal medicated shampoo 2-3 times per week during flares (ketoconazole 2%, zinc pyrithione 1-2%, selenium sulfide 2.5% or ciclopirox), leaving it on the scalp for about 5 minutes before rinsing; rotate agents if one loses effect.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Step down to once-weekly medicated shampoo for maintenance once controlled, as dandruff relapses when treatment stops.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Apply hair oil to the shaft and ends, not the scalp, and avoid heavy overnight scalp oiling, which feeds Malassezia.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For inflamed, itchy seborrhoeic dermatitis, a short course of a topical corticosteroid lotion or a topical calcineurin inhibitor may be added under medical advice.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the scalp cool, dry and ventilated; wash promptly after heavy sweating and clean helmet or headgear liners regularly.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Dandruff and seborrhoeic dermatitis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Heavy hair-oil users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Helmet, turban and cap wearers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Hot-humid climate residents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Eat a balanced diet rich in fruits and vegetables; some evidence links a fruit-rich diet to less seborrhoeic dermatitis.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frequent high-sugar and fried or fatty foods, which have been weakly associated with more seborrhoeic scaling.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adequate zinc and B-vitamin intake through a varied diet.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Remember that no diet reliably cures dandruff - dietary measures are supportive, not a substitute for scalp treatment.</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General population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Adolescents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with recurrent flares</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Aim for adequate, regular sleep, since poor sleep and fatigue can amplify stress-related flares.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a consistent sleep routine to support overall skin and immune balance.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Change and wash pillowcases regularly to reduce scale, oil and yeast contact.</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Students and shift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Stress-prone individuals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Recurrent dandruff sufferers</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Stop smoking - tobacco use is associated with seborrhoeic dermatitis and may worsen scalp inflammation.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behavioural support and pharmacotherapy (nicotine replacement or approved medication) to quit.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second-hand smoke exposure.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Smokers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Tobacco users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Seborrhoeic dermatitis patients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heavy alcohol intake, which (with alcoholic liver disease) is linked to more severe seborrhoeic dermatitis.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a moderate, sensible drinking pattern.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Seek help for alcohol dependence, which is associated with more refractory skin disease.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Heavy drinkers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seborrhoeic dermatitis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Those with liver disease</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Manage stress with relaxation, exercise, yoga or breathing techniques, as stress is a common flare trigger.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Address the embarrassment and low self-esteem that visible flaking can cause; reassurance that dandruff is common and controllable helps.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Seek support or counselling if the condition is causing anxiety, low mood or social avoidance.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High-stress individuals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Adolescents and young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distressed by visible flaking</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Stay physically active for general health, and rinse or wash the scalp after heavy sweating to limit sebum and yeast build-up.</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leaving the scalp sweaty and occluded under caps or helmets for long periods; let it dry and ventilate.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exercise headgear and helmet liners clean.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Athletes and gym-goers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Helmet and headgear wearers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Hot-humid climate residents</w:t>
            </w:r>
          </w:p>
        </w:tc>
        <w:tc>
          <w:tcPr>
            <w:tcW w:type="dxa" w:w="1036"/>
            <w:vAlign w:val="top"/>
          </w:tcPr>
          <w:p>
            <w:pPr>
              <w:spacing w:after="40" w:before="0" w:line="259" w:lineRule="auto"/>
            </w:pPr>
            <w:r>
              <w:rPr>
                <w:rFonts w:ascii="Calibri" w:hAnsi="Calibri"/>
                <w:b w:val="0"/>
                <w:i w:val="0"/>
                <w:color w:val="212121"/>
                <w:sz w:val="19"/>
              </w:rPr>
              <w:t>Low</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ijmr.org.in/association-of-malassezia-species-with-dandruff/" TargetMode="External"/><Relationship Id="rId10" Type="http://schemas.openxmlformats.org/officeDocument/2006/relationships/hyperlink" Target="https://www.ncbi.nlm.nih.gov/books/NBK551707/" TargetMode="External"/><Relationship Id="rId11" Type="http://schemas.openxmlformats.org/officeDocument/2006/relationships/hyperlink" Target="https://ijdvl.com/the-genus-malassezia-and-human-disease/" TargetMode="External"/><Relationship Id="rId12" Type="http://schemas.openxmlformats.org/officeDocument/2006/relationships/hyperlink" Target="https://pubmed.ncbi.nlm.nih.gov/32556200/" TargetMode="External"/><Relationship Id="rId13" Type="http://schemas.openxmlformats.org/officeDocument/2006/relationships/hyperlink" Target="https://karger.com/sad/article/9/2/151/832285/Hair-Oils-May-Worsen-Seborrheic-Dermatitis-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