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Androgenic Alopecia</w:t>
      </w:r>
    </w:p>
    <w:p>
      <w:pPr>
        <w:spacing w:before="0" w:after="160"/>
      </w:pPr>
      <w:r>
        <w:rPr>
          <w:rFonts w:ascii="Calibri" w:hAnsi="Calibri"/>
          <w:b/>
          <w:i w:val="0"/>
          <w:color w:val="212121"/>
          <w:sz w:val="22"/>
        </w:rPr>
        <w:t xml:space="preserve">AKA </w:t>
      </w:r>
      <w:r>
        <w:rPr>
          <w:rFonts w:ascii="Calibri" w:hAnsi="Calibri"/>
          <w:b w:val="0"/>
          <w:i w:val="0"/>
          <w:color w:val="212121"/>
          <w:sz w:val="22"/>
        </w:rPr>
        <w:t>i.e., Androgenetic alopecia (AGA), Male-pattern baldness / male-pattern hair loss (MPHL), Female-pattern hair loss (FPHL), Common baldness, Genetic / hereditary hair loss, Pattern alopecia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Androgenic (androgenetic) alopecia is a chronic, progressive, genetically determined and androgen-dependent form of non-scarring hair loss caused by gradual miniaturisation of scalp hair follicles in genetically susceptible individuals. Circulating testosterone is converted within the follicle to the more potent dihydrotestosterone (DHT) by 5-alpha-reductase; DHT acts on the androgen receptor to shorten the anagen (growth) phase, so terminal hairs are progressively replaced by fine vellus hairs. In men it produces the characteristic bitemporal recession and vertex thinning (Hamilton-Norwood pattern); in women it produces diffuse central-scalp thinning with preservation of the frontal hairline (Ludwig pattern).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Androgenic alopecia is the commonest cause of progressive hair loss in both sexes. Its prevalence rises steadily with age, affecting roughly half of men by about 50 years and up to ~80% by 70 years, so that the majority of men develop some degree of patterned loss over a lifetime; women are affected in increasing numbers, especially after menopause. In India it is among the leading trichology and dermatology complaints, and premature / early-onset disease (onset before ~30 years) is reported with rising frequency in young urban men, who often present at Hamilton-Norwood grade III or above between 18 and 35 years. A positive family history is common, and a significant association with metabolic syndrome and insulin resistance is well documented in Indian cohorts.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Androgenic alopecia is largely a clinical diagnosis based on the pattern, distribution and gradual progression of hair loss in a genetically predisposed person; investigations are used mainly to grade severity, confirm miniaturisation and exclude secondary causes (particularly in women and in rapid or atypical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patterned, non-scarring hair loss with preserved follicular ostia - bitemporal recession and vertex thinning in men (Hamilton-Norwood I-VII), or diffuse central / crown thinning with an intact frontal hairline and widened central part (“Christmas-tree” sign) in women (Ludwig I-III / Sinclair);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gradual onset after puberty with slow progression, usually with a positive family history of patterned baldness (paternal and/or maternal 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trichoscopy / dermoscopy showing hair-shaft diameter diversity (anisotrichosis &gt; 20%), increased vellus and miniaturised hairs, a predominance of single-hair follicular units and peripilar brown discolouration (peripilar sign), with changes accentuated over the frontal / vertex scalp compared with the occiput;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or negative hair-pull test in most cases (absence of the marked diffuse shedding of telogen effluvium) and absence of scarring, scaling, erythema or exclamation-mark hairs;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women and in atypical presentations, laboratory screening to exclude contributors - serum ferritin / iron studies, TSH, and where hyperandrogenism is suspected (hirsutism, acne, menstrual irregularity) total / free testosterone, DHEAS, prolactin and evaluation for polycystic ovary syndrome (PCOS);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scalp biopsy with horizontal sections (rarely required) showing follicular miniaturisation and a reduced terminal-to-vellus hair ratio (normally &gt; 4:1, reduced in AGA) - reserved for diagnostic uncertainty.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Androgenic alopecia is described along several complementary axes - sex-specific pattern, severity grade, age of onset and, increasingly in Asian practice, a universal descriptive system:</w:t>
      </w:r>
    </w:p>
    <w:p>
      <w:pPr>
        <w:spacing w:before="0" w:after="80"/>
      </w:pPr>
      <w:r>
        <w:rPr>
          <w:rFonts w:ascii="Calibri" w:hAnsi="Calibri"/>
          <w:b w:val="0"/>
          <w:i w:val="0"/>
          <w:color w:val="212121"/>
          <w:sz w:val="21"/>
        </w:rPr>
        <w:t>(1) Male-pattern hair loss (MPHL), graded by the Hamilton-Norwood scale (I-VII), progressing from bitemporal frontal recession through frontal and vertex thinning to confluent loss sparing an occipital / lateral (“donor”) horseshoe rim;</w:t>
      </w:r>
    </w:p>
    <w:p>
      <w:pPr>
        <w:spacing w:before="0" w:after="80"/>
      </w:pPr>
      <w:r>
        <w:rPr>
          <w:rFonts w:ascii="Calibri" w:hAnsi="Calibri"/>
          <w:b w:val="0"/>
          <w:i w:val="0"/>
          <w:color w:val="212121"/>
          <w:sz w:val="21"/>
        </w:rPr>
        <w:t>(2) Female-pattern hair loss (FPHL), graded by the Ludwig (I-III) or Sinclair (1-5) scales and the Olsen frontal-accentuation (“Christmas-tree”) pattern - diffuse thinning over the crown with retention of the frontal hairline; frank recession is uncommon;</w:t>
      </w:r>
    </w:p>
    <w:p>
      <w:pPr>
        <w:spacing w:before="0" w:after="80"/>
      </w:pPr>
      <w:r>
        <w:rPr>
          <w:rFonts w:ascii="Calibri" w:hAnsi="Calibri"/>
          <w:b w:val="0"/>
          <w:i w:val="0"/>
          <w:color w:val="212121"/>
          <w:sz w:val="21"/>
        </w:rPr>
        <w:t>(3) By age of onset: early-onset / premature AGA (clinically evident before ~30 years) versus late-onset disease - early-onset forms carry a stronger genetic load and a closer association with metabolic syndrome and insulin resistance;</w:t>
      </w:r>
    </w:p>
    <w:p>
      <w:pPr>
        <w:spacing w:before="0" w:after="80"/>
      </w:pPr>
      <w:r>
        <w:rPr>
          <w:rFonts w:ascii="Calibri" w:hAnsi="Calibri"/>
          <w:b w:val="0"/>
          <w:i w:val="0"/>
          <w:color w:val="212121"/>
          <w:sz w:val="21"/>
        </w:rPr>
        <w:t>(4) The Basic and Specific (BASP) classification, a universal system widely applied in Asian and Indian populations, describing a basic hairline type (L, M, C, U) and a specific vertex / frontal density type (V, F) to capture combined patterns in both sexes.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AGA is polygenic and highly heritable; the androgen receptor (AR) / EDA2R locus on the X chromosome and the chromosome 20p11 locus are strongly implicated, with marked familial clustering - sons of balding fathers carry a 5-6 times higher relative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Androgens (dihydrotestosterone): testosterone is converted by 5-alpha-reductase (predominantly the type 2 isoenzyme in the follicle) to DHT, which binds the androgen receptor in genetically sensitive frontal / vertex follicles and drives the process; occipital follicles are relatively androgen-independent.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Follicular miniaturisation: repeated shortening of the anagen phase progressively converts thick pigmented terminal hairs into short fine vellus hairs, with the anagen-to-telogen ratio falling from about 12:1 toward 5:0 in affected areas.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and hormonal milieu: cumulative androgen exposure increases prevalence with age; in women the loss of protective oestrogen after menopause and states of hyperandrogenism (e.g., PCOS) unmask or accelerate FPHL.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Metabolic and vascular factors: insulin resistance, metabolic syndrome, central obesity, chronic low-grade inflammation and perifollicular microvascular changes are associated with - and may aggravate - early-onset AGA.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Lifestyle aggravators: cigarette smoking (follicular vasoconstriction, oxidative DNA damage and pro-inflammatory effects) is linked to earlier and more severe disease; exogenous androgens / anabolic steroids can precipitate or worsen it.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 men (post-pubertal, 20s-40s)</w:t>
            </w:r>
          </w:p>
        </w:tc>
        <w:tc>
          <w:tcPr>
            <w:tcW w:type="dxa" w:w="4276"/>
            <w:vAlign w:val="top"/>
          </w:tcPr>
          <w:p>
            <w:pPr>
              <w:spacing w:after="60" w:line="259" w:lineRule="auto"/>
            </w:pPr>
            <w:r>
              <w:rPr>
                <w:rFonts w:ascii="Calibri" w:hAnsi="Calibri"/>
                <w:b w:val="0"/>
                <w:i w:val="0"/>
                <w:color w:val="212121"/>
                <w:sz w:val="19"/>
              </w:rPr>
              <w:t>Cumulative androgen (DHT) exposure over years drives progressive follicular miniaturisation; prevalence and Hamilton-Norwood grade climb with each decade after puberty.</w:t>
            </w:r>
          </w:p>
          <w:p>
            <w:pPr>
              <w:spacing w:after="40" w:before="60" w:line="259" w:lineRule="auto"/>
            </w:pPr>
            <w:r>
              <w:rPr>
                <w:rFonts w:ascii="Calibri" w:hAnsi="Calibri"/>
                <w:b w:val="0"/>
                <w:i w:val="0"/>
                <w:color w:val="212121"/>
                <w:sz w:val="19"/>
              </w:rPr>
              <w:t>About 50% of men show androgenetic alopecia by around age 50.</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#malepatternbaldness  #DHT  #miniaturisation  #Norwood  #agingmetabolism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Longest cumulative androgen exposure means the highest prevalence and most extensive, confluent balding in older age groups.</w:t>
            </w:r>
          </w:p>
          <w:p>
            <w:pPr>
              <w:spacing w:after="40" w:before="60" w:line="259" w:lineRule="auto"/>
            </w:pPr>
            <w:r>
              <w:rPr>
                <w:rFonts w:ascii="Calibri" w:hAnsi="Calibri"/>
                <w:b w:val="0"/>
                <w:i w:val="0"/>
                <w:color w:val="212121"/>
                <w:sz w:val="19"/>
              </w:rPr>
              <w:t>Prevalence rises to roughly 80% of men by age 70.</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#ageing  #advancedgrade  #vertexbalding  #lifetimerisk</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Higher androgen levels and greater follicular androgen sensitivity produce earlier onset and the classic bitemporal-plus-vertex pattern, with more extensive loss than in women.</w:t>
            </w:r>
          </w:p>
          <w:p>
            <w:pPr>
              <w:spacing w:after="40" w:before="60" w:line="259" w:lineRule="auto"/>
            </w:pPr>
            <w:r>
              <w:rPr>
                <w:rFonts w:ascii="Calibri" w:hAnsi="Calibri"/>
                <w:b w:val="0"/>
                <w:i w:val="0"/>
                <w:color w:val="212121"/>
                <w:sz w:val="19"/>
              </w:rPr>
              <w:t>Men develop patterned loss earlier and more extensively; the Hamilton-Norwood scale (I-VII) grades the male pattern.</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#male  #hairlineRecession  #vertex  #androgensensitive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Post-menopausal / peri-menopausal women (FPHL)</w:t>
            </w:r>
          </w:p>
        </w:tc>
        <w:tc>
          <w:tcPr>
            <w:tcW w:type="dxa" w:w="4276"/>
            <w:vAlign w:val="top"/>
          </w:tcPr>
          <w:p>
            <w:pPr>
              <w:spacing w:after="60" w:line="259" w:lineRule="auto"/>
            </w:pPr>
            <w:r>
              <w:rPr>
                <w:rFonts w:ascii="Calibri" w:hAnsi="Calibri"/>
                <w:b w:val="0"/>
                <w:i w:val="0"/>
                <w:color w:val="212121"/>
                <w:sz w:val="19"/>
              </w:rPr>
              <w:t>Loss of protective oestrogen after menopause tips the scalp toward a relative androgen effect, producing diffuse central thinning with a preserved frontal hairline.</w:t>
            </w:r>
          </w:p>
          <w:p>
            <w:pPr>
              <w:spacing w:after="40" w:before="60" w:line="259" w:lineRule="auto"/>
            </w:pPr>
            <w:r>
              <w:rPr>
                <w:rFonts w:ascii="Calibri" w:hAnsi="Calibri"/>
                <w:b w:val="0"/>
                <w:i w:val="0"/>
                <w:color w:val="212121"/>
                <w:sz w:val="19"/>
              </w:rPr>
              <w:t>Female-pattern hair loss is increasingly recognised in Indian women, classified using Ludwig and Norwood-based guidelines.</w:t>
            </w:r>
          </w:p>
          <w:p>
            <w:pPr>
              <w:spacing w:after="40" w:line="252" w:lineRule="auto"/>
            </w:pPr>
            <w:hyperlink r:id="rId10">
              <w:r>
                <w:rPr>
                  <w:rFonts w:ascii="Calibri" w:hAnsi="Calibri" w:cs="Calibri"/>
                  <w:sz w:val="18"/>
                  <w:color w:val="1155CC"/>
                  <w:u w:val="single"/>
                </w:rPr>
                <w:t xml:space="preserve">pubmed.ncbi.nlm.nih.gov/24517037 - androgenic alopecia in women, Indian perspective</w:t>
              </w:r>
            </w:hyperlink>
          </w:p>
          <w:p>
            <w:pPr>
              <w:spacing w:before="60" w:after="40"/>
            </w:pPr>
            <w:r>
              <w:rPr>
                <w:rFonts w:ascii="Calibri" w:hAnsi="Calibri"/>
                <w:b w:val="0"/>
                <w:i w:val="0"/>
                <w:color w:val="5A5A5A"/>
                <w:sz w:val="18"/>
              </w:rPr>
              <w:t>#femalepatternhairloss  #Ludwig  #menopause  #diffusethinning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Age of onset</w:t>
            </w:r>
          </w:p>
        </w:tc>
        <w:tc>
          <w:tcPr>
            <w:tcW w:type="dxa" w:w="2160"/>
            <w:vAlign w:val="top"/>
          </w:tcPr>
          <w:p>
            <w:pPr>
              <w:spacing w:after="40" w:before="0" w:line="259" w:lineRule="auto"/>
            </w:pPr>
            <w:r>
              <w:rPr>
                <w:rFonts w:ascii="Calibri" w:hAnsi="Calibri"/>
                <w:b w:val="0"/>
                <w:i w:val="0"/>
                <w:color w:val="212121"/>
                <w:sz w:val="19"/>
              </w:rPr>
              <w:t>Young men with early-onset / premature AGA</w:t>
            </w:r>
          </w:p>
        </w:tc>
        <w:tc>
          <w:tcPr>
            <w:tcW w:type="dxa" w:w="4276"/>
            <w:vAlign w:val="top"/>
          </w:tcPr>
          <w:p>
            <w:pPr>
              <w:spacing w:after="60" w:line="259" w:lineRule="auto"/>
            </w:pPr>
            <w:r>
              <w:rPr>
                <w:rFonts w:ascii="Calibri" w:hAnsi="Calibri"/>
                <w:b w:val="0"/>
                <w:i w:val="0"/>
                <w:color w:val="212121"/>
                <w:sz w:val="19"/>
              </w:rPr>
              <w:t>Onset before ~30 years reflects a strong genetic load and is closely linked to insulin resistance and metabolic syndrome; such men often present already at Norwood grade III or above.</w:t>
            </w:r>
          </w:p>
          <w:p>
            <w:pPr>
              <w:spacing w:after="40" w:before="60" w:line="259" w:lineRule="auto"/>
            </w:pPr>
            <w:r>
              <w:rPr>
                <w:rFonts w:ascii="Calibri" w:hAnsi="Calibri"/>
                <w:b w:val="0"/>
                <w:i w:val="0"/>
                <w:color w:val="212121"/>
                <w:sz w:val="19"/>
              </w:rPr>
              <w:t>Indian hospital studies of early-onset AGA focus on men aged 18-55 at Norwood grade III or above and consistently find raised metabolic risk.</w:t>
            </w:r>
          </w:p>
          <w:p>
            <w:pPr>
              <w:spacing w:after="40" w:line="252" w:lineRule="auto"/>
            </w:pPr>
            <w:hyperlink r:id="rId11">
              <w:r>
                <w:rPr>
                  <w:rFonts w:ascii="Calibri" w:hAnsi="Calibri" w:cs="Calibri"/>
                  <w:sz w:val="18"/>
                  <w:color w:val="1155CC"/>
                  <w:u w:val="single"/>
                </w:rPr>
                <w:t xml:space="preserve">ijdvl.com - metabolic syndrome in androgenic alopecia</w:t>
              </w:r>
            </w:hyperlink>
          </w:p>
          <w:p>
            <w:pPr>
              <w:spacing w:before="60" w:after="40"/>
            </w:pPr>
            <w:r>
              <w:rPr>
                <w:rFonts w:ascii="Calibri" w:hAnsi="Calibri"/>
                <w:b w:val="0"/>
                <w:i w:val="0"/>
                <w:color w:val="5A5A5A"/>
                <w:sz w:val="18"/>
              </w:rPr>
              <w:t>#earlyonset  #prematurebalding  #insulinresistance  #metabolicsyndrome  #youngmen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Caucasians &gt; Asians (incl. Indians) &gt; Africans</w:t>
            </w:r>
          </w:p>
        </w:tc>
        <w:tc>
          <w:tcPr>
            <w:tcW w:type="dxa" w:w="4276"/>
            <w:vAlign w:val="top"/>
          </w:tcPr>
          <w:p>
            <w:pPr>
              <w:spacing w:after="60" w:line="259" w:lineRule="auto"/>
            </w:pPr>
            <w:r>
              <w:rPr>
                <w:rFonts w:ascii="Calibri" w:hAnsi="Calibri"/>
                <w:b w:val="0"/>
                <w:i w:val="0"/>
                <w:color w:val="212121"/>
                <w:sz w:val="19"/>
              </w:rPr>
              <w:t>Follicular density, hair-shaft geometry and androgen sensitivity vary by ethnicity; Caucasians are most affected, with Asian (including Indian) populations at intermediate but rising prevalence.</w:t>
            </w:r>
          </w:p>
          <w:p>
            <w:pPr>
              <w:spacing w:after="40" w:before="60" w:line="259" w:lineRule="auto"/>
            </w:pPr>
            <w:r>
              <w:rPr>
                <w:rFonts w:ascii="Calibri" w:hAnsi="Calibri"/>
                <w:b w:val="0"/>
                <w:i w:val="0"/>
                <w:color w:val="212121"/>
                <w:sz w:val="19"/>
              </w:rPr>
              <w:t>Caucasian men are most affected, followed by Asians, African-Americans, Native Americans and Inuit.</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#ethnicity  #Asianhair  #Indianmen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Urban young Indian men</w:t>
            </w:r>
          </w:p>
        </w:tc>
        <w:tc>
          <w:tcPr>
            <w:tcW w:type="dxa" w:w="4276"/>
            <w:vAlign w:val="top"/>
          </w:tcPr>
          <w:p>
            <w:pPr>
              <w:spacing w:after="60" w:line="259" w:lineRule="auto"/>
            </w:pPr>
            <w:r>
              <w:rPr>
                <w:rFonts w:ascii="Calibri" w:hAnsi="Calibri"/>
                <w:b w:val="0"/>
                <w:i w:val="0"/>
                <w:color w:val="212121"/>
                <w:sz w:val="19"/>
              </w:rPr>
              <w:t>Urbanisation, high-glycaemic diets, sedentary work, stress and rising metabolic-syndrome burden coincide with a growing number of young men seeking care for early patterned hair loss.</w:t>
            </w:r>
          </w:p>
          <w:p>
            <w:pPr>
              <w:spacing w:after="40" w:before="60" w:line="259" w:lineRule="auto"/>
            </w:pPr>
            <w:r>
              <w:rPr>
                <w:rFonts w:ascii="Calibri" w:hAnsi="Calibri"/>
                <w:b w:val="0"/>
                <w:i w:val="0"/>
                <w:color w:val="212121"/>
                <w:sz w:val="19"/>
              </w:rPr>
              <w:t>Premature AGA and its link with metabolic syndrome are repeatedly reported in young Indian male cohorts.</w:t>
            </w:r>
          </w:p>
          <w:p>
            <w:pPr>
              <w:spacing w:after="40" w:line="252" w:lineRule="auto"/>
            </w:pPr>
            <w:hyperlink r:id="rId12">
              <w:r>
                <w:rPr>
                  <w:rFonts w:ascii="Calibri" w:hAnsi="Calibri" w:cs="Calibri"/>
                  <w:sz w:val="18"/>
                  <w:color w:val="1155CC"/>
                  <w:u w:val="single"/>
                </w:rPr>
                <w:t xml:space="preserve">pubmed.ncbi.nlm.nih.gov/25191037 - premature AGA &amp; metabolic syndrome, young Indians</w:t>
              </w:r>
            </w:hyperlink>
          </w:p>
          <w:p>
            <w:pPr>
              <w:spacing w:before="60" w:after="40"/>
            </w:pPr>
            <w:r>
              <w:rPr>
                <w:rFonts w:ascii="Calibri" w:hAnsi="Calibri"/>
                <w:b w:val="0"/>
                <w:i w:val="0"/>
                <w:color w:val="5A5A5A"/>
                <w:sz w:val="18"/>
              </w:rPr>
              <w:t>#urbanIndia  #lifestyle  #youngmen  #trichologyOPD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causes follicular vasoconstriction, oxidative DNA damage (DNA adducts), free-radical injury and pro-inflammatory effects that accelerate miniaturisation and are linked to earlier, more severe AGA.</w:t>
            </w:r>
          </w:p>
          <w:p>
            <w:pPr>
              <w:spacing w:after="40" w:before="60" w:line="259" w:lineRule="auto"/>
            </w:pPr>
            <w:r>
              <w:rPr>
                <w:rFonts w:ascii="Calibri" w:hAnsi="Calibri"/>
                <w:b w:val="0"/>
                <w:i w:val="0"/>
                <w:color w:val="212121"/>
                <w:sz w:val="19"/>
              </w:rPr>
              <w:t>A systematic review concludes smoking is positively associated with androgenetic alopecia onset and severity.</w:t>
            </w:r>
          </w:p>
          <w:p>
            <w:pPr>
              <w:spacing w:after="40" w:line="252" w:lineRule="auto"/>
            </w:pPr>
            <w:hyperlink r:id="rId13">
              <w:r>
                <w:rPr>
                  <w:rFonts w:ascii="Calibri" w:hAnsi="Calibri" w:cs="Calibri"/>
                  <w:sz w:val="18"/>
                  <w:color w:val="1155CC"/>
                  <w:u w:val="single"/>
                </w:rPr>
                <w:t xml:space="preserve">pubmed.ncbi.nlm.nih.gov/35531482 - role of smoking in AGA (systematic review)</w:t>
              </w:r>
            </w:hyperlink>
          </w:p>
          <w:p>
            <w:pPr>
              <w:spacing w:before="60" w:after="40"/>
            </w:pPr>
            <w:r>
              <w:rPr>
                <w:rFonts w:ascii="Calibri" w:hAnsi="Calibri"/>
                <w:b w:val="0"/>
                <w:i w:val="0"/>
                <w:color w:val="5A5A5A"/>
                <w:sz w:val="18"/>
              </w:rPr>
              <w:t>#smoking  #vasoconstriction  #oxidativestress  #DNAadducts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obesity</w:t>
            </w:r>
          </w:p>
        </w:tc>
        <w:tc>
          <w:tcPr>
            <w:tcW w:type="dxa" w:w="2160"/>
            <w:vAlign w:val="top"/>
          </w:tcPr>
          <w:p>
            <w:pPr>
              <w:spacing w:after="40" w:before="0" w:line="259" w:lineRule="auto"/>
            </w:pPr>
            <w:r>
              <w:rPr>
                <w:rFonts w:ascii="Calibri" w:hAnsi="Calibri"/>
                <w:b w:val="0"/>
                <w:i w:val="0"/>
                <w:color w:val="212121"/>
                <w:sz w:val="19"/>
              </w:rPr>
              <w:t>Sedentary, centrally obese men</w:t>
            </w:r>
          </w:p>
        </w:tc>
        <w:tc>
          <w:tcPr>
            <w:tcW w:type="dxa" w:w="4276"/>
            <w:vAlign w:val="top"/>
          </w:tcPr>
          <w:p>
            <w:pPr>
              <w:spacing w:after="60" w:line="259" w:lineRule="auto"/>
            </w:pPr>
            <w:r>
              <w:rPr>
                <w:rFonts w:ascii="Calibri" w:hAnsi="Calibri"/>
                <w:b w:val="0"/>
                <w:i w:val="0"/>
                <w:color w:val="212121"/>
                <w:sz w:val="19"/>
              </w:rPr>
              <w:t>Physical inactivity and visceral adiposity drive insulin resistance and metabolic syndrome, both of which are over-represented in early androgenetic alopecia and may aggravate follicular injury.</w:t>
            </w:r>
          </w:p>
          <w:p>
            <w:pPr>
              <w:spacing w:after="40" w:before="60" w:line="259" w:lineRule="auto"/>
            </w:pPr>
            <w:r>
              <w:rPr>
                <w:rFonts w:ascii="Calibri" w:hAnsi="Calibri"/>
                <w:b w:val="0"/>
                <w:i w:val="0"/>
                <w:color w:val="212121"/>
                <w:sz w:val="19"/>
              </w:rPr>
              <w:t>Abdominal obesity was significantly more common in men with androgenic alopecia than controls (18-55 y, Norwood III+).</w:t>
            </w:r>
          </w:p>
          <w:p>
            <w:pPr>
              <w:spacing w:after="40" w:line="252" w:lineRule="auto"/>
            </w:pPr>
            <w:hyperlink r:id="rId11">
              <w:r>
                <w:rPr>
                  <w:rFonts w:ascii="Calibri" w:hAnsi="Calibri" w:cs="Calibri"/>
                  <w:sz w:val="18"/>
                  <w:color w:val="1155CC"/>
                  <w:u w:val="single"/>
                </w:rPr>
                <w:t xml:space="preserve">ijdvl.com - metabolic syndrome in androgenic alopecia</w:t>
              </w:r>
            </w:hyperlink>
          </w:p>
          <w:p>
            <w:pPr>
              <w:spacing w:before="60" w:after="40"/>
            </w:pPr>
            <w:r>
              <w:rPr>
                <w:rFonts w:ascii="Calibri" w:hAnsi="Calibri"/>
                <w:b w:val="0"/>
                <w:i w:val="0"/>
                <w:color w:val="5A5A5A"/>
                <w:sz w:val="18"/>
              </w:rPr>
              <w:t>#sedentary  #centralobesity  #insulinresistance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Chronically stressed individuals</w:t>
            </w:r>
          </w:p>
        </w:tc>
        <w:tc>
          <w:tcPr>
            <w:tcW w:type="dxa" w:w="4276"/>
            <w:vAlign w:val="top"/>
          </w:tcPr>
          <w:p>
            <w:pPr>
              <w:spacing w:after="60" w:line="259" w:lineRule="auto"/>
            </w:pPr>
            <w:r>
              <w:rPr>
                <w:rFonts w:ascii="Calibri" w:hAnsi="Calibri"/>
                <w:b w:val="0"/>
                <w:i w:val="0"/>
                <w:color w:val="212121"/>
                <w:sz w:val="19"/>
              </w:rPr>
              <w:t>Sustained stress can worsen telogen shedding that overlaps AGA and, reciprocally, visible balding generates substantial psychological distress - a bidirectional burden rather than a primary cause.</w:t>
            </w:r>
          </w:p>
          <w:p>
            <w:pPr>
              <w:spacing w:after="40" w:before="60" w:line="259" w:lineRule="auto"/>
            </w:pPr>
            <w:r>
              <w:rPr>
                <w:rFonts w:ascii="Calibri" w:hAnsi="Calibri"/>
                <w:b w:val="0"/>
                <w:i w:val="0"/>
                <w:color w:val="212121"/>
                <w:sz w:val="19"/>
              </w:rPr>
              <w:t>AGA carries a well-recognised psychological impact on self-esteem and body image.</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#stress  #telogenoverlap  #selfesteem  #qualityoflife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High-glycaemic / insulinogenic diet</w:t>
            </w:r>
          </w:p>
        </w:tc>
        <w:tc>
          <w:tcPr>
            <w:tcW w:type="dxa" w:w="2160"/>
            <w:vAlign w:val="top"/>
          </w:tcPr>
          <w:p>
            <w:pPr>
              <w:spacing w:after="40" w:before="0" w:line="259" w:lineRule="auto"/>
            </w:pPr>
            <w:r>
              <w:rPr>
                <w:rFonts w:ascii="Calibri" w:hAnsi="Calibri"/>
                <w:b w:val="0"/>
                <w:i w:val="0"/>
                <w:color w:val="212121"/>
                <w:sz w:val="19"/>
              </w:rPr>
              <w:t>High refined-carbohydrate, high-glycaemic-load eaters</w:t>
            </w:r>
          </w:p>
        </w:tc>
        <w:tc>
          <w:tcPr>
            <w:tcW w:type="dxa" w:w="4276"/>
            <w:vAlign w:val="top"/>
          </w:tcPr>
          <w:p>
            <w:pPr>
              <w:spacing w:after="60" w:line="259" w:lineRule="auto"/>
            </w:pPr>
            <w:r>
              <w:rPr>
                <w:rFonts w:ascii="Calibri" w:hAnsi="Calibri"/>
                <w:b w:val="0"/>
                <w:i w:val="0"/>
                <w:color w:val="212121"/>
                <w:sz w:val="19"/>
              </w:rPr>
              <w:t>Diets driving hyperinsulinaemia and higher IGF-1 may potentiate androgen effects on the follicle; micronutrient shortfalls (iron, zinc, protein, vitamin D) can additionally impair hair quality.</w:t>
            </w:r>
          </w:p>
          <w:p>
            <w:pPr>
              <w:spacing w:after="40" w:before="60" w:line="259" w:lineRule="auto"/>
            </w:pPr>
            <w:r>
              <w:rPr>
                <w:rFonts w:ascii="Calibri" w:hAnsi="Calibri"/>
                <w:b w:val="0"/>
                <w:i w:val="0"/>
                <w:color w:val="212121"/>
                <w:sz w:val="19"/>
              </w:rPr>
              <w:t>Low plasma zinc levels have been reported in patients with androgenetic alopecia.</w:t>
            </w:r>
          </w:p>
          <w:p>
            <w:pPr>
              <w:spacing w:after="40" w:line="252" w:lineRule="auto"/>
            </w:pPr>
            <w:hyperlink r:id="rId14">
              <w:r>
                <w:rPr>
                  <w:rFonts w:ascii="Calibri" w:hAnsi="Calibri" w:cs="Calibri"/>
                  <w:sz w:val="18"/>
                  <w:color w:val="1155CC"/>
                  <w:u w:val="single"/>
                </w:rPr>
                <w:t xml:space="preserve">pubmed.ncbi.nlm.nih.gov/28566562 - low plasma zinc in AGA</w:t>
              </w:r>
            </w:hyperlink>
          </w:p>
          <w:p>
            <w:pPr>
              <w:spacing w:before="60" w:after="40"/>
            </w:pPr>
            <w:r>
              <w:rPr>
                <w:rFonts w:ascii="Calibri" w:hAnsi="Calibri"/>
                <w:b w:val="0"/>
                <w:i w:val="0"/>
                <w:color w:val="5A5A5A"/>
                <w:sz w:val="18"/>
              </w:rPr>
              <w:t>#glycaemicload  #hyperinsulinaemia  #zinc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 ferritin status</w:t>
            </w:r>
          </w:p>
        </w:tc>
        <w:tc>
          <w:tcPr>
            <w:tcW w:type="dxa" w:w="2160"/>
            <w:vAlign w:val="top"/>
          </w:tcPr>
          <w:p>
            <w:pPr>
              <w:spacing w:after="40" w:before="0" w:line="259" w:lineRule="auto"/>
            </w:pPr>
            <w:r>
              <w:rPr>
                <w:rFonts w:ascii="Calibri" w:hAnsi="Calibri"/>
                <w:b w:val="0"/>
                <w:i w:val="0"/>
                <w:color w:val="212121"/>
                <w:sz w:val="19"/>
              </w:rPr>
              <w:t>Women with low iron stores</w:t>
            </w:r>
          </w:p>
        </w:tc>
        <w:tc>
          <w:tcPr>
            <w:tcW w:type="dxa" w:w="4276"/>
            <w:vAlign w:val="top"/>
          </w:tcPr>
          <w:p>
            <w:pPr>
              <w:spacing w:after="60" w:line="259" w:lineRule="auto"/>
            </w:pPr>
            <w:r>
              <w:rPr>
                <w:rFonts w:ascii="Calibri" w:hAnsi="Calibri"/>
                <w:b w:val="0"/>
                <w:i w:val="0"/>
                <w:color w:val="212121"/>
                <w:sz w:val="19"/>
              </w:rPr>
              <w:t>Low serum ferritin does not cause AGA but lowers the threshold for, and worsens, hair thinning in women with female-pattern hair loss, so iron status is routinely checked and corrected.</w:t>
            </w:r>
          </w:p>
          <w:p>
            <w:pPr>
              <w:spacing w:after="40" w:before="60" w:line="259" w:lineRule="auto"/>
            </w:pPr>
            <w:r>
              <w:rPr>
                <w:rFonts w:ascii="Calibri" w:hAnsi="Calibri"/>
                <w:b w:val="0"/>
                <w:i w:val="0"/>
                <w:color w:val="212121"/>
                <w:sz w:val="19"/>
              </w:rPr>
              <w:t>Ferritin and iron studies are standard in the FPHL work-up to exclude a contributory deficiency.</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#ferritin  #irondeficiency  #FPHL  #women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baldness (esp. balding father)</w:t>
            </w:r>
          </w:p>
        </w:tc>
        <w:tc>
          <w:tcPr>
            <w:tcW w:type="dxa" w:w="4276"/>
            <w:vAlign w:val="top"/>
          </w:tcPr>
          <w:p>
            <w:pPr>
              <w:spacing w:after="60" w:line="259" w:lineRule="auto"/>
            </w:pPr>
            <w:r>
              <w:rPr>
                <w:rFonts w:ascii="Calibri" w:hAnsi="Calibri"/>
                <w:b w:val="0"/>
                <w:i w:val="0"/>
                <w:color w:val="212121"/>
                <w:sz w:val="19"/>
              </w:rPr>
              <w:t>AGA is strongly heritable through paternal and maternal lines; a family history greatly increases risk and predicts earlier, more extensive disease.</w:t>
            </w:r>
          </w:p>
          <w:p>
            <w:pPr>
              <w:spacing w:after="40" w:before="60" w:line="259" w:lineRule="auto"/>
            </w:pPr>
            <w:r>
              <w:rPr>
                <w:rFonts w:ascii="Calibri" w:hAnsi="Calibri"/>
                <w:b w:val="0"/>
                <w:i w:val="0"/>
                <w:color w:val="212121"/>
                <w:sz w:val="19"/>
              </w:rPr>
              <w:t>Sons of balding fathers have a 5-6 times higher relative risk of developing androgenetic alopecia.</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#familyhistory  #heritable  #firstdegree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Androgen-pathway genotype</w:t>
            </w:r>
          </w:p>
        </w:tc>
        <w:tc>
          <w:tcPr>
            <w:tcW w:type="dxa" w:w="2160"/>
            <w:vAlign w:val="top"/>
          </w:tcPr>
          <w:p>
            <w:pPr>
              <w:spacing w:after="40" w:before="0" w:line="259" w:lineRule="auto"/>
            </w:pPr>
            <w:r>
              <w:rPr>
                <w:rFonts w:ascii="Calibri" w:hAnsi="Calibri"/>
                <w:b w:val="0"/>
                <w:i w:val="0"/>
                <w:color w:val="212121"/>
                <w:sz w:val="19"/>
              </w:rPr>
              <w:t>Carriers of AR / 5-alpha-reductase susceptibility variants</w:t>
            </w:r>
          </w:p>
        </w:tc>
        <w:tc>
          <w:tcPr>
            <w:tcW w:type="dxa" w:w="4276"/>
            <w:vAlign w:val="top"/>
          </w:tcPr>
          <w:p>
            <w:pPr>
              <w:spacing w:after="60" w:line="259" w:lineRule="auto"/>
            </w:pPr>
            <w:r>
              <w:rPr>
                <w:rFonts w:ascii="Calibri" w:hAnsi="Calibri"/>
                <w:b w:val="0"/>
                <w:i w:val="0"/>
                <w:color w:val="212121"/>
                <w:sz w:val="19"/>
              </w:rPr>
              <w:t>Variation in the androgen receptor gene and in 5-alpha-reductase activity governs follicular DHT sensitivity and even predicts response to therapy such as topical minoxidil.</w:t>
            </w:r>
          </w:p>
          <w:p>
            <w:pPr>
              <w:spacing w:after="40" w:before="60" w:line="259" w:lineRule="auto"/>
            </w:pPr>
            <w:r>
              <w:rPr>
                <w:rFonts w:ascii="Calibri" w:hAnsi="Calibri"/>
                <w:b w:val="0"/>
                <w:i w:val="0"/>
                <w:color w:val="212121"/>
                <w:sz w:val="19"/>
              </w:rPr>
              <w:t>About 40% of pattern-hair-loss patients from the Indian subcontinent have low follicular minoxidil sulfotransferase activity, predicting poorer topical minoxidil response.</w:t>
            </w:r>
          </w:p>
          <w:p>
            <w:pPr>
              <w:spacing w:after="40" w:line="252" w:lineRule="auto"/>
            </w:pPr>
            <w:hyperlink r:id="rId15">
              <w:r>
                <w:rPr>
                  <w:rFonts w:ascii="Calibri" w:hAnsi="Calibri" w:cs="Calibri"/>
                  <w:sz w:val="18"/>
                  <w:color w:val="1155CC"/>
                  <w:u w:val="single"/>
                </w:rPr>
                <w:t xml:space="preserve">pubmed.ncbi.nlm.nih.gov/30295395 - follicular minoxidil sulfotransferase, Indian subcontinent</w:t>
              </w:r>
            </w:hyperlink>
          </w:p>
          <w:p>
            <w:pPr>
              <w:spacing w:before="60" w:after="40"/>
            </w:pPr>
            <w:r>
              <w:rPr>
                <w:rFonts w:ascii="Calibri" w:hAnsi="Calibri"/>
                <w:b w:val="0"/>
                <w:i w:val="0"/>
                <w:color w:val="5A5A5A"/>
                <w:sz w:val="18"/>
              </w:rPr>
              <w:t>#androgenreceptor  #5alphareductase  #pharmacogenetics  #minoxidilresponse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Men with early-onset AGA</w:t>
            </w:r>
          </w:p>
        </w:tc>
        <w:tc>
          <w:tcPr>
            <w:tcW w:type="dxa" w:w="4276"/>
            <w:vAlign w:val="top"/>
          </w:tcPr>
          <w:p>
            <w:pPr>
              <w:spacing w:after="60" w:line="259" w:lineRule="auto"/>
            </w:pPr>
            <w:r>
              <w:rPr>
                <w:rFonts w:ascii="Calibri" w:hAnsi="Calibri"/>
                <w:b w:val="0"/>
                <w:i w:val="0"/>
                <w:color w:val="212121"/>
                <w:sz w:val="19"/>
              </w:rPr>
              <w:t>Shared insulin resistance, central adiposity, dyslipidaemia and low-grade inflammation link metabolic syndrome with early patterned hair loss; AGA may be a dermatological marker of cardiometabolic risk.</w:t>
            </w:r>
          </w:p>
          <w:p>
            <w:pPr>
              <w:spacing w:after="40" w:before="60" w:line="259" w:lineRule="auto"/>
            </w:pPr>
            <w:r>
              <w:rPr>
                <w:rFonts w:ascii="Calibri" w:hAnsi="Calibri"/>
                <w:b w:val="0"/>
                <w:i w:val="0"/>
                <w:color w:val="212121"/>
                <w:sz w:val="19"/>
              </w:rPr>
              <w:t>Metabolic syndrome was present in 22.4% of men with androgenic alopecia versus 9.4% of controls (P = 0.021).</w:t>
            </w:r>
          </w:p>
          <w:p>
            <w:pPr>
              <w:spacing w:after="40" w:line="252" w:lineRule="auto"/>
            </w:pPr>
            <w:hyperlink r:id="rId11">
              <w:r>
                <w:rPr>
                  <w:rFonts w:ascii="Calibri" w:hAnsi="Calibri" w:cs="Calibri"/>
                  <w:sz w:val="18"/>
                  <w:color w:val="1155CC"/>
                  <w:u w:val="single"/>
                </w:rPr>
                <w:t xml:space="preserve">ijdvl.com - metabolic syndrome in androgenic alopecia</w:t>
              </w:r>
            </w:hyperlink>
          </w:p>
          <w:p>
            <w:pPr>
              <w:spacing w:before="60" w:after="40"/>
            </w:pPr>
            <w:r>
              <w:rPr>
                <w:rFonts w:ascii="Calibri" w:hAnsi="Calibri"/>
                <w:b w:val="0"/>
                <w:i w:val="0"/>
                <w:color w:val="5A5A5A"/>
                <w:sz w:val="18"/>
              </w:rPr>
              <w:t>#metabolicsyndrome  #insulinresistance  #cardiometabolic  #marker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Insulin resistance / type 2 diabetes</w:t>
            </w:r>
          </w:p>
        </w:tc>
        <w:tc>
          <w:tcPr>
            <w:tcW w:type="dxa" w:w="2160"/>
            <w:vAlign w:val="top"/>
          </w:tcPr>
          <w:p>
            <w:pPr>
              <w:spacing w:after="40" w:before="0" w:line="259" w:lineRule="auto"/>
            </w:pPr>
            <w:r>
              <w:rPr>
                <w:rFonts w:ascii="Calibri" w:hAnsi="Calibri"/>
                <w:b w:val="0"/>
                <w:i w:val="0"/>
                <w:color w:val="212121"/>
                <w:sz w:val="19"/>
              </w:rPr>
              <w:t>Men with early-onset AGA and insulin resistance</w:t>
            </w:r>
          </w:p>
        </w:tc>
        <w:tc>
          <w:tcPr>
            <w:tcW w:type="dxa" w:w="4276"/>
            <w:vAlign w:val="top"/>
          </w:tcPr>
          <w:p>
            <w:pPr>
              <w:spacing w:after="60" w:line="259" w:lineRule="auto"/>
            </w:pPr>
            <w:r>
              <w:rPr>
                <w:rFonts w:ascii="Calibri" w:hAnsi="Calibri"/>
                <w:b w:val="0"/>
                <w:i w:val="0"/>
                <w:color w:val="212121"/>
                <w:sz w:val="19"/>
              </w:rPr>
              <w:t>Insulin resistance is over-represented in early-onset AGA and may potentiate androgen action on follicles, tightening the link between hair loss and dysglycaemia.</w:t>
            </w:r>
          </w:p>
          <w:p>
            <w:pPr>
              <w:spacing w:after="40" w:before="60" w:line="259" w:lineRule="auto"/>
            </w:pPr>
            <w:r>
              <w:rPr>
                <w:rFonts w:ascii="Calibri" w:hAnsi="Calibri"/>
                <w:b w:val="0"/>
                <w:i w:val="0"/>
                <w:color w:val="212121"/>
                <w:sz w:val="19"/>
              </w:rPr>
              <w:t>Indian case-control data report significantly higher metabolic syndrome and insulin resistance in early-onset AGA than in controls.</w:t>
            </w:r>
          </w:p>
          <w:p>
            <w:pPr>
              <w:spacing w:after="40" w:line="252" w:lineRule="auto"/>
            </w:pPr>
            <w:hyperlink r:id="rId16">
              <w:r>
                <w:rPr>
                  <w:rFonts w:ascii="Calibri" w:hAnsi="Calibri" w:cs="Calibri"/>
                  <w:sz w:val="18"/>
                  <w:color w:val="1155CC"/>
                  <w:u w:val="single"/>
                </w:rPr>
                <w:t xml:space="preserve">pubmed.ncbi.nlm.nih.gov/30745631 - metabolic syndrome &amp; insulin resistance in early-onset AGA</w:t>
              </w:r>
            </w:hyperlink>
          </w:p>
          <w:p>
            <w:pPr>
              <w:spacing w:before="60" w:after="40"/>
            </w:pPr>
            <w:r>
              <w:rPr>
                <w:rFonts w:ascii="Calibri" w:hAnsi="Calibri"/>
                <w:b w:val="0"/>
                <w:i w:val="0"/>
                <w:color w:val="5A5A5A"/>
                <w:sz w:val="18"/>
              </w:rPr>
              <w:t>#insulinresistance  #T2DM  #HOMAIR  #dysglycaemia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PCOS / hyperandrogenism</w:t>
            </w:r>
          </w:p>
        </w:tc>
        <w:tc>
          <w:tcPr>
            <w:tcW w:type="dxa" w:w="2160"/>
            <w:vAlign w:val="top"/>
          </w:tcPr>
          <w:p>
            <w:pPr>
              <w:spacing w:after="40" w:before="0" w:line="259" w:lineRule="auto"/>
            </w:pPr>
            <w:r>
              <w:rPr>
                <w:rFonts w:ascii="Calibri" w:hAnsi="Calibri"/>
                <w:b w:val="0"/>
                <w:i w:val="0"/>
                <w:color w:val="212121"/>
                <w:sz w:val="19"/>
              </w:rPr>
              <w:t>Women with PCOS or hyperandrogenism</w:t>
            </w:r>
          </w:p>
        </w:tc>
        <w:tc>
          <w:tcPr>
            <w:tcW w:type="dxa" w:w="4276"/>
            <w:vAlign w:val="top"/>
          </w:tcPr>
          <w:p>
            <w:pPr>
              <w:spacing w:after="60" w:line="259" w:lineRule="auto"/>
            </w:pPr>
            <w:r>
              <w:rPr>
                <w:rFonts w:ascii="Calibri" w:hAnsi="Calibri"/>
                <w:b w:val="0"/>
                <w:i w:val="0"/>
                <w:color w:val="212121"/>
                <w:sz w:val="19"/>
              </w:rPr>
              <w:t>Excess ovarian / adrenal androgens in PCOS drive female-pattern hair loss, often with hirsutism, acne and menstrual irregularity, and warrant hormonal evaluation.</w:t>
            </w:r>
          </w:p>
          <w:p>
            <w:pPr>
              <w:spacing w:after="40" w:before="60" w:line="259" w:lineRule="auto"/>
            </w:pPr>
            <w:r>
              <w:rPr>
                <w:rFonts w:ascii="Calibri" w:hAnsi="Calibri"/>
                <w:b w:val="0"/>
                <w:i w:val="0"/>
                <w:color w:val="212121"/>
                <w:sz w:val="19"/>
              </w:rPr>
              <w:t>Female-pattern hair loss is a recognised feature of hyperandrogenic states including PCOS.</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#PCOS  #hyperandrogenism  #hirsutism  #women  #FPHL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 prostate disease</w:t>
            </w:r>
          </w:p>
        </w:tc>
        <w:tc>
          <w:tcPr>
            <w:tcW w:type="dxa" w:w="2160"/>
            <w:vAlign w:val="top"/>
          </w:tcPr>
          <w:p>
            <w:pPr>
              <w:spacing w:after="40" w:before="0" w:line="259" w:lineRule="auto"/>
            </w:pPr>
            <w:r>
              <w:rPr>
                <w:rFonts w:ascii="Calibri" w:hAnsi="Calibri"/>
                <w:b w:val="0"/>
                <w:i w:val="0"/>
                <w:color w:val="212121"/>
                <w:sz w:val="19"/>
              </w:rPr>
              <w:t>Men with early vertex balding</w:t>
            </w:r>
          </w:p>
        </w:tc>
        <w:tc>
          <w:tcPr>
            <w:tcW w:type="dxa" w:w="4276"/>
            <w:vAlign w:val="top"/>
          </w:tcPr>
          <w:p>
            <w:pPr>
              <w:spacing w:after="60" w:line="259" w:lineRule="auto"/>
            </w:pPr>
            <w:r>
              <w:rPr>
                <w:rFonts w:ascii="Calibri" w:hAnsi="Calibri"/>
                <w:b w:val="0"/>
                <w:i w:val="0"/>
                <w:color w:val="212121"/>
                <w:sz w:val="19"/>
              </w:rPr>
              <w:t>Early and vertex-predominant AGA is associated with hypertension, dyslipidaemia and coronary disease, and with androgen-driven prostate disease, reflecting shared androgen and metabolic pathways.</w:t>
            </w:r>
          </w:p>
          <w:p>
            <w:pPr>
              <w:spacing w:after="40" w:before="60" w:line="259" w:lineRule="auto"/>
            </w:pPr>
            <w:r>
              <w:rPr>
                <w:rFonts w:ascii="Calibri" w:hAnsi="Calibri"/>
                <w:b w:val="0"/>
                <w:i w:val="0"/>
                <w:color w:val="212121"/>
                <w:sz w:val="19"/>
              </w:rPr>
              <w:t>Androgenetic alopecia is associated with cardiovascular disease and with an approximately 2-fold increased risk of prostate cancer.</w:t>
            </w:r>
          </w:p>
          <w:p>
            <w:pPr>
              <w:spacing w:after="40" w:line="252" w:lineRule="auto"/>
            </w:pPr>
            <w:hyperlink r:id="rId9">
              <w:r>
                <w:rPr>
                  <w:rFonts w:ascii="Calibri" w:hAnsi="Calibri" w:cs="Calibri"/>
                  <w:sz w:val="18"/>
                  <w:color w:val="1155CC"/>
                  <w:u w:val="single"/>
                </w:rPr>
                <w:t xml:space="preserve">ncbi.nlm.nih.gov - StatPearls, Androgenetic Alopecia</w:t>
              </w:r>
            </w:hyperlink>
          </w:p>
          <w:p>
            <w:pPr>
              <w:spacing w:before="60" w:after="40"/>
            </w:pPr>
            <w:r>
              <w:rPr>
                <w:rFonts w:ascii="Calibri" w:hAnsi="Calibri"/>
                <w:b w:val="0"/>
                <w:i w:val="0"/>
                <w:color w:val="5A5A5A"/>
                <w:sz w:val="18"/>
              </w:rPr>
              <w:t>#cardiovascular  #hypertension  #BPH  #prostatecancer  #vertexbalding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itself does not cause or cure AGA, but inactivity and central obesity drive the insulin resistance and metabolic syndrome that are over-represented in early-onset disease; regular exercise improves this cardiometabolic profile.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High-glycaemic-load, hyperinsulinaemic diets may potentiate follicular androgen effects, while deficiencies of iron, zinc, protein and vitamin D worsen hair quality; low plasma zinc has been reported in AGA.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aggravates stress and metabolic dysfunction and can worsen overlapping telogen shedding, but a direct causal link to follicular miniaturisation is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positively associated with AGA onset and severity through follicular vasoconstriction, oxidative DNA damage and inflammation; a systematic review and Asian community data support the link.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heavy drinking may impair nutrition and hormonal balance and worsen general hair health, but a direct role in AGA is not established.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chiefly bidirectional - visible balding causes marked distress, low self-esteem and social anxiety, while chronic stress can aggravate shedding that overlaps AGA.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Dietary caffeine has no meaningful effect on AGA; topical caffeine has been studied as a follicle stimulant in vitro, but clinical evidence is limited.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Hair-care and washing habits do not cause AGA; harsh styling / traction damages hair shafts without altering miniaturisation, though good scalp hygiene helps manage coexisting seborrhoeic dermatitis.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Androgenic triggers (puberty, PCOS / hyperandrogenism), exogenous anabolic steroids or testosterone therapy, and rapid hormonal or weight change can unmask or accelerate patterned loss.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Men with early-onset AGA</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 23 (Asian overweight); ≥ 25 obesity</w:t>
            </w:r>
          </w:p>
        </w:tc>
        <w:tc>
          <w:tcPr>
            <w:tcW w:type="dxa" w:w="1468"/>
            <w:vAlign w:val="top"/>
          </w:tcPr>
          <w:p>
            <w:pPr>
              <w:spacing w:after="60" w:line="259" w:lineRule="auto"/>
            </w:pPr>
            <w:r>
              <w:rPr>
                <w:rFonts w:ascii="Calibri" w:hAnsi="Calibri"/>
                <w:b w:val="0"/>
                <w:i w:val="0"/>
                <w:color w:val="212121"/>
                <w:sz w:val="19"/>
              </w:rPr>
              <w:t>Higher BMI clusters with the metabolic syndrome seen in early AGA</w:t>
            </w:r>
          </w:p>
          <w:p>
            <w:pPr>
              <w:spacing w:after="40" w:line="252" w:lineRule="auto"/>
            </w:pPr>
            <w:hyperlink r:id="rId11">
              <w:r>
                <w:rPr>
                  <w:rFonts w:ascii="Calibri" w:hAnsi="Calibri" w:cs="Calibri"/>
                  <w:sz w:val="18"/>
                  <w:color w:val="1155CC"/>
                  <w:u w:val="single"/>
                </w:rPr>
                <w:t xml:space="preserve">https://ijdvl.com/metabolic-syndrome-in-androgenic-alopecia/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(abdominal obesity)</w:t>
            </w:r>
          </w:p>
        </w:tc>
        <w:tc>
          <w:tcPr>
            <w:tcW w:type="dxa" w:w="1655"/>
            <w:vAlign w:val="top"/>
          </w:tcPr>
          <w:p>
            <w:pPr>
              <w:spacing w:after="40" w:before="0" w:line="259" w:lineRule="auto"/>
            </w:pPr>
            <w:r>
              <w:rPr>
                <w:rFonts w:ascii="Calibri" w:hAnsi="Calibri"/>
                <w:b w:val="0"/>
                <w:i w:val="0"/>
                <w:color w:val="212121"/>
                <w:sz w:val="19"/>
              </w:rPr>
              <w:t>Adult men / women</w:t>
            </w:r>
          </w:p>
        </w:tc>
        <w:tc>
          <w:tcPr>
            <w:tcW w:type="dxa" w:w="1512"/>
            <w:vAlign w:val="top"/>
          </w:tcPr>
          <w:p>
            <w:pPr>
              <w:spacing w:after="40" w:before="0" w:line="259" w:lineRule="auto"/>
            </w:pPr>
            <w:r>
              <w:rPr>
                <w:rFonts w:ascii="Calibri" w:hAnsi="Calibri"/>
                <w:b w:val="0"/>
                <w:i w:val="0"/>
                <w:color w:val="212121"/>
                <w:sz w:val="19"/>
              </w:rPr>
              <w:t>M &lt; 90 cm; F &lt; 80 cm (Asian cut-offs)</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Abdominal obesity was significantly higher in AGA than controls</w:t>
            </w:r>
          </w:p>
          <w:p>
            <w:pPr>
              <w:spacing w:after="40" w:line="252" w:lineRule="auto"/>
            </w:pPr>
            <w:hyperlink r:id="rId11">
              <w:r>
                <w:rPr>
                  <w:rFonts w:ascii="Calibri" w:hAnsi="Calibri" w:cs="Calibri"/>
                  <w:sz w:val="18"/>
                  <w:color w:val="1155CC"/>
                  <w:u w:val="single"/>
                </w:rPr>
                <w:t xml:space="preserve">https://ijdvl.com/metabolic-syndrome-in-androgenic-alopecia/</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Early-onset AGA</w:t>
            </w:r>
          </w:p>
        </w:tc>
        <w:tc>
          <w:tcPr>
            <w:tcW w:type="dxa" w:w="1512"/>
            <w:vAlign w:val="top"/>
          </w:tcPr>
          <w:p>
            <w:pPr>
              <w:spacing w:after="40" w:before="0" w:line="259" w:lineRule="auto"/>
            </w:pPr>
            <w:r>
              <w:rPr>
                <w:rFonts w:ascii="Calibri" w:hAnsi="Calibri"/>
                <w:b w:val="0"/>
                <w:i w:val="0"/>
                <w:color w:val="212121"/>
                <w:sz w:val="19"/>
              </w:rPr>
              <w:t>&lt; 100 mg/dL</w:t>
            </w:r>
          </w:p>
        </w:tc>
        <w:tc>
          <w:tcPr>
            <w:tcW w:type="dxa" w:w="1512"/>
            <w:vAlign w:val="top"/>
          </w:tcPr>
          <w:p>
            <w:pPr>
              <w:spacing w:after="40" w:before="0" w:line="259" w:lineRule="auto"/>
            </w:pPr>
            <w:r>
              <w:rPr>
                <w:rFonts w:ascii="Calibri" w:hAnsi="Calibri"/>
                <w:b w:val="0"/>
                <w:i w:val="0"/>
                <w:color w:val="212121"/>
                <w:sz w:val="19"/>
              </w:rPr>
              <w:t>≥ 100 (impaired) / ≥ 126 (diabetes)</w:t>
            </w:r>
          </w:p>
        </w:tc>
        <w:tc>
          <w:tcPr>
            <w:tcW w:type="dxa" w:w="1468"/>
            <w:vAlign w:val="top"/>
          </w:tcPr>
          <w:p>
            <w:pPr>
              <w:spacing w:after="60" w:line="259" w:lineRule="auto"/>
            </w:pPr>
            <w:r>
              <w:rPr>
                <w:rFonts w:ascii="Calibri" w:hAnsi="Calibri"/>
                <w:b w:val="0"/>
                <w:i w:val="0"/>
                <w:color w:val="212121"/>
                <w:sz w:val="19"/>
              </w:rPr>
              <w:t>Dysglycaemia is part of the metabolic syndrome linked to AGA</w:t>
            </w:r>
          </w:p>
          <w:p>
            <w:pPr>
              <w:spacing w:after="40" w:line="252" w:lineRule="auto"/>
            </w:pPr>
            <w:hyperlink r:id="rId16">
              <w:r>
                <w:rPr>
                  <w:rFonts w:ascii="Calibri" w:hAnsi="Calibri" w:cs="Calibri"/>
                  <w:sz w:val="18"/>
                  <w:color w:val="1155CC"/>
                  <w:u w:val="single"/>
                </w:rPr>
                <w:t xml:space="preserve">https://pubmed.ncbi.nlm.nih.gov/30745631/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HDL cholesterol (mg/dL)</w:t>
            </w:r>
          </w:p>
        </w:tc>
        <w:tc>
          <w:tcPr>
            <w:tcW w:type="dxa" w:w="1655"/>
            <w:vAlign w:val="top"/>
          </w:tcPr>
          <w:p>
            <w:pPr>
              <w:spacing w:after="40" w:before="0" w:line="259" w:lineRule="auto"/>
            </w:pPr>
            <w:r>
              <w:rPr>
                <w:rFonts w:ascii="Calibri" w:hAnsi="Calibri"/>
                <w:b w:val="0"/>
                <w:i w:val="0"/>
                <w:color w:val="212121"/>
                <w:sz w:val="19"/>
              </w:rPr>
              <w:t>Early-onset AGA</w:t>
            </w:r>
          </w:p>
        </w:tc>
        <w:tc>
          <w:tcPr>
            <w:tcW w:type="dxa" w:w="1512"/>
            <w:vAlign w:val="top"/>
          </w:tcPr>
          <w:p>
            <w:pPr>
              <w:spacing w:after="40" w:before="0" w:line="259" w:lineRule="auto"/>
            </w:pPr>
            <w:r>
              <w:rPr>
                <w:rFonts w:ascii="Calibri" w:hAnsi="Calibri"/>
                <w:b w:val="0"/>
                <w:i w:val="0"/>
                <w:color w:val="212121"/>
                <w:sz w:val="19"/>
              </w:rPr>
              <w:t>M &gt; 40; F &gt; 50 mg/dL</w:t>
            </w:r>
          </w:p>
        </w:tc>
        <w:tc>
          <w:tcPr>
            <w:tcW w:type="dxa" w:w="1512"/>
            <w:vAlign w:val="top"/>
          </w:tcPr>
          <w:p>
            <w:pPr>
              <w:spacing w:after="40" w:before="0" w:line="259" w:lineRule="auto"/>
            </w:pPr>
            <w:r>
              <w:rPr>
                <w:rFonts w:ascii="Calibri" w:hAnsi="Calibri"/>
                <w:b w:val="0"/>
                <w:i w:val="0"/>
                <w:color w:val="212121"/>
                <w:sz w:val="19"/>
              </w:rPr>
              <w:t>M &lt; 40; F &lt; 50 mg/dL</w:t>
            </w:r>
          </w:p>
        </w:tc>
        <w:tc>
          <w:tcPr>
            <w:tcW w:type="dxa" w:w="1468"/>
            <w:vAlign w:val="top"/>
          </w:tcPr>
          <w:p>
            <w:pPr>
              <w:spacing w:after="60" w:line="259" w:lineRule="auto"/>
            </w:pPr>
            <w:r>
              <w:rPr>
                <w:rFonts w:ascii="Calibri" w:hAnsi="Calibri"/>
                <w:b w:val="0"/>
                <w:i w:val="0"/>
                <w:color w:val="212121"/>
                <w:sz w:val="19"/>
              </w:rPr>
              <w:t>Low HDL was significantly more common in men with AGA</w:t>
            </w:r>
          </w:p>
          <w:p>
            <w:pPr>
              <w:spacing w:after="40" w:line="252" w:lineRule="auto"/>
            </w:pPr>
            <w:hyperlink r:id="rId11">
              <w:r>
                <w:rPr>
                  <w:rFonts w:ascii="Calibri" w:hAnsi="Calibri" w:cs="Calibri"/>
                  <w:sz w:val="18"/>
                  <w:color w:val="1155CC"/>
                  <w:u w:val="single"/>
                </w:rPr>
                <w:t xml:space="preserve">https://ijdvl.com/metabolic-syndrome-in-androgenic-alopecia/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triglycerides (mg/dL)</w:t>
            </w:r>
          </w:p>
        </w:tc>
        <w:tc>
          <w:tcPr>
            <w:tcW w:type="dxa" w:w="1655"/>
            <w:vAlign w:val="top"/>
          </w:tcPr>
          <w:p>
            <w:pPr>
              <w:spacing w:after="40" w:before="0" w:line="259" w:lineRule="auto"/>
            </w:pPr>
            <w:r>
              <w:rPr>
                <w:rFonts w:ascii="Calibri" w:hAnsi="Calibri"/>
                <w:b w:val="0"/>
                <w:i w:val="0"/>
                <w:color w:val="212121"/>
                <w:sz w:val="19"/>
              </w:rPr>
              <w:t>Early-onset AGA</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 150 mg/dL</w:t>
            </w:r>
          </w:p>
        </w:tc>
        <w:tc>
          <w:tcPr>
            <w:tcW w:type="dxa" w:w="1468"/>
            <w:vAlign w:val="top"/>
          </w:tcPr>
          <w:p>
            <w:pPr>
              <w:spacing w:after="40" w:before="0" w:line="259" w:lineRule="auto"/>
            </w:pPr>
            <w:r>
              <w:rPr>
                <w:rFonts w:ascii="Calibri" w:hAnsi="Calibri"/>
                <w:b w:val="0"/>
                <w:i w:val="0"/>
                <w:color w:val="212121"/>
                <w:sz w:val="19"/>
              </w:rPr>
              <w:t>A metabolic-syndrome component to screen in early patterned hair loss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(women with FPHL)</w:t>
            </w:r>
          </w:p>
        </w:tc>
        <w:tc>
          <w:tcPr>
            <w:tcW w:type="dxa" w:w="1655"/>
            <w:vAlign w:val="top"/>
          </w:tcPr>
          <w:p>
            <w:pPr>
              <w:spacing w:after="40" w:before="0" w:line="259" w:lineRule="auto"/>
            </w:pPr>
            <w:r>
              <w:rPr>
                <w:rFonts w:ascii="Calibri" w:hAnsi="Calibri"/>
                <w:b w:val="0"/>
                <w:i w:val="0"/>
                <w:color w:val="212121"/>
                <w:sz w:val="19"/>
              </w:rPr>
              <w:t>Women with hair thinning</w:t>
            </w:r>
          </w:p>
        </w:tc>
        <w:tc>
          <w:tcPr>
            <w:tcW w:type="dxa" w:w="1512"/>
            <w:vAlign w:val="top"/>
          </w:tcPr>
          <w:p>
            <w:pPr>
              <w:spacing w:after="40" w:before="0" w:line="259" w:lineRule="auto"/>
            </w:pPr>
            <w:r>
              <w:rPr>
                <w:rFonts w:ascii="Calibri" w:hAnsi="Calibri"/>
                <w:b w:val="0"/>
                <w:i w:val="0"/>
                <w:color w:val="212121"/>
                <w:sz w:val="19"/>
              </w:rPr>
              <w:t>≥ 30-40 ng/mL (ideally higher)</w:t>
            </w:r>
          </w:p>
        </w:tc>
        <w:tc>
          <w:tcPr>
            <w:tcW w:type="dxa" w:w="1512"/>
            <w:vAlign w:val="top"/>
          </w:tcPr>
          <w:p>
            <w:pPr>
              <w:spacing w:after="40" w:before="0" w:line="259" w:lineRule="auto"/>
            </w:pPr>
            <w:r>
              <w:rPr>
                <w:rFonts w:ascii="Calibri" w:hAnsi="Calibri"/>
                <w:b w:val="0"/>
                <w:i w:val="0"/>
                <w:color w:val="212121"/>
                <w:sz w:val="19"/>
              </w:rPr>
              <w:t>&lt; 30 ng/mL (iron deficiency)</w:t>
            </w:r>
          </w:p>
        </w:tc>
        <w:tc>
          <w:tcPr>
            <w:tcW w:type="dxa" w:w="1468"/>
            <w:vAlign w:val="top"/>
          </w:tcPr>
          <w:p>
            <w:pPr>
              <w:spacing w:after="60" w:line="259" w:lineRule="auto"/>
            </w:pPr>
            <w:r>
              <w:rPr>
                <w:rFonts w:ascii="Calibri" w:hAnsi="Calibri"/>
                <w:b w:val="0"/>
                <w:i w:val="0"/>
                <w:color w:val="212121"/>
                <w:sz w:val="19"/>
              </w:rPr>
              <w:t>Low ferritin does not cause AGA but worsens FPHL; correct it</w:t>
            </w:r>
          </w:p>
          <w:p>
            <w:pPr>
              <w:spacing w:after="40" w:line="252" w:lineRule="auto"/>
            </w:pPr>
            <w:hyperlink r:id="rId9">
              <w:r>
                <w:rPr>
                  <w:rFonts w:ascii="Calibri" w:hAnsi="Calibri" w:cs="Calibri"/>
                  <w:sz w:val="18"/>
                  <w:color w:val="1155CC"/>
                  <w:u w:val="single"/>
                </w:rPr>
                <w:t xml:space="preserve">https://www.ncbi.nlm.nih.gov/books/NBK430924/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men and women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(dose-related)</w:t>
            </w:r>
          </w:p>
        </w:tc>
        <w:tc>
          <w:tcPr>
            <w:tcW w:type="dxa" w:w="1468"/>
            <w:vAlign w:val="top"/>
          </w:tcPr>
          <w:p>
            <w:pPr>
              <w:spacing w:after="60" w:line="259" w:lineRule="auto"/>
            </w:pPr>
            <w:r>
              <w:rPr>
                <w:rFonts w:ascii="Calibri" w:hAnsi="Calibri"/>
                <w:b w:val="0"/>
                <w:i w:val="0"/>
                <w:color w:val="212121"/>
                <w:sz w:val="19"/>
              </w:rPr>
              <w:t>Smoking is associated with earlier, more severe AGA</w:t>
            </w:r>
          </w:p>
          <w:p>
            <w:pPr>
              <w:spacing w:after="40" w:line="252" w:lineRule="auto"/>
            </w:pPr>
            <w:hyperlink r:id="rId13">
              <w:r>
                <w:rPr>
                  <w:rFonts w:ascii="Calibri" w:hAnsi="Calibri" w:cs="Calibri"/>
                  <w:sz w:val="18"/>
                  <w:color w:val="1155CC"/>
                  <w:u w:val="single"/>
                </w:rPr>
                <w:t xml:space="preserve">https://pubmed.ncbi.nlm.nih.gov/35531482/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Chronic sleep loss aggravates stress and metabolic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Psychological distress / self-esteem screen</w:t>
            </w:r>
          </w:p>
        </w:tc>
        <w:tc>
          <w:tcPr>
            <w:tcW w:type="dxa" w:w="1655"/>
            <w:vAlign w:val="top"/>
          </w:tcPr>
          <w:p>
            <w:pPr>
              <w:spacing w:after="40" w:before="0" w:line="259" w:lineRule="auto"/>
            </w:pPr>
            <w:r>
              <w:rPr>
                <w:rFonts w:ascii="Calibri" w:hAnsi="Calibri"/>
                <w:b w:val="0"/>
                <w:i w:val="0"/>
                <w:color w:val="212121"/>
                <w:sz w:val="19"/>
              </w:rPr>
              <w:t>Patients distressed by hair loss</w:t>
            </w:r>
          </w:p>
        </w:tc>
        <w:tc>
          <w:tcPr>
            <w:tcW w:type="dxa" w:w="1512"/>
            <w:vAlign w:val="top"/>
          </w:tcPr>
          <w:p>
            <w:pPr>
              <w:spacing w:after="40" w:before="0" w:line="259" w:lineRule="auto"/>
            </w:pPr>
            <w:r>
              <w:rPr>
                <w:rFonts w:ascii="Calibri" w:hAnsi="Calibri"/>
                <w:b w:val="0"/>
                <w:i w:val="0"/>
                <w:color w:val="212121"/>
                <w:sz w:val="19"/>
              </w:rPr>
              <w:t>No significant distress</w:t>
            </w:r>
          </w:p>
        </w:tc>
        <w:tc>
          <w:tcPr>
            <w:tcW w:type="dxa" w:w="1512"/>
            <w:vAlign w:val="top"/>
          </w:tcPr>
          <w:p>
            <w:pPr>
              <w:spacing w:after="40" w:before="0" w:line="259" w:lineRule="auto"/>
            </w:pPr>
            <w:r>
              <w:rPr>
                <w:rFonts w:ascii="Calibri" w:hAnsi="Calibri"/>
                <w:b w:val="0"/>
                <w:i w:val="0"/>
                <w:color w:val="212121"/>
                <w:sz w:val="19"/>
              </w:rPr>
              <w:t>Body-image distress, social anxiety, low mood</w:t>
            </w:r>
          </w:p>
        </w:tc>
        <w:tc>
          <w:tcPr>
            <w:tcW w:type="dxa" w:w="1468"/>
            <w:vAlign w:val="top"/>
          </w:tcPr>
          <w:p>
            <w:pPr>
              <w:spacing w:after="60" w:line="259" w:lineRule="auto"/>
            </w:pPr>
            <w:r>
              <w:rPr>
                <w:rFonts w:ascii="Calibri" w:hAnsi="Calibri"/>
                <w:b w:val="0"/>
                <w:i w:val="0"/>
                <w:color w:val="212121"/>
                <w:sz w:val="19"/>
              </w:rPr>
              <w:t>AGA has a substantial impact on self-esteem and quality of life</w:t>
            </w:r>
          </w:p>
          <w:p>
            <w:pPr>
              <w:spacing w:after="40" w:line="252" w:lineRule="auto"/>
            </w:pPr>
            <w:hyperlink r:id="rId9">
              <w:r>
                <w:rPr>
                  <w:rFonts w:ascii="Calibri" w:hAnsi="Calibri" w:cs="Calibri"/>
                  <w:sz w:val="18"/>
                  <w:color w:val="1155CC"/>
                  <w:u w:val="single"/>
                </w:rPr>
                <w:t xml:space="preserve">https://www.ncbi.nlm.nih.gov/books/NBK430924/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Signs of androgen excess (women)</w:t>
            </w:r>
          </w:p>
        </w:tc>
        <w:tc>
          <w:tcPr>
            <w:tcW w:type="dxa" w:w="1655"/>
            <w:vAlign w:val="top"/>
          </w:tcPr>
          <w:p>
            <w:pPr>
              <w:spacing w:after="40" w:before="0" w:line="259" w:lineRule="auto"/>
            </w:pPr>
            <w:r>
              <w:rPr>
                <w:rFonts w:ascii="Calibri" w:hAnsi="Calibri"/>
                <w:b w:val="0"/>
                <w:i w:val="0"/>
                <w:color w:val="212121"/>
                <w:sz w:val="19"/>
              </w:rPr>
              <w:t>Women with FPHL</w:t>
            </w:r>
          </w:p>
        </w:tc>
        <w:tc>
          <w:tcPr>
            <w:tcW w:type="dxa" w:w="1512"/>
            <w:vAlign w:val="top"/>
          </w:tcPr>
          <w:p>
            <w:pPr>
              <w:spacing w:after="40" w:before="0" w:line="259" w:lineRule="auto"/>
            </w:pPr>
            <w:r>
              <w:rPr>
                <w:rFonts w:ascii="Calibri" w:hAnsi="Calibri"/>
                <w:b w:val="0"/>
                <w:i w:val="0"/>
                <w:color w:val="212121"/>
                <w:sz w:val="19"/>
              </w:rPr>
              <w:t>No hirsutism / acne / menstrual irregularity</w:t>
            </w:r>
          </w:p>
        </w:tc>
        <w:tc>
          <w:tcPr>
            <w:tcW w:type="dxa" w:w="1512"/>
            <w:vAlign w:val="top"/>
          </w:tcPr>
          <w:p>
            <w:pPr>
              <w:spacing w:after="40" w:before="0" w:line="259" w:lineRule="auto"/>
            </w:pPr>
            <w:r>
              <w:rPr>
                <w:rFonts w:ascii="Calibri" w:hAnsi="Calibri"/>
                <w:b w:val="0"/>
                <w:i w:val="0"/>
                <w:color w:val="212121"/>
                <w:sz w:val="19"/>
              </w:rPr>
              <w:t>Hirsutism, acne, irregular menses (evaluate for PCOS)</w:t>
            </w:r>
          </w:p>
        </w:tc>
        <w:tc>
          <w:tcPr>
            <w:tcW w:type="dxa" w:w="1468"/>
            <w:vAlign w:val="top"/>
          </w:tcPr>
          <w:p>
            <w:pPr>
              <w:spacing w:after="60" w:line="259" w:lineRule="auto"/>
            </w:pPr>
            <w:r>
              <w:rPr>
                <w:rFonts w:ascii="Calibri" w:hAnsi="Calibri"/>
                <w:b w:val="0"/>
                <w:i w:val="0"/>
                <w:color w:val="212121"/>
                <w:sz w:val="19"/>
              </w:rPr>
              <w:t>Prompts hormonal work-up (testosterone, DHEAS, prolactin)</w:t>
            </w:r>
          </w:p>
          <w:p>
            <w:pPr>
              <w:spacing w:after="40" w:line="252" w:lineRule="auto"/>
            </w:pPr>
            <w:hyperlink r:id="rId9">
              <w:r>
                <w:rPr>
                  <w:rFonts w:ascii="Calibri" w:hAnsi="Calibri" w:cs="Calibri"/>
                  <w:sz w:val="18"/>
                  <w:color w:val="1155CC"/>
                  <w:u w:val="single"/>
                </w:rPr>
                <w:t xml:space="preserve">https://www.ncbi.nlm.nih.gov/books/NBK430924/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Exogenous androgen / anabolic steroid use</w:t>
            </w:r>
          </w:p>
        </w:tc>
        <w:tc>
          <w:tcPr>
            <w:tcW w:type="dxa" w:w="1655"/>
            <w:vAlign w:val="top"/>
          </w:tcPr>
          <w:p>
            <w:pPr>
              <w:spacing w:after="40" w:before="0" w:line="259" w:lineRule="auto"/>
            </w:pPr>
            <w:r>
              <w:rPr>
                <w:rFonts w:ascii="Calibri" w:hAnsi="Calibri"/>
                <w:b w:val="0"/>
                <w:i w:val="0"/>
                <w:color w:val="212121"/>
                <w:sz w:val="19"/>
              </w:rPr>
              <w:t>Bodybuilders, testosterone-therapy users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Anabolic-androgenic steroid or testosterone use</w:t>
            </w:r>
          </w:p>
        </w:tc>
        <w:tc>
          <w:tcPr>
            <w:tcW w:type="dxa" w:w="1468"/>
            <w:vAlign w:val="top"/>
          </w:tcPr>
          <w:p>
            <w:pPr>
              <w:spacing w:after="40" w:before="0" w:line="259" w:lineRule="auto"/>
            </w:pPr>
            <w:r>
              <w:rPr>
                <w:rFonts w:ascii="Calibri" w:hAnsi="Calibri"/>
                <w:b w:val="0"/>
                <w:i w:val="0"/>
                <w:color w:val="212121"/>
                <w:sz w:val="19"/>
              </w:rPr>
              <w:t>Can precipitate or accelerate patterned loss in susceptible individuals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Trichoscopy</w:t>
            </w:r>
          </w:p>
        </w:tc>
        <w:tc>
          <w:tcPr>
            <w:tcW w:type="dxa" w:w="1036"/>
            <w:vAlign w:val="top"/>
          </w:tcPr>
          <w:p>
            <w:pPr>
              <w:spacing w:after="40" w:before="0" w:line="259" w:lineRule="auto"/>
            </w:pPr>
            <w:r>
              <w:rPr>
                <w:rFonts w:ascii="Calibri" w:hAnsi="Calibri"/>
                <w:b w:val="0"/>
                <w:i w:val="0"/>
                <w:color w:val="212121"/>
                <w:sz w:val="16"/>
              </w:rPr>
              <w:t>Hair-shaft diameter diversity &amp; vellus hairs</w:t>
            </w:r>
          </w:p>
        </w:tc>
        <w:tc>
          <w:tcPr>
            <w:tcW w:type="dxa" w:w="892"/>
            <w:vAlign w:val="top"/>
          </w:tcPr>
          <w:p>
            <w:pPr>
              <w:spacing w:after="40" w:before="0" w:line="259" w:lineRule="auto"/>
            </w:pPr>
            <w:r>
              <w:rPr>
                <w:rFonts w:ascii="Calibri" w:hAnsi="Calibri"/>
                <w:b w:val="0"/>
                <w:i w:val="0"/>
                <w:color w:val="212121"/>
                <w:sz w:val="16"/>
              </w:rPr>
              <w:t>Dermoscopy of frontal vs occipital scalp</w:t>
            </w:r>
          </w:p>
        </w:tc>
        <w:tc>
          <w:tcPr>
            <w:tcW w:type="dxa" w:w="950"/>
            <w:vAlign w:val="top"/>
          </w:tcPr>
          <w:p>
            <w:pPr>
              <w:spacing w:after="40" w:before="0" w:line="259" w:lineRule="auto"/>
            </w:pPr>
            <w:r>
              <w:rPr>
                <w:rFonts w:ascii="Calibri" w:hAnsi="Calibri"/>
                <w:b w:val="0"/>
                <w:i w:val="0"/>
                <w:color w:val="212121"/>
                <w:sz w:val="16"/>
              </w:rPr>
              <w:t>Uniform shaft calibre; &lt; 20% variability</w:t>
            </w:r>
          </w:p>
        </w:tc>
        <w:tc>
          <w:tcPr>
            <w:tcW w:type="dxa" w:w="950"/>
            <w:vAlign w:val="top"/>
          </w:tcPr>
          <w:p>
            <w:pPr>
              <w:spacing w:after="40" w:before="0" w:line="259" w:lineRule="auto"/>
            </w:pPr>
            <w:r>
              <w:rPr>
                <w:rFonts w:ascii="Calibri" w:hAnsi="Calibri"/>
                <w:b w:val="0"/>
                <w:i w:val="0"/>
                <w:color w:val="212121"/>
                <w:sz w:val="16"/>
              </w:rPr>
              <w:t>Anisotrichosis &gt; 20%, increased vellus/miniaturised hairs, single-hair units, peripilar sign</w:t>
            </w:r>
          </w:p>
        </w:tc>
        <w:tc>
          <w:tcPr>
            <w:tcW w:type="dxa" w:w="1036"/>
            <w:vAlign w:val="top"/>
          </w:tcPr>
          <w:p>
            <w:pPr>
              <w:spacing w:after="40" w:before="0" w:line="259" w:lineRule="auto"/>
            </w:pPr>
            <w:r>
              <w:rPr>
                <w:rFonts w:ascii="Calibri" w:hAnsi="Calibri"/>
                <w:b w:val="0"/>
                <w:i w:val="0"/>
                <w:color w:val="212121"/>
                <w:sz w:val="16"/>
              </w:rPr>
              <w:t>Non-invasive confirmation of follicular miniaturisation and pattern</w:t>
            </w:r>
          </w:p>
        </w:tc>
        <w:tc>
          <w:tcPr>
            <w:tcW w:type="dxa" w:w="1036"/>
            <w:vAlign w:val="top"/>
          </w:tcPr>
          <w:p>
            <w:pPr>
              <w:spacing w:after="40" w:before="0" w:line="259" w:lineRule="auto"/>
            </w:pPr>
            <w:r>
              <w:rPr>
                <w:rFonts w:ascii="Calibri" w:hAnsi="Calibri"/>
                <w:b w:val="0"/>
                <w:i w:val="0"/>
                <w:color w:val="212121"/>
                <w:sz w:val="16"/>
              </w:rPr>
              <w:t>Men and women with patterned thinning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Frontal changes with an unaffected occiput are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test</w:t>
            </w:r>
          </w:p>
        </w:tc>
        <w:tc>
          <w:tcPr>
            <w:tcW w:type="dxa" w:w="1036"/>
            <w:vAlign w:val="top"/>
          </w:tcPr>
          <w:p>
            <w:pPr>
              <w:spacing w:after="40" w:before="0" w:line="259" w:lineRule="auto"/>
            </w:pPr>
            <w:r>
              <w:rPr>
                <w:rFonts w:ascii="Calibri" w:hAnsi="Calibri"/>
                <w:b w:val="0"/>
                <w:i w:val="0"/>
                <w:color w:val="212121"/>
                <w:sz w:val="16"/>
              </w:rPr>
              <w:t>Hair-pull test</w:t>
            </w:r>
          </w:p>
        </w:tc>
        <w:tc>
          <w:tcPr>
            <w:tcW w:type="dxa" w:w="892"/>
            <w:vAlign w:val="top"/>
          </w:tcPr>
          <w:p>
            <w:pPr>
              <w:spacing w:after="40" w:before="0" w:line="259" w:lineRule="auto"/>
            </w:pPr>
            <w:r>
              <w:rPr>
                <w:rFonts w:ascii="Calibri" w:hAnsi="Calibri"/>
                <w:b w:val="0"/>
                <w:i w:val="0"/>
                <w:color w:val="212121"/>
                <w:sz w:val="16"/>
              </w:rPr>
              <w:t>Gentle traction of ~60 hairs</w:t>
            </w:r>
          </w:p>
        </w:tc>
        <w:tc>
          <w:tcPr>
            <w:tcW w:type="dxa" w:w="950"/>
            <w:vAlign w:val="top"/>
          </w:tcPr>
          <w:p>
            <w:pPr>
              <w:spacing w:after="40" w:before="0" w:line="259" w:lineRule="auto"/>
            </w:pPr>
            <w:r>
              <w:rPr>
                <w:rFonts w:ascii="Calibri" w:hAnsi="Calibri"/>
                <w:b w:val="0"/>
                <w:i w:val="0"/>
                <w:color w:val="212121"/>
                <w:sz w:val="16"/>
              </w:rPr>
              <w:t>&lt; 10% (&lt; 6 hairs) extracted</w:t>
            </w:r>
          </w:p>
        </w:tc>
        <w:tc>
          <w:tcPr>
            <w:tcW w:type="dxa" w:w="950"/>
            <w:vAlign w:val="top"/>
          </w:tcPr>
          <w:p>
            <w:pPr>
              <w:spacing w:after="40" w:before="0" w:line="259" w:lineRule="auto"/>
            </w:pPr>
            <w:r>
              <w:rPr>
                <w:rFonts w:ascii="Calibri" w:hAnsi="Calibri"/>
                <w:b w:val="0"/>
                <w:i w:val="0"/>
                <w:color w:val="212121"/>
                <w:sz w:val="16"/>
              </w:rPr>
              <w:t>&gt; 10% suggests active shedding</w:t>
            </w:r>
          </w:p>
        </w:tc>
        <w:tc>
          <w:tcPr>
            <w:tcW w:type="dxa" w:w="1036"/>
            <w:vAlign w:val="top"/>
          </w:tcPr>
          <w:p>
            <w:pPr>
              <w:spacing w:after="40" w:before="0" w:line="259" w:lineRule="auto"/>
            </w:pPr>
            <w:r>
              <w:rPr>
                <w:rFonts w:ascii="Calibri" w:hAnsi="Calibri"/>
                <w:b w:val="0"/>
                <w:i w:val="0"/>
                <w:color w:val="212121"/>
                <w:sz w:val="16"/>
              </w:rPr>
              <w:t>Usually negative in AGA; positive points to superimposed telogen effluvium</w:t>
            </w:r>
          </w:p>
        </w:tc>
        <w:tc>
          <w:tcPr>
            <w:tcW w:type="dxa" w:w="1036"/>
            <w:vAlign w:val="top"/>
          </w:tcPr>
          <w:p>
            <w:pPr>
              <w:spacing w:after="40" w:before="0" w:line="259" w:lineRule="auto"/>
            </w:pPr>
            <w:r>
              <w:rPr>
                <w:rFonts w:ascii="Calibri" w:hAnsi="Calibri"/>
                <w:b w:val="0"/>
                <w:i w:val="0"/>
                <w:color w:val="212121"/>
                <w:sz w:val="16"/>
              </w:rPr>
              <w:t>All patients with hair loss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Bedside</w:t>
            </w:r>
          </w:p>
        </w:tc>
        <w:tc>
          <w:tcPr>
            <w:tcW w:type="dxa" w:w="720"/>
            <w:vAlign w:val="top"/>
          </w:tcPr>
          <w:p>
            <w:pPr>
              <w:spacing w:after="40" w:before="0" w:line="259" w:lineRule="auto"/>
            </w:pPr>
            <w:r>
              <w:rPr>
                <w:rFonts w:ascii="Calibri" w:hAnsi="Calibri"/>
                <w:b w:val="0"/>
                <w:i w:val="0"/>
                <w:color w:val="212121"/>
                <w:sz w:val="16"/>
              </w:rPr>
              <w:t>Ask patient not to wash hair for ~24 h before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iron</w:t>
            </w:r>
          </w:p>
        </w:tc>
        <w:tc>
          <w:tcPr>
            <w:tcW w:type="dxa" w:w="1036"/>
            <w:vAlign w:val="top"/>
          </w:tcPr>
          <w:p>
            <w:pPr>
              <w:spacing w:after="40" w:before="0" w:line="259" w:lineRule="auto"/>
            </w:pPr>
            <w:r>
              <w:rPr>
                <w:rFonts w:ascii="Calibri" w:hAnsi="Calibri"/>
                <w:b w:val="0"/>
                <w:i w:val="0"/>
                <w:color w:val="212121"/>
                <w:sz w:val="16"/>
              </w:rPr>
              <w:t>Serum ferritin, iron studies, CBC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Ferritin ≥ 30 ng/mL</w:t>
            </w:r>
          </w:p>
        </w:tc>
        <w:tc>
          <w:tcPr>
            <w:tcW w:type="dxa" w:w="950"/>
            <w:vAlign w:val="top"/>
          </w:tcPr>
          <w:p>
            <w:pPr>
              <w:spacing w:after="40" w:before="0" w:line="259" w:lineRule="auto"/>
            </w:pPr>
            <w:r>
              <w:rPr>
                <w:rFonts w:ascii="Calibri" w:hAnsi="Calibri"/>
                <w:b w:val="0"/>
                <w:i w:val="0"/>
                <w:color w:val="212121"/>
                <w:sz w:val="16"/>
              </w:rPr>
              <w:t>Low ferritin / iron deficiency anaemia</w:t>
            </w:r>
          </w:p>
        </w:tc>
        <w:tc>
          <w:tcPr>
            <w:tcW w:type="dxa" w:w="1036"/>
            <w:vAlign w:val="top"/>
          </w:tcPr>
          <w:p>
            <w:pPr>
              <w:spacing w:after="40" w:before="0" w:line="259" w:lineRule="auto"/>
            </w:pPr>
            <w:r>
              <w:rPr>
                <w:rFonts w:ascii="Calibri" w:hAnsi="Calibri"/>
                <w:b w:val="0"/>
                <w:i w:val="0"/>
                <w:color w:val="212121"/>
                <w:sz w:val="16"/>
              </w:rPr>
              <w:t>Excludes a contributory iron-deficiency component, especially in women</w:t>
            </w:r>
          </w:p>
        </w:tc>
        <w:tc>
          <w:tcPr>
            <w:tcW w:type="dxa" w:w="1036"/>
            <w:vAlign w:val="top"/>
          </w:tcPr>
          <w:p>
            <w:pPr>
              <w:spacing w:after="40" w:before="0" w:line="259" w:lineRule="auto"/>
            </w:pPr>
            <w:r>
              <w:rPr>
                <w:rFonts w:ascii="Calibri" w:hAnsi="Calibri"/>
                <w:b w:val="0"/>
                <w:i w:val="0"/>
                <w:color w:val="212121"/>
                <w:sz w:val="16"/>
              </w:rPr>
              <w:t>Women with FPHL, diffuse thinning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Correct deficiency to optimise regrowth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or suppressed TSH</w:t>
            </w:r>
          </w:p>
        </w:tc>
        <w:tc>
          <w:tcPr>
            <w:tcW w:type="dxa" w:w="1036"/>
            <w:vAlign w:val="top"/>
          </w:tcPr>
          <w:p>
            <w:pPr>
              <w:spacing w:after="40" w:before="0" w:line="259" w:lineRule="auto"/>
            </w:pPr>
            <w:r>
              <w:rPr>
                <w:rFonts w:ascii="Calibri" w:hAnsi="Calibri"/>
                <w:b w:val="0"/>
                <w:i w:val="0"/>
                <w:color w:val="212121"/>
                <w:sz w:val="16"/>
              </w:rPr>
              <w:t>Excludes thyroid dysfunction as a cause of diffuse hair loss</w:t>
            </w:r>
          </w:p>
        </w:tc>
        <w:tc>
          <w:tcPr>
            <w:tcW w:type="dxa" w:w="1036"/>
            <w:vAlign w:val="top"/>
          </w:tcPr>
          <w:p>
            <w:pPr>
              <w:spacing w:after="40" w:before="0" w:line="259" w:lineRule="auto"/>
            </w:pPr>
            <w:r>
              <w:rPr>
                <w:rFonts w:ascii="Calibri" w:hAnsi="Calibri"/>
                <w:b w:val="0"/>
                <w:i w:val="0"/>
                <w:color w:val="212121"/>
                <w:sz w:val="16"/>
              </w:rPr>
              <w:t>Women, diffuse or atypical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Routine in the FPHL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 (androgens)</w:t>
            </w:r>
          </w:p>
        </w:tc>
        <w:tc>
          <w:tcPr>
            <w:tcW w:type="dxa" w:w="1036"/>
            <w:vAlign w:val="top"/>
          </w:tcPr>
          <w:p>
            <w:pPr>
              <w:spacing w:after="40" w:before="0" w:line="259" w:lineRule="auto"/>
            </w:pPr>
            <w:r>
              <w:rPr>
                <w:rFonts w:ascii="Calibri" w:hAnsi="Calibri"/>
                <w:b w:val="0"/>
                <w:i w:val="0"/>
                <w:color w:val="212121"/>
                <w:sz w:val="16"/>
              </w:rPr>
              <w:t>Total/free testosterone, DHEAS, prolactin, LH/FSH</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Age/sex-appropriate range</w:t>
            </w:r>
          </w:p>
        </w:tc>
        <w:tc>
          <w:tcPr>
            <w:tcW w:type="dxa" w:w="950"/>
            <w:vAlign w:val="top"/>
          </w:tcPr>
          <w:p>
            <w:pPr>
              <w:spacing w:after="40" w:before="0" w:line="259" w:lineRule="auto"/>
            </w:pPr>
            <w:r>
              <w:rPr>
                <w:rFonts w:ascii="Calibri" w:hAnsi="Calibri"/>
                <w:b w:val="0"/>
                <w:i w:val="0"/>
                <w:color w:val="212121"/>
                <w:sz w:val="16"/>
              </w:rPr>
              <w:t>Raised androgens / altered LH:FSH</w:t>
            </w:r>
          </w:p>
        </w:tc>
        <w:tc>
          <w:tcPr>
            <w:tcW w:type="dxa" w:w="1036"/>
            <w:vAlign w:val="top"/>
          </w:tcPr>
          <w:p>
            <w:pPr>
              <w:spacing w:after="40" w:before="0" w:line="259" w:lineRule="auto"/>
            </w:pPr>
            <w:r>
              <w:rPr>
                <w:rFonts w:ascii="Calibri" w:hAnsi="Calibri"/>
                <w:b w:val="0"/>
                <w:i w:val="0"/>
                <w:color w:val="212121"/>
                <w:sz w:val="16"/>
              </w:rPr>
              <w:t>Identifies hyperandrogenism / PCOS in women with signs of androgen excess</w:t>
            </w:r>
          </w:p>
        </w:tc>
        <w:tc>
          <w:tcPr>
            <w:tcW w:type="dxa" w:w="1036"/>
            <w:vAlign w:val="top"/>
          </w:tcPr>
          <w:p>
            <w:pPr>
              <w:spacing w:after="40" w:before="0" w:line="259" w:lineRule="auto"/>
            </w:pPr>
            <w:r>
              <w:rPr>
                <w:rFonts w:ascii="Calibri" w:hAnsi="Calibri"/>
                <w:b w:val="0"/>
                <w:i w:val="0"/>
                <w:color w:val="212121"/>
                <w:sz w:val="16"/>
              </w:rPr>
              <w:t>Women with hirsutism, acne, irregular menses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only when hyperandrogenism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 screen</w:t>
            </w:r>
          </w:p>
        </w:tc>
        <w:tc>
          <w:tcPr>
            <w:tcW w:type="dxa" w:w="1036"/>
            <w:vAlign w:val="top"/>
          </w:tcPr>
          <w:p>
            <w:pPr>
              <w:spacing w:after="40" w:before="0" w:line="259" w:lineRule="auto"/>
            </w:pPr>
            <w:r>
              <w:rPr>
                <w:rFonts w:ascii="Calibri" w:hAnsi="Calibri"/>
                <w:b w:val="0"/>
                <w:i w:val="0"/>
                <w:color w:val="212121"/>
                <w:sz w:val="16"/>
              </w:rPr>
              <w:t>Fasting glucose, lipid profile, insulin / HOMA-IR, BP, waist</w:t>
            </w:r>
          </w:p>
        </w:tc>
        <w:tc>
          <w:tcPr>
            <w:tcW w:type="dxa" w:w="892"/>
            <w:vAlign w:val="top"/>
          </w:tcPr>
          <w:p>
            <w:pPr>
              <w:spacing w:after="40" w:before="0" w:line="259" w:lineRule="auto"/>
            </w:pPr>
            <w:r>
              <w:rPr>
                <w:rFonts w:ascii="Calibri" w:hAnsi="Calibri"/>
                <w:b w:val="0"/>
                <w:i w:val="0"/>
                <w:color w:val="212121"/>
                <w:sz w:val="16"/>
              </w:rPr>
              <w:t>Blood test &amp; measurement</w:t>
            </w:r>
          </w:p>
        </w:tc>
        <w:tc>
          <w:tcPr>
            <w:tcW w:type="dxa" w:w="950"/>
            <w:vAlign w:val="top"/>
          </w:tcPr>
          <w:p>
            <w:pPr>
              <w:spacing w:after="40" w:before="0" w:line="259" w:lineRule="auto"/>
            </w:pPr>
            <w:r>
              <w:rPr>
                <w:rFonts w:ascii="Calibri" w:hAnsi="Calibri"/>
                <w:b w:val="0"/>
                <w:i w:val="0"/>
                <w:color w:val="212121"/>
                <w:sz w:val="16"/>
              </w:rPr>
              <w:t>Within metabolic-syndrome cut-offs</w:t>
            </w:r>
          </w:p>
        </w:tc>
        <w:tc>
          <w:tcPr>
            <w:tcW w:type="dxa" w:w="950"/>
            <w:vAlign w:val="top"/>
          </w:tcPr>
          <w:p>
            <w:pPr>
              <w:spacing w:after="40" w:before="0" w:line="259" w:lineRule="auto"/>
            </w:pPr>
            <w:r>
              <w:rPr>
                <w:rFonts w:ascii="Calibri" w:hAnsi="Calibri"/>
                <w:b w:val="0"/>
                <w:i w:val="0"/>
                <w:color w:val="212121"/>
                <w:sz w:val="16"/>
              </w:rPr>
              <w:t>Meets metabolic-syndrome / insulin-resistance criteria</w:t>
            </w:r>
          </w:p>
        </w:tc>
        <w:tc>
          <w:tcPr>
            <w:tcW w:type="dxa" w:w="1036"/>
            <w:vAlign w:val="top"/>
          </w:tcPr>
          <w:p>
            <w:pPr>
              <w:spacing w:after="40" w:before="0" w:line="259" w:lineRule="auto"/>
            </w:pPr>
            <w:r>
              <w:rPr>
                <w:rFonts w:ascii="Calibri" w:hAnsi="Calibri"/>
                <w:b w:val="0"/>
                <w:i w:val="0"/>
                <w:color w:val="212121"/>
                <w:sz w:val="16"/>
              </w:rPr>
              <w:t>Detects the cardiometabolic risk associated with early-onset AGA</w:t>
            </w:r>
          </w:p>
        </w:tc>
        <w:tc>
          <w:tcPr>
            <w:tcW w:type="dxa" w:w="1036"/>
            <w:vAlign w:val="top"/>
          </w:tcPr>
          <w:p>
            <w:pPr>
              <w:spacing w:after="40" w:before="0" w:line="259" w:lineRule="auto"/>
            </w:pPr>
            <w:r>
              <w:rPr>
                <w:rFonts w:ascii="Calibri" w:hAnsi="Calibri"/>
                <w:b w:val="0"/>
                <w:i w:val="0"/>
                <w:color w:val="212121"/>
                <w:sz w:val="16"/>
              </w:rPr>
              <w:t>Men with early-onset AGA</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Metabolic syndrome 22.4% vs 9.4% in an Indian AGA cohort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Terminal-to-vellus hair ratio</w:t>
            </w:r>
          </w:p>
        </w:tc>
        <w:tc>
          <w:tcPr>
            <w:tcW w:type="dxa" w:w="892"/>
            <w:vAlign w:val="top"/>
          </w:tcPr>
          <w:p>
            <w:pPr>
              <w:spacing w:after="40" w:before="0" w:line="259" w:lineRule="auto"/>
            </w:pPr>
            <w:r>
              <w:rPr>
                <w:rFonts w:ascii="Calibri" w:hAnsi="Calibri"/>
                <w:b w:val="0"/>
                <w:i w:val="0"/>
                <w:color w:val="212121"/>
                <w:sz w:val="16"/>
              </w:rPr>
              <w:t>Scalp punch biopsy (horizontal sections)</w:t>
            </w:r>
          </w:p>
        </w:tc>
        <w:tc>
          <w:tcPr>
            <w:tcW w:type="dxa" w:w="950"/>
            <w:vAlign w:val="top"/>
          </w:tcPr>
          <w:p>
            <w:pPr>
              <w:spacing w:after="40" w:before="0" w:line="259" w:lineRule="auto"/>
            </w:pPr>
            <w:r>
              <w:rPr>
                <w:rFonts w:ascii="Calibri" w:hAnsi="Calibri"/>
                <w:b w:val="0"/>
                <w:i w:val="0"/>
                <w:color w:val="212121"/>
                <w:sz w:val="16"/>
              </w:rPr>
              <w:t>Terminal:vellus &gt; 4:1</w:t>
            </w:r>
          </w:p>
        </w:tc>
        <w:tc>
          <w:tcPr>
            <w:tcW w:type="dxa" w:w="950"/>
            <w:vAlign w:val="top"/>
          </w:tcPr>
          <w:p>
            <w:pPr>
              <w:spacing w:after="40" w:before="0" w:line="259" w:lineRule="auto"/>
            </w:pPr>
            <w:r>
              <w:rPr>
                <w:rFonts w:ascii="Calibri" w:hAnsi="Calibri"/>
                <w:b w:val="0"/>
                <w:i w:val="0"/>
                <w:color w:val="212121"/>
                <w:sz w:val="16"/>
              </w:rPr>
              <w:t>Ratio reduced (&lt; 4:1) with miniaturisation</w:t>
            </w:r>
          </w:p>
        </w:tc>
        <w:tc>
          <w:tcPr>
            <w:tcW w:type="dxa" w:w="1036"/>
            <w:vAlign w:val="top"/>
          </w:tcPr>
          <w:p>
            <w:pPr>
              <w:spacing w:after="40" w:before="0" w:line="259" w:lineRule="auto"/>
            </w:pPr>
            <w:r>
              <w:rPr>
                <w:rFonts w:ascii="Calibri" w:hAnsi="Calibri"/>
                <w:b w:val="0"/>
                <w:i w:val="0"/>
                <w:color w:val="212121"/>
                <w:sz w:val="16"/>
              </w:rPr>
              <w:t>Confirms AGA and helps exclude scarring alopecia in atypical cases</w:t>
            </w:r>
          </w:p>
        </w:tc>
        <w:tc>
          <w:tcPr>
            <w:tcW w:type="dxa" w:w="1036"/>
            <w:vAlign w:val="top"/>
          </w:tcPr>
          <w:p>
            <w:pPr>
              <w:spacing w:after="40" w:before="0" w:line="259" w:lineRule="auto"/>
            </w:pPr>
            <w:r>
              <w:rPr>
                <w:rFonts w:ascii="Calibri" w:hAnsi="Calibri"/>
                <w:b w:val="0"/>
                <w:i w:val="0"/>
                <w:color w:val="212121"/>
                <w:sz w:val="16"/>
              </w:rPr>
              <w:t>Diagnostically uncertain / atypical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Rarely</w:t>
            </w:r>
          </w:p>
        </w:tc>
        <w:tc>
          <w:tcPr>
            <w:tcW w:type="dxa" w:w="720"/>
            <w:vAlign w:val="top"/>
          </w:tcPr>
          <w:p>
            <w:pPr>
              <w:spacing w:after="40" w:before="0" w:line="259" w:lineRule="auto"/>
            </w:pPr>
            <w:r>
              <w:rPr>
                <w:rFonts w:ascii="Calibri" w:hAnsi="Calibri"/>
                <w:b w:val="0"/>
                <w:i w:val="0"/>
                <w:color w:val="212121"/>
                <w:sz w:val="16"/>
              </w:rPr>
              <w:t>Not required for typical presentations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progression</w:t>
            </w:r>
          </w:p>
        </w:tc>
        <w:tc>
          <w:tcPr>
            <w:tcW w:type="dxa" w:w="979"/>
            <w:vAlign w:val="top"/>
          </w:tcPr>
          <w:p>
            <w:pPr>
              <w:spacing w:after="40" w:before="0" w:line="259" w:lineRule="auto"/>
            </w:pPr>
            <w:r>
              <w:rPr>
                <w:rFonts w:ascii="Calibri" w:hAnsi="Calibri"/>
                <w:b w:val="0"/>
                <w:i w:val="0"/>
                <w:color w:val="212121"/>
                <w:sz w:val="16"/>
              </w:rPr>
              <w:t>Gradual patterned thinning / recession</w:t>
            </w:r>
          </w:p>
        </w:tc>
        <w:tc>
          <w:tcPr>
            <w:tcW w:type="dxa" w:w="950"/>
            <w:vAlign w:val="top"/>
          </w:tcPr>
          <w:p>
            <w:pPr>
              <w:spacing w:after="40" w:before="0" w:line="259" w:lineRule="auto"/>
            </w:pPr>
            <w:r>
              <w:rPr>
                <w:rFonts w:ascii="Calibri" w:hAnsi="Calibri"/>
                <w:b w:val="0"/>
                <w:i w:val="0"/>
                <w:color w:val="212121"/>
                <w:sz w:val="16"/>
              </w:rPr>
              <w:t>Stable, full hair</w:t>
            </w:r>
          </w:p>
        </w:tc>
        <w:tc>
          <w:tcPr>
            <w:tcW w:type="dxa" w:w="950"/>
            <w:vAlign w:val="top"/>
          </w:tcPr>
          <w:p>
            <w:pPr>
              <w:spacing w:after="40" w:before="0" w:line="259" w:lineRule="auto"/>
            </w:pPr>
            <w:r>
              <w:rPr>
                <w:rFonts w:ascii="Calibri" w:hAnsi="Calibri"/>
                <w:b w:val="0"/>
                <w:i w:val="0"/>
                <w:color w:val="212121"/>
                <w:sz w:val="16"/>
              </w:rPr>
              <w:t>Slow progressive patterned loss after puberty</w:t>
            </w:r>
          </w:p>
        </w:tc>
        <w:tc>
          <w:tcPr>
            <w:tcW w:type="dxa" w:w="1036"/>
            <w:vAlign w:val="top"/>
          </w:tcPr>
          <w:p>
            <w:pPr>
              <w:spacing w:after="40" w:before="0" w:line="259" w:lineRule="auto"/>
            </w:pPr>
            <w:r>
              <w:rPr>
                <w:rFonts w:ascii="Calibri" w:hAnsi="Calibri"/>
                <w:b w:val="0"/>
                <w:i w:val="0"/>
                <w:color w:val="212121"/>
                <w:sz w:val="16"/>
              </w:rPr>
              <w:t>Chronic, non-episodic course typical of AGA</w:t>
            </w:r>
          </w:p>
        </w:tc>
        <w:tc>
          <w:tcPr>
            <w:tcW w:type="dxa" w:w="1036"/>
            <w:vAlign w:val="top"/>
          </w:tcPr>
          <w:p>
            <w:pPr>
              <w:spacing w:after="40" w:before="0" w:line="259" w:lineRule="auto"/>
            </w:pPr>
            <w:r>
              <w:rPr>
                <w:rFonts w:ascii="Calibri" w:hAnsi="Calibri"/>
                <w:b w:val="0"/>
                <w:i w:val="0"/>
                <w:color w:val="212121"/>
                <w:sz w:val="16"/>
              </w:rPr>
              <w:t>Men and women with hair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from sudden diffuse shedding of telogen effluvium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Patterned baldness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(esp. balding father)</w:t>
            </w:r>
          </w:p>
        </w:tc>
        <w:tc>
          <w:tcPr>
            <w:tcW w:type="dxa" w:w="1036"/>
            <w:vAlign w:val="top"/>
          </w:tcPr>
          <w:p>
            <w:pPr>
              <w:spacing w:after="40" w:before="0" w:line="259" w:lineRule="auto"/>
            </w:pPr>
            <w:r>
              <w:rPr>
                <w:rFonts w:ascii="Calibri" w:hAnsi="Calibri"/>
                <w:b w:val="0"/>
                <w:i w:val="0"/>
                <w:color w:val="212121"/>
                <w:sz w:val="16"/>
              </w:rPr>
              <w:t>Supports a genetic androgenetic basis</w:t>
            </w:r>
          </w:p>
        </w:tc>
        <w:tc>
          <w:tcPr>
            <w:tcW w:type="dxa" w:w="1036"/>
            <w:vAlign w:val="top"/>
          </w:tcPr>
          <w:p>
            <w:pPr>
              <w:spacing w:after="40" w:before="0" w:line="259" w:lineRule="auto"/>
            </w:pPr>
            <w:r>
              <w:rPr>
                <w:rFonts w:ascii="Calibri" w:hAnsi="Calibri"/>
                <w:b w:val="0"/>
                <w:i w:val="0"/>
                <w:color w:val="212121"/>
                <w:sz w:val="16"/>
              </w:rPr>
              <w:t>Early-onset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Sons of balding fathers carry 5-6x relative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Age of onset &amp; drug/hormone history</w:t>
            </w:r>
          </w:p>
        </w:tc>
        <w:tc>
          <w:tcPr>
            <w:tcW w:type="dxa" w:w="979"/>
            <w:vAlign w:val="top"/>
          </w:tcPr>
          <w:p>
            <w:pPr>
              <w:spacing w:after="40" w:before="0" w:line="259" w:lineRule="auto"/>
            </w:pPr>
            <w:r>
              <w:rPr>
                <w:rFonts w:ascii="Calibri" w:hAnsi="Calibri"/>
                <w:b w:val="0"/>
                <w:i w:val="0"/>
                <w:color w:val="212121"/>
                <w:sz w:val="16"/>
              </w:rPr>
              <w:t>Onset age; anabolic steroids / testosterone; menstrual &amp; PCOS history</w:t>
            </w:r>
          </w:p>
        </w:tc>
        <w:tc>
          <w:tcPr>
            <w:tcW w:type="dxa" w:w="950"/>
            <w:vAlign w:val="top"/>
          </w:tcPr>
          <w:p>
            <w:pPr>
              <w:spacing w:after="40" w:before="0" w:line="259" w:lineRule="auto"/>
            </w:pPr>
            <w:r>
              <w:rPr>
                <w:rFonts w:ascii="Calibri" w:hAnsi="Calibri"/>
                <w:b w:val="0"/>
                <w:i w:val="0"/>
                <w:color w:val="212121"/>
                <w:sz w:val="16"/>
              </w:rPr>
              <w:t>Late onset, no androgen exposure</w:t>
            </w:r>
          </w:p>
        </w:tc>
        <w:tc>
          <w:tcPr>
            <w:tcW w:type="dxa" w:w="950"/>
            <w:vAlign w:val="top"/>
          </w:tcPr>
          <w:p>
            <w:pPr>
              <w:spacing w:after="40" w:before="0" w:line="259" w:lineRule="auto"/>
            </w:pPr>
            <w:r>
              <w:rPr>
                <w:rFonts w:ascii="Calibri" w:hAnsi="Calibri"/>
                <w:b w:val="0"/>
                <w:i w:val="0"/>
                <w:color w:val="212121"/>
                <w:sz w:val="16"/>
              </w:rPr>
              <w:t>Onset &lt; 30 y; exogenous androgens; menstrual irregularity</w:t>
            </w:r>
          </w:p>
        </w:tc>
        <w:tc>
          <w:tcPr>
            <w:tcW w:type="dxa" w:w="1036"/>
            <w:vAlign w:val="top"/>
          </w:tcPr>
          <w:p>
            <w:pPr>
              <w:spacing w:after="40" w:before="0" w:line="259" w:lineRule="auto"/>
            </w:pPr>
            <w:r>
              <w:rPr>
                <w:rFonts w:ascii="Calibri" w:hAnsi="Calibri"/>
                <w:b w:val="0"/>
                <w:i w:val="0"/>
                <w:color w:val="212121"/>
                <w:sz w:val="16"/>
              </w:rPr>
              <w:t>Flags early-onset (metabolic-risk) disease and secondary androgen drivers</w:t>
            </w:r>
          </w:p>
        </w:tc>
        <w:tc>
          <w:tcPr>
            <w:tcW w:type="dxa" w:w="1036"/>
            <w:vAlign w:val="top"/>
          </w:tcPr>
          <w:p>
            <w:pPr>
              <w:spacing w:after="40" w:before="0" w:line="259" w:lineRule="auto"/>
            </w:pPr>
            <w:r>
              <w:rPr>
                <w:rFonts w:ascii="Calibri" w:hAnsi="Calibri"/>
                <w:b w:val="0"/>
                <w:i w:val="0"/>
                <w:color w:val="212121"/>
                <w:sz w:val="16"/>
              </w:rPr>
              <w:t>Young men; women with androgen excess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Early-onset AGA warrants metabolic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 &amp; grading</w:t>
            </w:r>
          </w:p>
        </w:tc>
        <w:tc>
          <w:tcPr>
            <w:tcW w:type="dxa" w:w="950"/>
            <w:vAlign w:val="top"/>
          </w:tcPr>
          <w:p>
            <w:pPr>
              <w:spacing w:after="40" w:before="0" w:line="259" w:lineRule="auto"/>
            </w:pPr>
            <w:r>
              <w:rPr>
                <w:rFonts w:ascii="Calibri" w:hAnsi="Calibri"/>
                <w:b w:val="0"/>
                <w:i w:val="0"/>
                <w:color w:val="212121"/>
                <w:sz w:val="16"/>
              </w:rPr>
              <w:t>Pattern grading</w:t>
            </w:r>
          </w:p>
        </w:tc>
        <w:tc>
          <w:tcPr>
            <w:tcW w:type="dxa" w:w="979"/>
            <w:vAlign w:val="top"/>
          </w:tcPr>
          <w:p>
            <w:pPr>
              <w:spacing w:after="40" w:before="0" w:line="259" w:lineRule="auto"/>
            </w:pPr>
            <w:r>
              <w:rPr>
                <w:rFonts w:ascii="Calibri" w:hAnsi="Calibri"/>
                <w:b w:val="0"/>
                <w:i w:val="0"/>
                <w:color w:val="212121"/>
                <w:sz w:val="16"/>
              </w:rPr>
              <w:t>Hamilton-Norwood (men) / Ludwig-Sinclair (women)</w:t>
            </w:r>
          </w:p>
        </w:tc>
        <w:tc>
          <w:tcPr>
            <w:tcW w:type="dxa" w:w="950"/>
            <w:vAlign w:val="top"/>
          </w:tcPr>
          <w:p>
            <w:pPr>
              <w:spacing w:after="40" w:before="0" w:line="259" w:lineRule="auto"/>
            </w:pPr>
            <w:r>
              <w:rPr>
                <w:rFonts w:ascii="Calibri" w:hAnsi="Calibri"/>
                <w:b w:val="0"/>
                <w:i w:val="0"/>
                <w:color w:val="212121"/>
                <w:sz w:val="16"/>
              </w:rPr>
              <w:t>Norwood I / Ludwig 0</w:t>
            </w:r>
          </w:p>
        </w:tc>
        <w:tc>
          <w:tcPr>
            <w:tcW w:type="dxa" w:w="950"/>
            <w:vAlign w:val="top"/>
          </w:tcPr>
          <w:p>
            <w:pPr>
              <w:spacing w:after="40" w:before="0" w:line="259" w:lineRule="auto"/>
            </w:pPr>
            <w:r>
              <w:rPr>
                <w:rFonts w:ascii="Calibri" w:hAnsi="Calibri"/>
                <w:b w:val="0"/>
                <w:i w:val="0"/>
                <w:color w:val="212121"/>
                <w:sz w:val="16"/>
              </w:rPr>
              <w:t>Higher grade with vertex or central thinning</w:t>
            </w:r>
          </w:p>
        </w:tc>
        <w:tc>
          <w:tcPr>
            <w:tcW w:type="dxa" w:w="1036"/>
            <w:vAlign w:val="top"/>
          </w:tcPr>
          <w:p>
            <w:pPr>
              <w:spacing w:after="40" w:before="0" w:line="259" w:lineRule="auto"/>
            </w:pPr>
            <w:r>
              <w:rPr>
                <w:rFonts w:ascii="Calibri" w:hAnsi="Calibri"/>
                <w:b w:val="0"/>
                <w:i w:val="0"/>
                <w:color w:val="212121"/>
                <w:sz w:val="16"/>
              </w:rPr>
              <w:t>Defines severity and monitors treatment response</w:t>
            </w:r>
          </w:p>
        </w:tc>
        <w:tc>
          <w:tcPr>
            <w:tcW w:type="dxa" w:w="1036"/>
            <w:vAlign w:val="top"/>
          </w:tcPr>
          <w:p>
            <w:pPr>
              <w:spacing w:after="40" w:before="0" w:line="259" w:lineRule="auto"/>
            </w:pPr>
            <w:r>
              <w:rPr>
                <w:rFonts w:ascii="Calibri" w:hAnsi="Calibri"/>
                <w:b w:val="0"/>
                <w:i w:val="0"/>
                <w:color w:val="212121"/>
                <w:sz w:val="16"/>
              </w:rPr>
              <w:t>All AGA patients at baseline and follow-up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Standardised photographs aid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Scalp &amp; follicle assessment</w:t>
            </w:r>
          </w:p>
        </w:tc>
        <w:tc>
          <w:tcPr>
            <w:tcW w:type="dxa" w:w="979"/>
            <w:vAlign w:val="top"/>
          </w:tcPr>
          <w:p>
            <w:pPr>
              <w:spacing w:after="40" w:before="0" w:line="259" w:lineRule="auto"/>
            </w:pPr>
            <w:r>
              <w:rPr>
                <w:rFonts w:ascii="Calibri" w:hAnsi="Calibri"/>
                <w:b w:val="0"/>
                <w:i w:val="0"/>
                <w:color w:val="212121"/>
                <w:sz w:val="16"/>
              </w:rPr>
              <w:t>Non-scarring pattern with preserved ostia</w:t>
            </w:r>
          </w:p>
        </w:tc>
        <w:tc>
          <w:tcPr>
            <w:tcW w:type="dxa" w:w="950"/>
            <w:vAlign w:val="top"/>
          </w:tcPr>
          <w:p>
            <w:pPr>
              <w:spacing w:after="40" w:before="0" w:line="259" w:lineRule="auto"/>
            </w:pPr>
            <w:r>
              <w:rPr>
                <w:rFonts w:ascii="Calibri" w:hAnsi="Calibri"/>
                <w:b w:val="0"/>
                <w:i w:val="0"/>
                <w:color w:val="212121"/>
                <w:sz w:val="16"/>
              </w:rPr>
              <w:t>Normal density, no visible scalp</w:t>
            </w:r>
          </w:p>
        </w:tc>
        <w:tc>
          <w:tcPr>
            <w:tcW w:type="dxa" w:w="950"/>
            <w:vAlign w:val="top"/>
          </w:tcPr>
          <w:p>
            <w:pPr>
              <w:spacing w:after="40" w:before="0" w:line="259" w:lineRule="auto"/>
            </w:pPr>
            <w:r>
              <w:rPr>
                <w:rFonts w:ascii="Calibri" w:hAnsi="Calibri"/>
                <w:b w:val="0"/>
                <w:i w:val="0"/>
                <w:color w:val="212121"/>
                <w:sz w:val="16"/>
              </w:rPr>
              <w:t>Visible scalp, miniaturised hairs, intact follicular openings, no scarring</w:t>
            </w:r>
          </w:p>
        </w:tc>
        <w:tc>
          <w:tcPr>
            <w:tcW w:type="dxa" w:w="1036"/>
            <w:vAlign w:val="top"/>
          </w:tcPr>
          <w:p>
            <w:pPr>
              <w:spacing w:after="40" w:before="0" w:line="259" w:lineRule="auto"/>
            </w:pPr>
            <w:r>
              <w:rPr>
                <w:rFonts w:ascii="Calibri" w:hAnsi="Calibri"/>
                <w:b w:val="0"/>
                <w:i w:val="0"/>
                <w:color w:val="212121"/>
                <w:sz w:val="16"/>
              </w:rPr>
              <w:t>Confirms non-scarring patterned alopecia and excludes cicatricial causes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Frontal hairline preserved in most women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Signs of hyperandrogenism / metabolic risk</w:t>
            </w:r>
          </w:p>
        </w:tc>
        <w:tc>
          <w:tcPr>
            <w:tcW w:type="dxa" w:w="979"/>
            <w:vAlign w:val="top"/>
          </w:tcPr>
          <w:p>
            <w:pPr>
              <w:spacing w:after="40" w:before="0" w:line="259" w:lineRule="auto"/>
            </w:pPr>
            <w:r>
              <w:rPr>
                <w:rFonts w:ascii="Calibri" w:hAnsi="Calibri"/>
                <w:b w:val="0"/>
                <w:i w:val="0"/>
                <w:color w:val="212121"/>
                <w:sz w:val="16"/>
              </w:rPr>
              <w:t>Hirsutism, acne, acanthosis nigricans, central obesity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Points to PCOS / insulin resistance underlying or accompanying AGA</w:t>
            </w:r>
          </w:p>
        </w:tc>
        <w:tc>
          <w:tcPr>
            <w:tcW w:type="dxa" w:w="1036"/>
            <w:vAlign w:val="top"/>
          </w:tcPr>
          <w:p>
            <w:pPr>
              <w:spacing w:after="40" w:before="0" w:line="259" w:lineRule="auto"/>
            </w:pPr>
            <w:r>
              <w:rPr>
                <w:rFonts w:ascii="Calibri" w:hAnsi="Calibri"/>
                <w:b w:val="0"/>
                <w:i w:val="0"/>
                <w:color w:val="212121"/>
                <w:sz w:val="16"/>
              </w:rPr>
              <w:t>Women with FPHL; men with early-onset AGA</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Prompts hormonal and metabolic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Gradual thinning of scalp hair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 progressive reduction in hair density in a patterned distribution after puberty.</w:t>
            </w:r>
          </w:p>
        </w:tc>
      </w:tr>
      <w:tr>
        <w:trPr>
          <w:cantSplit/>
        </w:trPr>
        <w:tc>
          <w:tcPr>
            <w:tcW w:type="dxa" w:w="2304"/>
            <w:vAlign w:val="top"/>
          </w:tcPr>
          <w:p>
            <w:pPr>
              <w:spacing w:after="40" w:before="0" w:line="259" w:lineRule="auto"/>
            </w:pPr>
            <w:r>
              <w:rPr>
                <w:rFonts w:ascii="Calibri" w:hAnsi="Calibri"/>
                <w:b/>
                <w:i w:val="0"/>
                <w:color w:val="212121"/>
                <w:sz w:val="19"/>
              </w:rPr>
              <w:t>Receding frontal / temporal hairline (men)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Bitemporal recession producing an M-shaped hairline - an early male sign.</w:t>
            </w:r>
          </w:p>
        </w:tc>
      </w:tr>
      <w:tr>
        <w:trPr>
          <w:cantSplit/>
        </w:trPr>
        <w:tc>
          <w:tcPr>
            <w:tcW w:type="dxa" w:w="2304"/>
            <w:vAlign w:val="top"/>
          </w:tcPr>
          <w:p>
            <w:pPr>
              <w:spacing w:after="40" w:before="0" w:line="259" w:lineRule="auto"/>
            </w:pPr>
            <w:r>
              <w:rPr>
                <w:rFonts w:ascii="Calibri" w:hAnsi="Calibri"/>
                <w:b/>
                <w:i w:val="0"/>
                <w:color w:val="212121"/>
                <w:sz w:val="19"/>
              </w:rPr>
              <w:t>Widening of the central part / crown thinning (women)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thinning over the crown with a broadened part (“Christmas-tree” appearance), frontal line preserved.</w:t>
            </w:r>
          </w:p>
        </w:tc>
      </w:tr>
      <w:tr>
        <w:trPr>
          <w:cantSplit/>
        </w:trPr>
        <w:tc>
          <w:tcPr>
            <w:tcW w:type="dxa" w:w="2304"/>
            <w:vAlign w:val="top"/>
          </w:tcPr>
          <w:p>
            <w:pPr>
              <w:spacing w:after="40" w:before="0" w:line="259" w:lineRule="auto"/>
            </w:pPr>
            <w:r>
              <w:rPr>
                <w:rFonts w:ascii="Calibri" w:hAnsi="Calibri"/>
                <w:b/>
                <w:i w:val="0"/>
                <w:color w:val="212121"/>
                <w:sz w:val="19"/>
              </w:rPr>
              <w:t>Increasingly visible scalp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coverage makes the scalp show through, especially under bright light.</w:t>
            </w:r>
          </w:p>
        </w:tc>
      </w:tr>
      <w:tr>
        <w:trPr>
          <w:cantSplit/>
        </w:trPr>
        <w:tc>
          <w:tcPr>
            <w:tcW w:type="dxa" w:w="2304"/>
            <w:vAlign w:val="top"/>
          </w:tcPr>
          <w:p>
            <w:pPr>
              <w:spacing w:after="40" w:before="0" w:line="259" w:lineRule="auto"/>
            </w:pPr>
            <w:r>
              <w:rPr>
                <w:rFonts w:ascii="Calibri" w:hAnsi="Calibri"/>
                <w:b/>
                <w:i w:val="0"/>
                <w:color w:val="212121"/>
                <w:sz w:val="19"/>
              </w:rPr>
              <w:t>Reduced ponytail thickness / volume (women)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perceptible decrease in overall hair volume is often the first complaint in FPHL.</w:t>
            </w:r>
          </w:p>
        </w:tc>
      </w:tr>
      <w:tr>
        <w:trPr>
          <w:cantSplit/>
        </w:trPr>
        <w:tc>
          <w:tcPr>
            <w:tcW w:type="dxa" w:w="2304"/>
            <w:vAlign w:val="top"/>
          </w:tcPr>
          <w:p>
            <w:pPr>
              <w:spacing w:after="40" w:before="0" w:line="259" w:lineRule="auto"/>
            </w:pPr>
            <w:r>
              <w:rPr>
                <w:rFonts w:ascii="Calibri" w:hAnsi="Calibri"/>
                <w:b/>
                <w:i w:val="0"/>
                <w:color w:val="212121"/>
                <w:sz w:val="19"/>
              </w:rPr>
              <w:t>Finer, shorter (miniaturised) hairs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Affected terminal hairs are replaced by fine vellus-like hairs of smaller calibre.</w:t>
            </w:r>
          </w:p>
        </w:tc>
      </w:tr>
      <w:tr>
        <w:trPr>
          <w:cantSplit/>
        </w:trPr>
        <w:tc>
          <w:tcPr>
            <w:tcW w:type="dxa" w:w="2304"/>
            <w:vAlign w:val="top"/>
          </w:tcPr>
          <w:p>
            <w:pPr>
              <w:spacing w:after="40" w:before="0" w:line="259" w:lineRule="auto"/>
            </w:pPr>
            <w:r>
              <w:rPr>
                <w:rFonts w:ascii="Calibri" w:hAnsi="Calibri"/>
                <w:b/>
                <w:i w:val="0"/>
                <w:color w:val="212121"/>
                <w:sz w:val="19"/>
              </w:rPr>
              <w:t>Mildly increased hair shedding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modest; marked shedding suggests superimposed telogen effluvium rather than AGA alone.</w:t>
            </w:r>
          </w:p>
        </w:tc>
      </w:tr>
      <w:tr>
        <w:trPr>
          <w:cantSplit/>
        </w:trPr>
        <w:tc>
          <w:tcPr>
            <w:tcW w:type="dxa" w:w="2304"/>
            <w:vAlign w:val="top"/>
          </w:tcPr>
          <w:p>
            <w:pPr>
              <w:spacing w:after="40" w:before="0" w:line="259" w:lineRule="auto"/>
            </w:pPr>
            <w:r>
              <w:rPr>
                <w:rFonts w:ascii="Calibri" w:hAnsi="Calibri"/>
                <w:b/>
                <w:i w:val="0"/>
                <w:color w:val="212121"/>
                <w:sz w:val="19"/>
              </w:rPr>
              <w:t>Scalp discomfort / trichodynia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patients report tenderness, tingling or itch of the thinning scalp.</w:t>
            </w:r>
          </w:p>
        </w:tc>
      </w:tr>
      <w:tr>
        <w:trPr>
          <w:cantSplit/>
        </w:trPr>
        <w:tc>
          <w:tcPr>
            <w:tcW w:type="dxa" w:w="2304"/>
            <w:vAlign w:val="top"/>
          </w:tcPr>
          <w:p>
            <w:pPr>
              <w:spacing w:after="40" w:before="0" w:line="259" w:lineRule="auto"/>
            </w:pPr>
            <w:r>
              <w:rPr>
                <w:rFonts w:ascii="Calibri" w:hAnsi="Calibri"/>
                <w:b/>
                <w:i w:val="0"/>
                <w:color w:val="212121"/>
                <w:sz w:val="19"/>
              </w:rPr>
              <w:t>Sunburn / photodamage of exposed scalp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Balding vertex skin is prone to sunburn and long-term actinic (UV) damage.</w:t>
            </w:r>
          </w:p>
        </w:tc>
      </w:tr>
      <w:tr>
        <w:trPr>
          <w:cantSplit/>
        </w:trPr>
        <w:tc>
          <w:tcPr>
            <w:tcW w:type="dxa" w:w="2304"/>
            <w:vAlign w:val="top"/>
          </w:tcPr>
          <w:p>
            <w:pPr>
              <w:spacing w:after="40" w:before="0" w:line="259" w:lineRule="auto"/>
            </w:pPr>
            <w:r>
              <w:rPr>
                <w:rFonts w:ascii="Calibri" w:hAnsi="Calibri"/>
                <w:b/>
                <w:i w:val="0"/>
                <w:color w:val="212121"/>
                <w:sz w:val="19"/>
              </w:rPr>
              <w:t>Psychological distress about appearance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self-esteem, self-consciousness and social anxiety are frequent and clinically important.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Bitemporal and frontal recession (men)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loss at the temples and frontal hairline - Hamilton-Norwood pattern.</w:t>
            </w:r>
          </w:p>
        </w:tc>
      </w:tr>
      <w:tr>
        <w:trPr>
          <w:cantSplit/>
        </w:trPr>
        <w:tc>
          <w:tcPr>
            <w:tcW w:type="dxa" w:w="3456"/>
            <w:vAlign w:val="top"/>
          </w:tcPr>
          <w:p>
            <w:pPr>
              <w:spacing w:after="40" w:before="0" w:line="259" w:lineRule="auto"/>
            </w:pPr>
            <w:r>
              <w:rPr>
                <w:rFonts w:ascii="Calibri" w:hAnsi="Calibri"/>
                <w:b/>
                <w:i w:val="0"/>
                <w:color w:val="212121"/>
                <w:sz w:val="19"/>
              </w:rPr>
              <w:t>Vertex (crown) thinning / balding (men)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Miniaturisation and loss over the vertex, which may merge with frontal loss in higher grades.</w:t>
            </w:r>
          </w:p>
        </w:tc>
      </w:tr>
      <w:tr>
        <w:trPr>
          <w:cantSplit/>
        </w:trPr>
        <w:tc>
          <w:tcPr>
            <w:tcW w:type="dxa" w:w="3456"/>
            <w:vAlign w:val="top"/>
          </w:tcPr>
          <w:p>
            <w:pPr>
              <w:spacing w:after="40" w:before="0" w:line="259" w:lineRule="auto"/>
            </w:pPr>
            <w:r>
              <w:rPr>
                <w:rFonts w:ascii="Calibri" w:hAnsi="Calibri"/>
                <w:b/>
                <w:i w:val="0"/>
                <w:color w:val="212121"/>
                <w:sz w:val="19"/>
              </w:rPr>
              <w:t>Diffuse central thinning with preserved frontal hairline (women)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Ludwig pattern - crown thinning while the frontal line is retained.</w:t>
            </w:r>
          </w:p>
        </w:tc>
      </w:tr>
      <w:tr>
        <w:trPr>
          <w:cantSplit/>
        </w:trPr>
        <w:tc>
          <w:tcPr>
            <w:tcW w:type="dxa" w:w="3456"/>
            <w:vAlign w:val="top"/>
          </w:tcPr>
          <w:p>
            <w:pPr>
              <w:spacing w:after="40" w:before="0" w:line="259" w:lineRule="auto"/>
            </w:pPr>
            <w:r>
              <w:rPr>
                <w:rFonts w:ascii="Calibri" w:hAnsi="Calibri"/>
                <w:b/>
                <w:i w:val="0"/>
                <w:color w:val="212121"/>
                <w:sz w:val="19"/>
              </w:rPr>
              <w:t>Widened central part / “Christmas-tree” sign (women)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Frontal accentuation of the part width, best seen on the mid-frontal scalp.</w:t>
            </w:r>
          </w:p>
        </w:tc>
      </w:tr>
      <w:tr>
        <w:trPr>
          <w:cantSplit/>
        </w:trPr>
        <w:tc>
          <w:tcPr>
            <w:tcW w:type="dxa" w:w="3456"/>
            <w:vAlign w:val="top"/>
          </w:tcPr>
          <w:p>
            <w:pPr>
              <w:spacing w:after="40" w:before="0" w:line="259" w:lineRule="auto"/>
            </w:pPr>
            <w:r>
              <w:rPr>
                <w:rFonts w:ascii="Calibri" w:hAnsi="Calibri"/>
                <w:b/>
                <w:i w:val="0"/>
                <w:color w:val="212121"/>
                <w:sz w:val="19"/>
              </w:rPr>
              <w:t>Hair-diameter diversity / miniaturised hairs on trichoscopy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Anisotrichosis (&gt; 20% shaft-calibre variability) is the trichoscopic hallmark.</w:t>
            </w:r>
          </w:p>
        </w:tc>
      </w:tr>
      <w:tr>
        <w:trPr>
          <w:cantSplit/>
        </w:trPr>
        <w:tc>
          <w:tcPr>
            <w:tcW w:type="dxa" w:w="3456"/>
            <w:vAlign w:val="top"/>
          </w:tcPr>
          <w:p>
            <w:pPr>
              <w:spacing w:after="40" w:before="0" w:line="259" w:lineRule="auto"/>
            </w:pPr>
            <w:r>
              <w:rPr>
                <w:rFonts w:ascii="Calibri" w:hAnsi="Calibri"/>
                <w:b/>
                <w:i w:val="0"/>
                <w:color w:val="212121"/>
                <w:sz w:val="19"/>
              </w:rPr>
              <w:t>Peripilar sign &amp; predominance of single-hair units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perifollicular discolouration and loss of grouped follicular units on dermoscopy.</w:t>
            </w:r>
          </w:p>
        </w:tc>
      </w:tr>
      <w:tr>
        <w:trPr>
          <w:cantSplit/>
        </w:trPr>
        <w:tc>
          <w:tcPr>
            <w:tcW w:type="dxa" w:w="3456"/>
            <w:vAlign w:val="top"/>
          </w:tcPr>
          <w:p>
            <w:pPr>
              <w:spacing w:after="40" w:before="0" w:line="259" w:lineRule="auto"/>
            </w:pPr>
            <w:r>
              <w:rPr>
                <w:rFonts w:ascii="Calibri" w:hAnsi="Calibri"/>
                <w:b/>
                <w:i w:val="0"/>
                <w:color w:val="212121"/>
                <w:sz w:val="19"/>
              </w:rPr>
              <w:t>Preserved follicular ostia, non-scarring scalp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Follicular openings remain visible with no scarring, scaling or erythema.</w:t>
            </w:r>
          </w:p>
        </w:tc>
      </w:tr>
      <w:tr>
        <w:trPr>
          <w:cantSplit/>
        </w:trPr>
        <w:tc>
          <w:tcPr>
            <w:tcW w:type="dxa" w:w="3456"/>
            <w:vAlign w:val="top"/>
          </w:tcPr>
          <w:p>
            <w:pPr>
              <w:spacing w:after="40" w:before="0" w:line="259" w:lineRule="auto"/>
            </w:pPr>
            <w:r>
              <w:rPr>
                <w:rFonts w:ascii="Calibri" w:hAnsi="Calibri"/>
                <w:b/>
                <w:i w:val="0"/>
                <w:color w:val="212121"/>
                <w:sz w:val="19"/>
              </w:rPr>
              <w:t>Negative / normal hair-pull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the diffuse extractable telogen hairs seen in telogen effluvium.</w:t>
            </w:r>
          </w:p>
        </w:tc>
      </w:tr>
      <w:tr>
        <w:trPr>
          <w:cantSplit/>
        </w:trPr>
        <w:tc>
          <w:tcPr>
            <w:tcW w:type="dxa" w:w="3456"/>
            <w:vAlign w:val="top"/>
          </w:tcPr>
          <w:p>
            <w:pPr>
              <w:spacing w:after="40" w:before="0" w:line="259" w:lineRule="auto"/>
            </w:pPr>
            <w:r>
              <w:rPr>
                <w:rFonts w:ascii="Calibri" w:hAnsi="Calibri"/>
                <w:b/>
                <w:i w:val="0"/>
                <w:color w:val="212121"/>
                <w:sz w:val="19"/>
              </w:rPr>
              <w:t>Retained occipital / lateral (donor) fringe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Androgen-independent occipital and lateral hair is spared - the basis of hair transplantation.</w:t>
            </w:r>
          </w:p>
        </w:tc>
      </w:tr>
      <w:tr>
        <w:trPr>
          <w:cantSplit/>
        </w:trPr>
        <w:tc>
          <w:tcPr>
            <w:tcW w:type="dxa" w:w="3456"/>
            <w:vAlign w:val="top"/>
          </w:tcPr>
          <w:p>
            <w:pPr>
              <w:spacing w:after="40" w:before="0" w:line="259" w:lineRule="auto"/>
            </w:pPr>
            <w:r>
              <w:rPr>
                <w:rFonts w:ascii="Calibri" w:hAnsi="Calibri"/>
                <w:b/>
                <w:i w:val="0"/>
                <w:color w:val="212121"/>
                <w:sz w:val="19"/>
              </w:rPr>
              <w:t>Signs of hyperandrogenism / metabolic risk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Hirsutism, acne, acanthosis nigricans or central obesity accompanying AGA, especially in women with PCOS.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largely irreversible patterned hair loss / baldness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altered facial framing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Photodamage of the exposed bald scalp (sunburn, actinic keratoses, higher non-melanoma skin-cancer risk)</w:t>
            </w:r>
          </w:p>
        </w:tc>
        <w:tc>
          <w:tcPr>
            <w:tcW w:type="dxa" w:w="2980"/>
            <w:vAlign w:val="top"/>
          </w:tcPr>
          <w:p>
            <w:pPr>
              <w:spacing w:after="40" w:before="0" w:line="259" w:lineRule="auto"/>
            </w:pPr>
            <w:r>
              <w:rPr>
                <w:rFonts w:ascii="Calibri" w:hAnsi="Calibri"/>
                <w:b w:val="0"/>
                <w:i w:val="0"/>
                <w:color w:val="212121"/>
                <w:sz w:val="19"/>
              </w:rPr>
              <w:t>Direct structural consequences of follicular miniaturisation and scalp exposure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morbidity: low self-esteem, body-image disturbance, social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and, at times, occupational / social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effects: topical minoxidil irritation and early “dread shedding”; finasteride / dutasteride sexual side-effects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burden of long-term therapy and procedures</w:t>
            </w:r>
          </w:p>
        </w:tc>
        <w:tc>
          <w:tcPr>
            <w:tcW w:type="dxa" w:w="2980"/>
            <w:vAlign w:val="top"/>
          </w:tcPr>
          <w:p>
            <w:pPr>
              <w:spacing w:after="40" w:before="0" w:line="259" w:lineRule="auto"/>
            </w:pPr>
            <w:r>
              <w:rPr>
                <w:rFonts w:ascii="Calibri" w:hAnsi="Calibri"/>
                <w:b w:val="0"/>
                <w:i w:val="0"/>
                <w:color w:val="212121"/>
                <w:sz w:val="19"/>
              </w:rPr>
              <w:t>Arise from the visible disease and from the demands and adverse effects of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withdrawal and reduced well-being from unaddressed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AGA as a marker of, and coexisting with, metabolic syndrome, insulin resistance and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men, association with benign prostatic hyperplasia and an ~2-fold increased prostate-cancer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women, an unrecognised pointer to PCOS / hyperandrogenism and its own long-term sequelae</w:t>
            </w:r>
          </w:p>
        </w:tc>
        <w:tc>
          <w:tcPr>
            <w:tcW w:type="dxa" w:w="2980"/>
            <w:vAlign w:val="top"/>
          </w:tcPr>
          <w:p>
            <w:pPr>
              <w:spacing w:after="40" w:before="0" w:line="259" w:lineRule="auto"/>
            </w:pPr>
            <w:r>
              <w:rPr>
                <w:rFonts w:ascii="Calibri" w:hAnsi="Calibri"/>
                <w:b w:val="0"/>
                <w:i w:val="0"/>
                <w:color w:val="212121"/>
                <w:sz w:val="19"/>
              </w:rPr>
              <w:t>Long-term systemic and psychosocial associations of untreated or unrecognised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Clusters with early-onset AGA through shared insulin resistance and central adiposity.</w:t>
            </w:r>
          </w:p>
          <w:p>
            <w:pPr>
              <w:spacing w:after="40" w:before="0" w:line="259" w:lineRule="auto"/>
            </w:pPr>
            <w:r>
              <w:rPr>
                <w:rFonts w:ascii="Calibri" w:hAnsi="Calibri"/>
                <w:b/>
                <w:i w:val="0"/>
                <w:color w:val="212121"/>
                <w:sz w:val="19"/>
              </w:rPr>
              <w:t>22.4% (vs 9.4% controls, early-onset AGA)</w:t>
            </w:r>
          </w:p>
        </w:tc>
      </w:tr>
      <w:tr>
        <w:trPr>
          <w:cantSplit/>
        </w:trPr>
        <w:tc>
          <w:tcPr>
            <w:tcW w:type="dxa" w:w="2232"/>
            <w:vAlign w:val="top"/>
          </w:tcPr>
          <w:p>
            <w:pPr>
              <w:spacing w:after="40" w:before="0" w:line="259" w:lineRule="auto"/>
            </w:pPr>
            <w:r>
              <w:rPr>
                <w:rFonts w:ascii="Calibri" w:hAnsi="Calibri"/>
                <w:b/>
                <w:i w:val="0"/>
                <w:color w:val="212121"/>
                <w:sz w:val="19"/>
              </w:rPr>
              <w:t>Insulin resistance / type 2 diabetes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Over-represented in early-onset AGA and may potentiate follicular androgen action.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metabolic-syndrome component found significantly more often in men with AGA.</w:t>
            </w:r>
          </w:p>
        </w:tc>
      </w:tr>
      <w:tr>
        <w:trPr>
          <w:cantSplit/>
        </w:trPr>
        <w:tc>
          <w:tcPr>
            <w:tcW w:type="dxa" w:w="2232"/>
            <w:vAlign w:val="top"/>
          </w:tcPr>
          <w:p>
            <w:pPr>
              <w:spacing w:after="40" w:before="0" w:line="259" w:lineRule="auto"/>
            </w:pPr>
            <w:r>
              <w:rPr>
                <w:rFonts w:ascii="Calibri" w:hAnsi="Calibri"/>
                <w:b/>
                <w:i w:val="0"/>
                <w:color w:val="212121"/>
                <w:sz w:val="19"/>
              </w:rPr>
              <w:t>Dyslipidaemia (low HDL)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HDL cholesterol is significantly associated with androgenic alopecia.</w:t>
            </w:r>
          </w:p>
        </w:tc>
      </w:tr>
      <w:tr>
        <w:trPr>
          <w:cantSplit/>
        </w:trPr>
        <w:tc>
          <w:tcPr>
            <w:tcW w:type="dxa" w:w="2232"/>
            <w:vAlign w:val="top"/>
          </w:tcPr>
          <w:p>
            <w:pPr>
              <w:spacing w:after="40" w:before="0" w:line="259" w:lineRule="auto"/>
            </w:pPr>
            <w:r>
              <w:rPr>
                <w:rFonts w:ascii="Calibri" w:hAnsi="Calibri"/>
                <w:b/>
                <w:i w:val="0"/>
                <w:color w:val="212121"/>
                <w:sz w:val="19"/>
              </w:rPr>
              <w:t>Central 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Abdominal obesity is significantly commoner in AGA than in controls.</w:t>
            </w:r>
          </w:p>
        </w:tc>
      </w:tr>
      <w:tr>
        <w:trPr>
          <w:cantSplit/>
        </w:trPr>
        <w:tc>
          <w:tcPr>
            <w:tcW w:type="dxa" w:w="2232"/>
            <w:vAlign w:val="top"/>
          </w:tcPr>
          <w:p>
            <w:pPr>
              <w:spacing w:after="40" w:before="0" w:line="259" w:lineRule="auto"/>
            </w:pPr>
            <w:r>
              <w:rPr>
                <w:rFonts w:ascii="Calibri" w:hAnsi="Calibri"/>
                <w:b/>
                <w:i w:val="0"/>
                <w:color w:val="212121"/>
                <w:sz w:val="19"/>
              </w:rPr>
              <w:t>Coronary artery / 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Early and vertex-predominant balding is associated with cardiovascular disease.</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DHT / 5-alpha-reductase androgen pathway with AGA.</w:t>
            </w:r>
          </w:p>
        </w:tc>
      </w:tr>
      <w:tr>
        <w:trPr>
          <w:cantSplit/>
        </w:trPr>
        <w:tc>
          <w:tcPr>
            <w:tcW w:type="dxa" w:w="2232"/>
            <w:vAlign w:val="top"/>
          </w:tcPr>
          <w:p>
            <w:pPr>
              <w:spacing w:after="40" w:before="0" w:line="259" w:lineRule="auto"/>
            </w:pPr>
            <w:r>
              <w:rPr>
                <w:rFonts w:ascii="Calibri" w:hAnsi="Calibri"/>
                <w:b/>
                <w:i w:val="0"/>
                <w:color w:val="212121"/>
                <w:sz w:val="19"/>
              </w:rPr>
              <w:t>Prostate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Androgenetic alopecia is associated with higher prostate-cancer risk.</w:t>
            </w:r>
          </w:p>
          <w:p>
            <w:pPr>
              <w:spacing w:after="40" w:before="0" w:line="259" w:lineRule="auto"/>
            </w:pPr>
            <w:r>
              <w:rPr>
                <w:rFonts w:ascii="Calibri" w:hAnsi="Calibri"/>
                <w:b/>
                <w:i w:val="0"/>
                <w:color w:val="212121"/>
                <w:sz w:val="19"/>
              </w:rPr>
              <w:t>~2-fold</w:t>
            </w:r>
          </w:p>
        </w:tc>
      </w:tr>
      <w:tr>
        <w:trPr>
          <w:cantSplit/>
        </w:trPr>
        <w:tc>
          <w:tcPr>
            <w:tcW w:type="dxa" w:w="2232"/>
            <w:vAlign w:val="top"/>
          </w:tcPr>
          <w:p>
            <w:pPr>
              <w:spacing w:after="40" w:before="0" w:line="259" w:lineRule="auto"/>
            </w:pPr>
            <w:r>
              <w:rPr>
                <w:rFonts w:ascii="Calibri" w:hAnsi="Calibri"/>
                <w:b/>
                <w:i w:val="0"/>
                <w:color w:val="212121"/>
                <w:sz w:val="19"/>
              </w:rPr>
              <w:t>Polycystic ovary syndrome (women)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Hyperandrogenism of PCOS drives female-pattern hair loss with hirsutism and acne.</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Visible hair loss carries a substantial psychological and quality-of-life burden.</w:t>
            </w:r>
          </w:p>
        </w:tc>
      </w:tr>
      <w:tr>
        <w:trPr>
          <w:cantSplit/>
        </w:trPr>
        <w:tc>
          <w:tcPr>
            <w:tcW w:type="dxa" w:w="2232"/>
            <w:vAlign w:val="top"/>
          </w:tcPr>
          <w:p>
            <w:pPr>
              <w:spacing w:after="40" w:before="0" w:line="259" w:lineRule="auto"/>
            </w:pPr>
            <w:r>
              <w:rPr>
                <w:rFonts w:ascii="Calibri" w:hAnsi="Calibri"/>
                <w:b/>
                <w:i w:val="0"/>
                <w:color w:val="212121"/>
                <w:sz w:val="19"/>
              </w:rPr>
              <w:t>Low serum zinc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plasma zinc has been reported in patients with androgenetic alopecia.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androgenic alopecia is a chronic, progressive, largely genetic condition - the goal is to slow loss and preserve hair, not achieve a one-time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treatment early: outcomes are best when therapy begins before extensive miniaturisation, and results require continuous, long-term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evidence-based options - topical minoxidil for men and women, and oral finasteride (or dutasteride) for men - and discuss risks/benefits with a dermatologist rather than relying on unproven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treatment mainly stabilises and partially regrows hair; an initial temporary shed with minoxidil is expected.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early-onset balding as a possible marker of metabolic risk and get screened for blood pressure, glucose and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exposed scalp from the sun (hat / sunscreen) to prevent sunburn and long-term UV damage.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patterned hair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 with early-onset AGA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FPHL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strong history of baldness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exercise (≥ 150 min/week) to improve insulin sensitivity and counter the metabolic syndrome associated with early AGA.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resistance training and reduce prolonged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targeting central (abdominal)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as part of overall cardiometabolic risk reduction rather than as a direct hair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early-onset AGA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centrally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adequate-protein diet with whole grains, pulses, vegetables and fruit; favour a low glycaemic load over refined carbohydrates and sugary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iron (correct low ferritin, especially in women), zinc, vitamin D and protein, which support healthy hair.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 diets and rapid weight loss, which can precipitate additional (telogen)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unproven “hair-growth” supplements; correct documented deficiencies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FPHL and low iron stores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High-glycaemic-diet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micronutrient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per night to limit stress-related shedding and support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manage sleep disruptors such as late screens and caffeine.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stress or mood problems that fragment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sleep-deprived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stress-related shedding</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linked to earlier and more severe androgenetic alopecia via vasoconstriction, oxidative DNA damage and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sources of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nicotine-replacement or pharmacotherapy)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 and female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 with early-onset AGA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heavy intake can impair nutrition and hormonal balance and worsen general hair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nutrition if alcohol is consumed.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patterned hair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psychological impact of hair loss and screen for low self-esteem,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or cognitive-behavioural therapy and connect patients with support resources.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yoga, mindfulness) to limit stress-related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camouflage options (styling, hair fibres, wigs) and, in suitable cases, hair transplantation to improve confidence.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distressed by visible hair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FPHL</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0924/" TargetMode="External"/><Relationship Id="rId10" Type="http://schemas.openxmlformats.org/officeDocument/2006/relationships/hyperlink" Target="https://pubmed.ncbi.nlm.nih.gov/24517037/" TargetMode="External"/><Relationship Id="rId11" Type="http://schemas.openxmlformats.org/officeDocument/2006/relationships/hyperlink" Target="https://ijdvl.com/metabolic-syndrome-in-androgenic-alopecia/" TargetMode="External"/><Relationship Id="rId12" Type="http://schemas.openxmlformats.org/officeDocument/2006/relationships/hyperlink" Target="https://pubmed.ncbi.nlm.nih.gov/25191037/" TargetMode="External"/><Relationship Id="rId13" Type="http://schemas.openxmlformats.org/officeDocument/2006/relationships/hyperlink" Target="https://pubmed.ncbi.nlm.nih.gov/35531482/" TargetMode="External"/><Relationship Id="rId14" Type="http://schemas.openxmlformats.org/officeDocument/2006/relationships/hyperlink" Target="https://pubmed.ncbi.nlm.nih.gov/28566562/" TargetMode="External"/><Relationship Id="rId15" Type="http://schemas.openxmlformats.org/officeDocument/2006/relationships/hyperlink" Target="https://pubmed.ncbi.nlm.nih.gov/30295395/" TargetMode="External"/><Relationship Id="rId16" Type="http://schemas.openxmlformats.org/officeDocument/2006/relationships/hyperlink" Target="https://pubmed.ncbi.nlm.nih.gov/30745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