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Psoriasis</w:t>
      </w:r>
    </w:p>
    <w:p>
      <w:pPr>
        <w:spacing w:before="0" w:after="160"/>
      </w:pPr>
      <w:r>
        <w:rPr>
          <w:rFonts w:ascii="Calibri" w:hAnsi="Calibri"/>
          <w:b/>
          <w:i w:val="0"/>
          <w:color w:val="212121"/>
          <w:sz w:val="22"/>
        </w:rPr>
        <w:t xml:space="preserve">AKA </w:t>
      </w:r>
      <w:r>
        <w:rPr>
          <w:rFonts w:ascii="Calibri" w:hAnsi="Calibri"/>
          <w:b w:val="0"/>
          <w:i w:val="0"/>
          <w:color w:val="212121"/>
          <w:sz w:val="22"/>
        </w:rPr>
        <w:t>i.e., Psoriasis vulgaris, Chronic plaque psoriasis, Plaque psoriasis; Ayurvedic/lay: Kitibha or Ekakushtha (a chronic 'kushtha' / scaly skin disorder)</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Psoriasis is a chronic, immune-mediated, systemic inflammatory disease that primarily affects the skin and nails, characterised by sharply demarcated, erythematous plaques covered by adherent silvery-white scale, most often over the extensor surfaces, scalp and sacrum. It arises from dysregulated activation of the innate and adaptive immune system — chiefly the interleukin-23/interleukin-17 (IL-23/IL-17) and TNF-α axis driving T-helper-17 cells — which accelerates keratinocyte turnover from the normal ~28-30 days to only 3-5 days. The disease follows a relapsing-remitting course, is frequently triggered or aggravated by infection, trauma, drugs, smoking, alcohol and stress, and is now recognised as a systemic condition associated with psoriatic arthritis, metabolic syndrome, cardiovascular disease and psychological morbidity.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India, hospital- and dermatology-outpatient-based studies place the prevalence of psoriasis at roughly 0.44% to 2.8%, with a consistent male preponderance (male-to-female ratio about 2.0:1 to 2.5:1) and a mean age at presentation near 33.6 years; chronic plaque psoriasis accounts for about 90-93% of Indian cases and children make up 4.4-12.5% of patients. The World Health Organization, which in 2016 recognised psoriasis as a serious non-communicable disease, estimates that at least 100 million people are affected worldwide, and notes that between 1.3% and 34.7% of patients develop psoriatic arthritis and are at increased risk of cardiovascular and other non-communicable diseases.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Psoriasis is predominantly a clinical diagnosis based on the morphology and distribution of lesions, supported by characteristic signs and, in atypical cases, skin biopsy: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well-demarcated, erythematous papules and plaques with adherent silvery-white (micaceous) scale, typically distributed symmetrically over extensor elbows and knees, scalp, lower back/sacrum and the umbilicus;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clinical signs — the Auspitz sign (pinpoint bleeding after gentle removal of scale, from dilated dermal papillary vessels), the Koebner (isomorphic) phenomenon (new lesions at sites of skin trauma) and occasionally a Woronoff ring (pale blanching halo around a resolving plaque);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examination of the nails (pitting, onycholysis, 'oil-drop' discolouration, subungual hyperkeratosis) and of the joints/entheses for coexisting psoriatic arthritis (dactylitis, enthesitis, inflammatory joint pain);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skin (punch) biopsy in atypical presentations, showing confluent parakeratosis, loss of the granular layer, regular epidermal acanthosis with elongated rete ridges, dilated tortuous papillary capillaries, and neutrophil collections (Munro microabscesses in the stratum corneum, spongiform pustules of Kogoj);</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severity graded by body surface area (BSA), the Psoriasis Area and Severity Index (PASI) and the impact on quality of life (Dermatology Life Quality Index, DLQI) — commonly mild (BSA &lt; 5%), moderate, or severe (BSA &gt; 10% and/or PASI &gt; 10, or involvement of special sites such as face, nails, palms, soles or genitals).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Psoriasis is classified by clinical morphology and by the sites involved, and separately graded by severity:</w:t>
      </w:r>
    </w:p>
    <w:p>
      <w:pPr>
        <w:spacing w:before="0" w:after="80"/>
      </w:pPr>
      <w:r>
        <w:rPr>
          <w:rFonts w:ascii="Calibri" w:hAnsi="Calibri"/>
          <w:b w:val="0"/>
          <w:i w:val="0"/>
          <w:color w:val="212121"/>
          <w:sz w:val="21"/>
        </w:rPr>
        <w:t>(1) Chronic plaque psoriasis (psoriasis vulgaris) — the commonest form (about 80-90% of cases, and 90-93% in Indian series): symmetrical, well-defined erythematous plaques with silvery scale over extensor surfaces, scalp and trunk;</w:t>
      </w:r>
    </w:p>
    <w:p>
      <w:pPr>
        <w:spacing w:before="0" w:after="80"/>
      </w:pPr>
      <w:r>
        <w:rPr>
          <w:rFonts w:ascii="Calibri" w:hAnsi="Calibri"/>
          <w:b w:val="0"/>
          <w:i w:val="0"/>
          <w:color w:val="212121"/>
          <w:sz w:val="21"/>
        </w:rPr>
        <w:t>(2) Guttate psoriasis — an acute eruption of small 'drop-like' papules, often in children and young adults 1-3 weeks after streptococcal pharyngitis; it may resolve or evolve into plaque disease;</w:t>
      </w:r>
    </w:p>
    <w:p>
      <w:pPr>
        <w:spacing w:before="0" w:after="80"/>
      </w:pPr>
      <w:r>
        <w:rPr>
          <w:rFonts w:ascii="Calibri" w:hAnsi="Calibri"/>
          <w:b w:val="0"/>
          <w:i w:val="0"/>
          <w:color w:val="212121"/>
          <w:sz w:val="21"/>
        </w:rPr>
        <w:t>(3) Inverse (flexural) psoriasis — shiny, less-scaly erythematous plaques in body folds (axillae, groin, inframammary and gluteal cleft), where friction and moisture reduce scaling;</w:t>
      </w:r>
    </w:p>
    <w:p>
      <w:pPr>
        <w:spacing w:before="0" w:after="80"/>
      </w:pPr>
      <w:r>
        <w:rPr>
          <w:rFonts w:ascii="Calibri" w:hAnsi="Calibri"/>
          <w:b w:val="0"/>
          <w:i w:val="0"/>
          <w:color w:val="212121"/>
          <w:sz w:val="21"/>
        </w:rPr>
        <w:t>(4) Pustular psoriasis — sterile pustules that may be localised (palmoplantar pustulosis, strongly linked to smoking) or generalised (acute generalised pustular psoriasis / von Zumbusch), a potentially life-threatening emergency with fever;</w:t>
      </w:r>
    </w:p>
    <w:p>
      <w:pPr>
        <w:spacing w:before="0" w:after="80"/>
      </w:pPr>
      <w:r>
        <w:rPr>
          <w:rFonts w:ascii="Calibri" w:hAnsi="Calibri"/>
          <w:b w:val="0"/>
          <w:i w:val="0"/>
          <w:color w:val="212121"/>
          <w:sz w:val="21"/>
        </w:rPr>
        <w:t>(5) Erythrodermic psoriasis — generalised confluent erythema and scaling involving &gt; 90% of the body surface, with impaired thermoregulation and fluid/electrolyte loss, requiring urgent care;</w:t>
      </w:r>
    </w:p>
    <w:p>
      <w:pPr>
        <w:spacing w:before="0" w:after="80"/>
      </w:pPr>
      <w:r>
        <w:rPr>
          <w:rFonts w:ascii="Calibri" w:hAnsi="Calibri"/>
          <w:b w:val="0"/>
          <w:i w:val="0"/>
          <w:color w:val="212121"/>
          <w:sz w:val="21"/>
        </w:rPr>
        <w:t>(6) Special-site and appendage disease — scalp, nail, palmoplantar, genital and facial psoriasis, and the associated musculoskeletal disease, psoriatic arthritis, together with severity grades of mild, moderate and severe.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Psoriasis is highly heritable and polygenic; the major susceptibility locus PSORS1 on chromosome 6p (HLA-C*06:02 / HLA-Cw6) is strongly linked to early-onset plaque and guttate disease, and a positive family history is common.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Immune dysregulation: Aberrant activation of dendritic cells and the IL-23/IL-17 (Th17) and TNF-α pathways drives keratinocyte hyperproliferation and neutrophil recruitment — the central mechanism and the target of modern biologics.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Infection: Streptococcal pharyngitis/tonsillitis can precipitate guttate psoriasis and flare plaque disease through molecular mimicry; HIV infection is associated with severe, treatment-resistant psoriasis.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Skin trauma (Koebner phenomenon): Cuts, scratches, sunburn, tattoos, friction and surgery can provoke new lesions at the site of injury.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Drugs: Beta-blockers, lithium, antimalarials, interferons, immune-checkpoint inhibitors and abrupt withdrawal of systemic corticosteroids can trigger or worsen psoriasis (including pustular flares).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Lifestyle and metabolic factors: Smoking, excess alcohol, obesity, a pro-inflammatory diet and psychological stress both increase the risk of onset and worsen severity and treatment response.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Environmental/seasonal factors: Cold, dry weather and low ambient ultraviolet light (winter, higher latitudes) commonly aggravate disease, whereas natural sunlight/UVB tends to improve it.</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(30-50 years, type I onset)</w:t>
            </w:r>
          </w:p>
        </w:tc>
        <w:tc>
          <w:tcPr>
            <w:tcW w:type="dxa" w:w="4276"/>
            <w:vAlign w:val="top"/>
          </w:tcPr>
          <w:p>
            <w:pPr>
              <w:spacing w:after="60" w:line="259" w:lineRule="auto"/>
            </w:pPr>
            <w:r>
              <w:rPr>
                <w:rFonts w:ascii="Calibri" w:hAnsi="Calibri"/>
                <w:b w:val="0"/>
                <w:i w:val="0"/>
                <w:color w:val="212121"/>
                <w:sz w:val="19"/>
              </w:rPr>
              <w:t>Psoriasis has a bimodal onset; the larger, earlier peak (type I, HLA-Cw6-associated) begins in the 20s-30s and tends to be more extensive with stronger family clustering. Cumulative lifestyle and metabolic exposures sustain the IL-23/IL-17-driven inflammation.</w:t>
            </w:r>
          </w:p>
          <w:p>
            <w:pPr>
              <w:spacing w:after="40" w:before="60" w:line="259" w:lineRule="auto"/>
            </w:pPr>
            <w:r>
              <w:rPr>
                <w:rFonts w:ascii="Calibri" w:hAnsi="Calibri"/>
                <w:b w:val="0"/>
                <w:i w:val="0"/>
                <w:color w:val="212121"/>
                <w:sz w:val="19"/>
              </w:rPr>
              <w:t>In Indian series the mean age at presentation is about 33.6 years, with most patients presenting in the third or fourth decade of life.</w:t>
            </w:r>
          </w:p>
          <w:p>
            <w:pPr>
              <w:spacing w:after="40" w:line="252" w:lineRule="auto"/>
            </w:pPr>
            <w:hyperlink r:id="rId9">
              <w:r>
                <w:rPr>
                  <w:rFonts w:ascii="Calibri" w:hAnsi="Calibri" w:cs="Calibri"/>
                  <w:sz w:val="18"/>
                  <w:color w:val="1155CC"/>
                  <w:u w:val="single"/>
                </w:rPr>
                <w:t xml:space="preserve">ijdvl.com — psoriasis in India: prevalence &amp; pattern</w:t>
              </w:r>
            </w:hyperlink>
          </w:p>
          <w:p>
            <w:pPr>
              <w:spacing w:before="60" w:after="40"/>
            </w:pPr>
            <w:r>
              <w:rPr>
                <w:rFonts w:ascii="Calibri" w:hAnsi="Calibri"/>
                <w:b w:val="0"/>
                <w:i w:val="0"/>
                <w:color w:val="5A5A5A"/>
                <w:sz w:val="18"/>
              </w:rPr>
              <w:t>#psoriasis  #plaquepsoriasis  #earlyonset  #HLACw6  #Th17</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(late / type II onset)</w:t>
            </w:r>
          </w:p>
        </w:tc>
        <w:tc>
          <w:tcPr>
            <w:tcW w:type="dxa" w:w="4276"/>
            <w:vAlign w:val="top"/>
          </w:tcPr>
          <w:p>
            <w:pPr>
              <w:spacing w:after="60" w:line="259" w:lineRule="auto"/>
            </w:pPr>
            <w:r>
              <w:rPr>
                <w:rFonts w:ascii="Calibri" w:hAnsi="Calibri"/>
                <w:b w:val="0"/>
                <w:i w:val="0"/>
                <w:color w:val="212121"/>
                <w:sz w:val="19"/>
              </w:rPr>
              <w:t>A second, smaller onset peak (type II) occurs around 50-60 years, is less familial and often coincides with polypharmacy (beta-blockers, lithium), multimorbidity and higher cardiovascular risk, complicating both diagnosis and therapy.</w:t>
            </w:r>
          </w:p>
          <w:p>
            <w:pPr>
              <w:spacing w:after="40" w:before="60" w:line="259" w:lineRule="auto"/>
            </w:pPr>
            <w:r>
              <w:rPr>
                <w:rFonts w:ascii="Calibri" w:hAnsi="Calibri"/>
                <w:b w:val="0"/>
                <w:i w:val="0"/>
                <w:color w:val="212121"/>
                <w:sz w:val="19"/>
              </w:rPr>
              <w:t>Late-onset psoriasis interacts with age-related comorbidity and drug triggers; older patients carry a higher absolute burden of cardiometabolic disease that shapes treatment choice.</w:t>
            </w:r>
          </w:p>
          <w:p>
            <w:pPr>
              <w:spacing w:after="40" w:line="252" w:lineRule="auto"/>
            </w:pPr>
            <w:hyperlink r:id="rId10">
              <w:r>
                <w:rPr>
                  <w:rFonts w:ascii="Calibri" w:hAnsi="Calibri" w:cs="Calibri"/>
                  <w:sz w:val="18"/>
                  <w:color w:val="1155CC"/>
                  <w:u w:val="single"/>
                </w:rPr>
                <w:t xml:space="preserve">ncbi.nlm.nih.gov — StatPearls: Plaque Psoriasis</w:t>
              </w:r>
            </w:hyperlink>
          </w:p>
          <w:p>
            <w:pPr>
              <w:spacing w:before="60" w:after="40"/>
            </w:pPr>
            <w:r>
              <w:rPr>
                <w:rFonts w:ascii="Calibri" w:hAnsi="Calibri"/>
                <w:b w:val="0"/>
                <w:i w:val="0"/>
                <w:color w:val="5A5A5A"/>
                <w:sz w:val="18"/>
              </w:rPr>
              <w:t>#elderly  #lateonset  #polypharmacy  #druginduced  #comorbidity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&amp; adolescents</w:t>
            </w:r>
          </w:p>
        </w:tc>
        <w:tc>
          <w:tcPr>
            <w:tcW w:type="dxa" w:w="4276"/>
            <w:vAlign w:val="top"/>
          </w:tcPr>
          <w:p>
            <w:pPr>
              <w:spacing w:after="60" w:line="259" w:lineRule="auto"/>
            </w:pPr>
            <w:r>
              <w:rPr>
                <w:rFonts w:ascii="Calibri" w:hAnsi="Calibri"/>
                <w:b w:val="0"/>
                <w:i w:val="0"/>
                <w:color w:val="212121"/>
                <w:sz w:val="19"/>
              </w:rPr>
              <w:t>Paediatric psoriasis frequently follows streptococcal throat infection as guttate disease and may later convert to plaque psoriasis; itch, scalp and napkin (inverse) involvement are common presentations.</w:t>
            </w:r>
          </w:p>
          <w:p>
            <w:pPr>
              <w:spacing w:after="40" w:before="60" w:line="259" w:lineRule="auto"/>
            </w:pPr>
            <w:r>
              <w:rPr>
                <w:rFonts w:ascii="Calibri" w:hAnsi="Calibri"/>
                <w:b w:val="0"/>
                <w:i w:val="0"/>
                <w:color w:val="212121"/>
                <w:sz w:val="19"/>
              </w:rPr>
              <w:t>Children account for roughly 4.4-12.5% of psoriasis patients in Indian studies.</w:t>
            </w:r>
          </w:p>
          <w:p>
            <w:pPr>
              <w:spacing w:after="40" w:line="252" w:lineRule="auto"/>
            </w:pPr>
            <w:hyperlink r:id="rId9">
              <w:r>
                <w:rPr>
                  <w:rFonts w:ascii="Calibri" w:hAnsi="Calibri" w:cs="Calibri"/>
                  <w:sz w:val="18"/>
                  <w:color w:val="1155CC"/>
                  <w:u w:val="single"/>
                </w:rPr>
                <w:t xml:space="preserve">ijdvl.com — psoriasis in India: prevalence &amp; pattern</w:t>
              </w:r>
            </w:hyperlink>
          </w:p>
          <w:p>
            <w:pPr>
              <w:spacing w:before="60" w:after="40"/>
            </w:pPr>
            <w:r>
              <w:rPr>
                <w:rFonts w:ascii="Calibri" w:hAnsi="Calibri"/>
                <w:b w:val="0"/>
                <w:i w:val="0"/>
                <w:color w:val="5A5A5A"/>
                <w:sz w:val="18"/>
              </w:rPr>
              <w:t>#paediatric  #guttate  #streptococcal  #scalp  #childhoodpsoriasis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Indian hospital data show a clear male preponderance, and men are also more likely to have earlier onset, more extensive disease and coexisting psoriatic arthritis.</w:t>
            </w:r>
          </w:p>
          <w:p>
            <w:pPr>
              <w:spacing w:after="40" w:before="60" w:line="259" w:lineRule="auto"/>
            </w:pPr>
            <w:r>
              <w:rPr>
                <w:rFonts w:ascii="Calibri" w:hAnsi="Calibri"/>
                <w:b w:val="0"/>
                <w:i w:val="0"/>
                <w:color w:val="212121"/>
                <w:sz w:val="19"/>
              </w:rPr>
              <w:t>Reported male-to-female ratios range from about 2.03:1 to 2.5:1 across Indian centres.</w:t>
            </w:r>
          </w:p>
          <w:p>
            <w:pPr>
              <w:spacing w:after="40" w:line="252" w:lineRule="auto"/>
            </w:pPr>
            <w:hyperlink r:id="rId9">
              <w:r>
                <w:rPr>
                  <w:rFonts w:ascii="Calibri" w:hAnsi="Calibri" w:cs="Calibri"/>
                  <w:sz w:val="18"/>
                  <w:color w:val="1155CC"/>
                  <w:u w:val="single"/>
                </w:rPr>
                <w:t xml:space="preserve">ijdvl.com — psoriasis in India: prevalence &amp; pattern</w:t>
              </w:r>
            </w:hyperlink>
          </w:p>
          <w:p>
            <w:pPr>
              <w:spacing w:before="60" w:after="40"/>
            </w:pPr>
            <w:r>
              <w:rPr>
                <w:rFonts w:ascii="Calibri" w:hAnsi="Calibri"/>
                <w:b w:val="0"/>
                <w:i w:val="0"/>
                <w:color w:val="5A5A5A"/>
                <w:sz w:val="18"/>
              </w:rPr>
              <w:t>#male  #sexdifference  #severity  #psoriaticarthritis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patients &amp; those with delayed care</w:t>
            </w:r>
          </w:p>
        </w:tc>
        <w:tc>
          <w:tcPr>
            <w:tcW w:type="dxa" w:w="4276"/>
            <w:vAlign w:val="top"/>
          </w:tcPr>
          <w:p>
            <w:pPr>
              <w:spacing w:after="60" w:line="259" w:lineRule="auto"/>
            </w:pPr>
            <w:r>
              <w:rPr>
                <w:rFonts w:ascii="Calibri" w:hAnsi="Calibri"/>
                <w:b w:val="0"/>
                <w:i w:val="0"/>
                <w:color w:val="212121"/>
                <w:sz w:val="19"/>
              </w:rPr>
              <w:t>Cost of long-term topical, phototherapy and systemic/biologic treatment, limited dermatology access and social stigma lead to under-treatment, poor adherence and greater disability, especially in rural and low-income groups.</w:t>
            </w:r>
          </w:p>
          <w:p>
            <w:pPr>
              <w:spacing w:after="40" w:before="60" w:line="259" w:lineRule="auto"/>
            </w:pPr>
            <w:r>
              <w:rPr>
                <w:rFonts w:ascii="Calibri" w:hAnsi="Calibri"/>
                <w:b w:val="0"/>
                <w:i w:val="0"/>
                <w:color w:val="212121"/>
                <w:sz w:val="19"/>
              </w:rPr>
              <w:t>Psoriasis is a lifelong disease with high treatment and quality-of-life costs; stigma and discrimination are explicitly highlighted in the WHO global report.</w:t>
            </w:r>
          </w:p>
          <w:p>
            <w:pPr>
              <w:spacing w:after="40" w:line="252" w:lineRule="auto"/>
            </w:pPr>
            <w:hyperlink r:id="rId11">
              <w:r>
                <w:rPr>
                  <w:rFonts w:ascii="Calibri" w:hAnsi="Calibri" w:cs="Calibri"/>
                  <w:sz w:val="18"/>
                  <w:color w:val="1155CC"/>
                  <w:u w:val="single"/>
                </w:rPr>
                <w:t xml:space="preserve">who.int — WHO report on psoriasis (stigma &amp; burden)</w:t>
              </w:r>
            </w:hyperlink>
          </w:p>
          <w:p>
            <w:pPr>
              <w:spacing w:before="60" w:after="40"/>
            </w:pPr>
            <w:r>
              <w:rPr>
                <w:rFonts w:ascii="Calibri" w:hAnsi="Calibri"/>
                <w:b w:val="0"/>
                <w:i w:val="0"/>
                <w:color w:val="5A5A5A"/>
                <w:sz w:val="18"/>
              </w:rPr>
              <w:t>#access  #stigma  #adherence  #outofpocket  #healthequity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Climate &amp; sunlight</w:t>
            </w:r>
          </w:p>
        </w:tc>
        <w:tc>
          <w:tcPr>
            <w:tcW w:type="dxa" w:w="2160"/>
            <w:vAlign w:val="top"/>
          </w:tcPr>
          <w:p>
            <w:pPr>
              <w:spacing w:after="40" w:before="0" w:line="259" w:lineRule="auto"/>
            </w:pPr>
            <w:r>
              <w:rPr>
                <w:rFonts w:ascii="Calibri" w:hAnsi="Calibri"/>
                <w:b w:val="0"/>
                <w:i w:val="0"/>
                <w:color w:val="212121"/>
                <w:sz w:val="19"/>
              </w:rPr>
              <w:t>Residents of cold, low-sunlight seasons / northern latitudes</w:t>
            </w:r>
          </w:p>
        </w:tc>
        <w:tc>
          <w:tcPr>
            <w:tcW w:type="dxa" w:w="4276"/>
            <w:vAlign w:val="top"/>
          </w:tcPr>
          <w:p>
            <w:pPr>
              <w:spacing w:after="60" w:line="259" w:lineRule="auto"/>
            </w:pPr>
            <w:r>
              <w:rPr>
                <w:rFonts w:ascii="Calibri" w:hAnsi="Calibri"/>
                <w:b w:val="0"/>
                <w:i w:val="0"/>
                <w:color w:val="212121"/>
                <w:sz w:val="19"/>
              </w:rPr>
              <w:t>Cold, dry air and reduced ultraviolet exposure in winter impair the skin barrier and commonly trigger flares, whereas natural sunlight and UVB phototherapy usually improve plaques — a well-recognised seasonal pattern.</w:t>
            </w:r>
          </w:p>
          <w:p>
            <w:pPr>
              <w:spacing w:after="40" w:before="60" w:line="259" w:lineRule="auto"/>
            </w:pPr>
            <w:r>
              <w:rPr>
                <w:rFonts w:ascii="Calibri" w:hAnsi="Calibri"/>
                <w:b w:val="0"/>
                <w:i w:val="0"/>
                <w:color w:val="212121"/>
                <w:sz w:val="19"/>
              </w:rPr>
              <w:t>Winter/low-UV conditions are established aggravating factors, while sunlight/UVB is therapeutic — the basis of phototherapy for psoriasis.</w:t>
            </w:r>
          </w:p>
          <w:p>
            <w:pPr>
              <w:spacing w:after="40" w:line="252" w:lineRule="auto"/>
            </w:pPr>
            <w:hyperlink r:id="rId10">
              <w:r>
                <w:rPr>
                  <w:rFonts w:ascii="Calibri" w:hAnsi="Calibri" w:cs="Calibri"/>
                  <w:sz w:val="18"/>
                  <w:color w:val="1155CC"/>
                  <w:u w:val="single"/>
                </w:rPr>
                <w:t xml:space="preserve">ncbi.nlm.nih.gov — StatPearls: Plaque Psoriasis</w:t>
              </w:r>
            </w:hyperlink>
          </w:p>
          <w:p>
            <w:pPr>
              <w:spacing w:before="60" w:after="40"/>
            </w:pPr>
            <w:r>
              <w:rPr>
                <w:rFonts w:ascii="Calibri" w:hAnsi="Calibri"/>
                <w:b w:val="0"/>
                <w:i w:val="0"/>
                <w:color w:val="5A5A5A"/>
                <w:sz w:val="18"/>
              </w:rPr>
              <w:t>#winterflare  #UVB  #sunlight  #seasonal  #skinbarrier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populations</w:t>
            </w:r>
          </w:p>
        </w:tc>
        <w:tc>
          <w:tcPr>
            <w:tcW w:type="dxa" w:w="4276"/>
            <w:vAlign w:val="top"/>
          </w:tcPr>
          <w:p>
            <w:pPr>
              <w:spacing w:after="60" w:line="259" w:lineRule="auto"/>
            </w:pPr>
            <w:r>
              <w:rPr>
                <w:rFonts w:ascii="Calibri" w:hAnsi="Calibri"/>
                <w:b w:val="0"/>
                <w:i w:val="0"/>
                <w:color w:val="212121"/>
                <w:sz w:val="19"/>
              </w:rPr>
              <w:t>Prevalence in India is lower than in many Western populations but the disease burden is large given the population size; presentation is dominated by chronic plaque disease with frequent scalp and nail involvement.</w:t>
            </w:r>
          </w:p>
          <w:p>
            <w:pPr>
              <w:spacing w:after="40" w:before="60" w:line="259" w:lineRule="auto"/>
            </w:pPr>
            <w:r>
              <w:rPr>
                <w:rFonts w:ascii="Calibri" w:hAnsi="Calibri"/>
                <w:b w:val="0"/>
                <w:i w:val="0"/>
                <w:color w:val="212121"/>
                <w:sz w:val="19"/>
              </w:rPr>
              <w:t>Indian prevalence estimates range from 0.44% to 2.8%, with chronic plaque psoriasis forming ~90-93% of cases.</w:t>
            </w:r>
          </w:p>
          <w:p>
            <w:pPr>
              <w:spacing w:after="40" w:line="252" w:lineRule="auto"/>
            </w:pPr>
            <w:hyperlink r:id="rId9">
              <w:r>
                <w:rPr>
                  <w:rFonts w:ascii="Calibri" w:hAnsi="Calibri" w:cs="Calibri"/>
                  <w:sz w:val="18"/>
                  <w:color w:val="1155CC"/>
                  <w:u w:val="single"/>
                </w:rPr>
                <w:t xml:space="preserve">ijdvl.com — psoriasis in India: prevalence &amp; pattern</w:t>
              </w:r>
            </w:hyperlink>
          </w:p>
          <w:p>
            <w:pPr>
              <w:spacing w:before="60" w:after="40"/>
            </w:pPr>
            <w:r>
              <w:rPr>
                <w:rFonts w:ascii="Calibri" w:hAnsi="Calibri"/>
                <w:b w:val="0"/>
                <w:i w:val="0"/>
                <w:color w:val="5A5A5A"/>
                <w:sz w:val="18"/>
              </w:rPr>
              <w:t>#India  #prevalence  #plaquepsoriasis  #nailinvolvement  #burden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&amp; former smokers (esp. palmoplantar pustulosis)</w:t>
            </w:r>
          </w:p>
        </w:tc>
        <w:tc>
          <w:tcPr>
            <w:tcW w:type="dxa" w:w="4276"/>
            <w:vAlign w:val="top"/>
          </w:tcPr>
          <w:p>
            <w:pPr>
              <w:spacing w:after="60" w:line="259" w:lineRule="auto"/>
            </w:pPr>
            <w:r>
              <w:rPr>
                <w:rFonts w:ascii="Calibri" w:hAnsi="Calibri"/>
                <w:b w:val="0"/>
                <w:i w:val="0"/>
                <w:color w:val="212121"/>
                <w:sz w:val="19"/>
              </w:rPr>
              <w:t>Tobacco smoke amplifies oxidative stress and Th17 inflammation, increasing both the risk of developing psoriasis and its severity, and is particularly strongly linked to palmoplantar pustular disease; risk persists after quitting.</w:t>
            </w:r>
          </w:p>
          <w:p>
            <w:pPr>
              <w:spacing w:after="40" w:before="60" w:line="259" w:lineRule="auto"/>
            </w:pPr>
            <w:r>
              <w:rPr>
                <w:rFonts w:ascii="Calibri" w:hAnsi="Calibri"/>
                <w:b w:val="0"/>
                <w:i w:val="0"/>
                <w:color w:val="212121"/>
                <w:sz w:val="19"/>
              </w:rPr>
              <w:t>A dose-response meta-analysis found smoking raised psoriasis risk with a summary relative risk of 1.67 (95% CI 1.46-1.90); former smokers still had RR 1.38 versus never-smokers.</w:t>
            </w:r>
          </w:p>
          <w:p>
            <w:pPr>
              <w:spacing w:after="40" w:line="252" w:lineRule="auto"/>
            </w:pPr>
            <w:hyperlink r:id="rId12">
              <w:r>
                <w:rPr>
                  <w:rFonts w:ascii="Calibri" w:hAnsi="Calibri" w:cs="Calibri"/>
                  <w:sz w:val="18"/>
                  <w:color w:val="1155CC"/>
                  <w:u w:val="single"/>
                </w:rPr>
                <w:t xml:space="preserve">frontiersin.org — smoking, alcohol &amp; psoriasis meta-analysis</w:t>
              </w:r>
            </w:hyperlink>
          </w:p>
          <w:p>
            <w:pPr>
              <w:spacing w:before="60" w:after="40"/>
            </w:pPr>
            <w:r>
              <w:rPr>
                <w:rFonts w:ascii="Calibri" w:hAnsi="Calibri"/>
                <w:b w:val="0"/>
                <w:i w:val="0"/>
                <w:color w:val="5A5A5A"/>
                <w:sz w:val="18"/>
              </w:rPr>
              <w:t>#smoking  #tobacco  #palmoplantarpustulosis  #oxidativestress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drinkers</w:t>
            </w:r>
          </w:p>
        </w:tc>
        <w:tc>
          <w:tcPr>
            <w:tcW w:type="dxa" w:w="4276"/>
            <w:vAlign w:val="top"/>
          </w:tcPr>
          <w:p>
            <w:pPr>
              <w:spacing w:after="60" w:line="259" w:lineRule="auto"/>
            </w:pPr>
            <w:r>
              <w:rPr>
                <w:rFonts w:ascii="Calibri" w:hAnsi="Calibri"/>
                <w:b w:val="0"/>
                <w:i w:val="0"/>
                <w:color w:val="212121"/>
                <w:sz w:val="19"/>
              </w:rPr>
              <w:t>Alcohol promotes systemic inflammation, can trigger flares, reduces adherence and complicates systemic therapy (e.g. methotrexate hepatotoxicity); heavy use is linked to more severe, treatment-resistant disease.</w:t>
            </w:r>
          </w:p>
          <w:p>
            <w:pPr>
              <w:spacing w:after="40" w:before="60" w:line="259" w:lineRule="auto"/>
            </w:pPr>
            <w:r>
              <w:rPr>
                <w:rFonts w:ascii="Calibri" w:hAnsi="Calibri"/>
                <w:b w:val="0"/>
                <w:i w:val="0"/>
                <w:color w:val="212121"/>
                <w:sz w:val="19"/>
              </w:rPr>
              <w:t>The same meta-analysis reported a summary relative risk of psoriasis of 1.33 (95% CI 1.16-1.53) with alcohol consumption, though the authors judged this evidence less robust than for smoking.</w:t>
            </w:r>
          </w:p>
          <w:p>
            <w:pPr>
              <w:spacing w:after="40" w:line="252" w:lineRule="auto"/>
            </w:pPr>
            <w:hyperlink r:id="rId12">
              <w:r>
                <w:rPr>
                  <w:rFonts w:ascii="Calibri" w:hAnsi="Calibri" w:cs="Calibri"/>
                  <w:sz w:val="18"/>
                  <w:color w:val="1155CC"/>
                  <w:u w:val="single"/>
                </w:rPr>
                <w:t xml:space="preserve">frontiersin.org — smoking, alcohol &amp; psoriasis meta-analysis</w:t>
              </w:r>
            </w:hyperlink>
          </w:p>
          <w:p>
            <w:pPr>
              <w:spacing w:before="60" w:after="40"/>
            </w:pPr>
            <w:r>
              <w:rPr>
                <w:rFonts w:ascii="Calibri" w:hAnsi="Calibri"/>
                <w:b w:val="0"/>
                <w:i w:val="0"/>
                <w:color w:val="5A5A5A"/>
                <w:sz w:val="18"/>
              </w:rPr>
              <w:t>#alcohol  #flare  #methotrexate  #adherence  #inflammation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 / Sedentary</w:t>
            </w:r>
          </w:p>
        </w:tc>
        <w:tc>
          <w:tcPr>
            <w:tcW w:type="dxa" w:w="2160"/>
            <w:vAlign w:val="top"/>
          </w:tcPr>
          <w:p>
            <w:pPr>
              <w:spacing w:after="40" w:before="0" w:line="259" w:lineRule="auto"/>
            </w:pPr>
            <w:r>
              <w:rPr>
                <w:rFonts w:ascii="Calibri" w:hAnsi="Calibri"/>
                <w:b w:val="0"/>
                <w:i w:val="0"/>
                <w:color w:val="212121"/>
                <w:sz w:val="19"/>
              </w:rPr>
              <w:t>Overweight &amp; physically inactive adults</w:t>
            </w:r>
          </w:p>
        </w:tc>
        <w:tc>
          <w:tcPr>
            <w:tcW w:type="dxa" w:w="4276"/>
            <w:vAlign w:val="top"/>
          </w:tcPr>
          <w:p>
            <w:pPr>
              <w:spacing w:after="60" w:line="259" w:lineRule="auto"/>
            </w:pPr>
            <w:r>
              <w:rPr>
                <w:rFonts w:ascii="Calibri" w:hAnsi="Calibri"/>
                <w:b w:val="0"/>
                <w:i w:val="0"/>
                <w:color w:val="212121"/>
                <w:sz w:val="19"/>
              </w:rPr>
              <w:t>Adipose tissue is pro-inflammatory (TNF-α, IL-6, leptin), and excess weight both predisposes to psoriasis and worsens its severity and response to treatment; the relationship is bidirectional with the metabolic syndrome.</w:t>
            </w:r>
          </w:p>
          <w:p>
            <w:pPr>
              <w:spacing w:after="40" w:before="60" w:line="259" w:lineRule="auto"/>
            </w:pPr>
            <w:r>
              <w:rPr>
                <w:rFonts w:ascii="Calibri" w:hAnsi="Calibri"/>
                <w:b w:val="0"/>
                <w:i w:val="0"/>
                <w:color w:val="212121"/>
                <w:sz w:val="19"/>
              </w:rPr>
              <w:t>Obesity (BMI &gt;= 30) roughly doubled the risk of developing plaque psoriasis, with a 9% higher risk of onset per unit rise in BMI and a 7% higher PASI per BMI unit.</w:t>
            </w:r>
          </w:p>
          <w:p>
            <w:pPr>
              <w:spacing w:after="40" w:line="252" w:lineRule="auto"/>
            </w:pPr>
            <w:hyperlink r:id="rId13">
              <w:r>
                <w:rPr>
                  <w:rFonts w:ascii="Calibri" w:hAnsi="Calibri" w:cs="Calibri"/>
                  <w:sz w:val="18"/>
                  <w:color w:val="1155CC"/>
                  <w:u w:val="single"/>
                </w:rPr>
                <w:t xml:space="preserve">pubmed.ncbi.nlm.nih.gov/19734975 — body weight, smoking &amp; psoriasis</w:t>
              </w:r>
            </w:hyperlink>
          </w:p>
          <w:p>
            <w:pPr>
              <w:spacing w:before="60" w:after="40"/>
            </w:pPr>
            <w:r>
              <w:rPr>
                <w:rFonts w:ascii="Calibri" w:hAnsi="Calibri"/>
                <w:b w:val="0"/>
                <w:i w:val="0"/>
                <w:color w:val="5A5A5A"/>
                <w:sz w:val="18"/>
              </w:rPr>
              <w:t>#obesity  #BMI  #adipokines  #sedentary  #metabolic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Psychological stress</w:t>
            </w:r>
          </w:p>
        </w:tc>
        <w:tc>
          <w:tcPr>
            <w:tcW w:type="dxa" w:w="2160"/>
            <w:vAlign w:val="top"/>
          </w:tcPr>
          <w:p>
            <w:pPr>
              <w:spacing w:after="40" w:before="0" w:line="259" w:lineRule="auto"/>
            </w:pPr>
            <w:r>
              <w:rPr>
                <w:rFonts w:ascii="Calibri" w:hAnsi="Calibri"/>
                <w:b w:val="0"/>
                <w:i w:val="0"/>
                <w:color w:val="212121"/>
                <w:sz w:val="19"/>
              </w:rPr>
              <w:t>Individuals under chronic / acute stress</w:t>
            </w:r>
          </w:p>
        </w:tc>
        <w:tc>
          <w:tcPr>
            <w:tcW w:type="dxa" w:w="4276"/>
            <w:vAlign w:val="top"/>
          </w:tcPr>
          <w:p>
            <w:pPr>
              <w:spacing w:after="60" w:line="259" w:lineRule="auto"/>
            </w:pPr>
            <w:r>
              <w:rPr>
                <w:rFonts w:ascii="Calibri" w:hAnsi="Calibri"/>
                <w:b w:val="0"/>
                <w:i w:val="0"/>
                <w:color w:val="212121"/>
                <w:sz w:val="19"/>
              </w:rPr>
              <w:t>Stress activates the hypothalamic-pituitary-adrenal axis and neuro-immune pathways that can precipitate or worsen flares; the relationship is bidirectional, as visible disease itself generates distress.</w:t>
            </w:r>
          </w:p>
          <w:p>
            <w:pPr>
              <w:spacing w:after="40" w:before="60" w:line="259" w:lineRule="auto"/>
            </w:pPr>
            <w:r>
              <w:rPr>
                <w:rFonts w:ascii="Calibri" w:hAnsi="Calibri"/>
                <w:b w:val="0"/>
                <w:i w:val="0"/>
                <w:color w:val="212121"/>
                <w:sz w:val="19"/>
              </w:rPr>
              <w:t>Psychological morbidity is high and severity-dependent: anxiety affects ~48% and depression ~42% of psoriasis patients, rising to 77% and 68% in severe disease.</w:t>
            </w:r>
          </w:p>
          <w:p>
            <w:pPr>
              <w:spacing w:after="40" w:line="252" w:lineRule="auto"/>
            </w:pPr>
            <w:hyperlink r:id="rId14">
              <w:r>
                <w:rPr>
                  <w:rFonts w:ascii="Calibri" w:hAnsi="Calibri" w:cs="Calibri"/>
                  <w:sz w:val="18"/>
                  <w:color w:val="1155CC"/>
                  <w:u w:val="single"/>
                </w:rPr>
                <w:t xml:space="preserve">impactfactor.org (IJCPR) — anxiety &amp; depression in psoriasis (India)</w:t>
              </w:r>
            </w:hyperlink>
          </w:p>
          <w:p>
            <w:pPr>
              <w:spacing w:before="60" w:after="40"/>
            </w:pPr>
            <w:r>
              <w:rPr>
                <w:rFonts w:ascii="Calibri" w:hAnsi="Calibri"/>
                <w:b w:val="0"/>
                <w:i w:val="0"/>
                <w:color w:val="5A5A5A"/>
                <w:sz w:val="18"/>
              </w:rPr>
              <w:t>#stress  #HPAaxis  #flaretrigger  #psychodermatology  #bidirectional</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pattern</w:t>
            </w:r>
          </w:p>
        </w:tc>
        <w:tc>
          <w:tcPr>
            <w:tcW w:type="dxa" w:w="2160"/>
            <w:vAlign w:val="top"/>
          </w:tcPr>
          <w:p>
            <w:pPr>
              <w:spacing w:after="40" w:before="0" w:line="259" w:lineRule="auto"/>
            </w:pPr>
            <w:r>
              <w:rPr>
                <w:rFonts w:ascii="Calibri" w:hAnsi="Calibri"/>
                <w:b w:val="0"/>
                <w:i w:val="0"/>
                <w:color w:val="212121"/>
                <w:sz w:val="19"/>
              </w:rPr>
              <w:t>High-fat, energy-dense 'Western' diet; low omega-3 intake</w:t>
            </w:r>
          </w:p>
        </w:tc>
        <w:tc>
          <w:tcPr>
            <w:tcW w:type="dxa" w:w="4276"/>
            <w:vAlign w:val="top"/>
          </w:tcPr>
          <w:p>
            <w:pPr>
              <w:spacing w:after="60" w:line="259" w:lineRule="auto"/>
            </w:pPr>
            <w:r>
              <w:rPr>
                <w:rFonts w:ascii="Calibri" w:hAnsi="Calibri"/>
                <w:b w:val="0"/>
                <w:i w:val="0"/>
                <w:color w:val="212121"/>
                <w:sz w:val="19"/>
              </w:rPr>
              <w:t>Diets high in saturated fat, refined carbohydrate and red/processed meat and low in fruit, vegetables and omega-3 fatty acids promote obesity and systemic inflammation, which aggravate psoriasis; Mediterranean-style eating is associated with lower severity.</w:t>
            </w:r>
          </w:p>
          <w:p>
            <w:pPr>
              <w:spacing w:after="40" w:before="60" w:line="259" w:lineRule="auto"/>
            </w:pPr>
            <w:r>
              <w:rPr>
                <w:rFonts w:ascii="Calibri" w:hAnsi="Calibri"/>
                <w:b w:val="0"/>
                <w:i w:val="0"/>
                <w:color w:val="212121"/>
                <w:sz w:val="19"/>
              </w:rPr>
              <w:t>Pro-inflammatory, obesogenic dietary patterns act largely through weight gain and metabolic inflammation, which independently worsen psoriasis severity.</w:t>
            </w:r>
          </w:p>
          <w:p>
            <w:pPr>
              <w:spacing w:before="60" w:after="40"/>
            </w:pPr>
            <w:r>
              <w:rPr>
                <w:rFonts w:ascii="Calibri" w:hAnsi="Calibri"/>
                <w:b w:val="0"/>
                <w:i w:val="0"/>
                <w:color w:val="5A5A5A"/>
                <w:sz w:val="18"/>
              </w:rPr>
              <w:t>#diet  #saturatedfat  #omega3  #Mediterranean  #inflammation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 HLA-Cw6 carriers</w:t>
            </w:r>
          </w:p>
        </w:tc>
        <w:tc>
          <w:tcPr>
            <w:tcW w:type="dxa" w:w="4276"/>
            <w:vAlign w:val="top"/>
          </w:tcPr>
          <w:p>
            <w:pPr>
              <w:spacing w:after="60" w:line="259" w:lineRule="auto"/>
            </w:pPr>
            <w:r>
              <w:rPr>
                <w:rFonts w:ascii="Calibri" w:hAnsi="Calibri"/>
                <w:b w:val="0"/>
                <w:i w:val="0"/>
                <w:color w:val="212121"/>
                <w:sz w:val="19"/>
              </w:rPr>
              <w:t>Psoriasis clusters strongly in families; inheriting the HLA-C*06:02 (Cw6) allele and other PSORS loci markedly raises risk and is linked to earlier onset and guttate/plaque phenotypes.</w:t>
            </w:r>
          </w:p>
          <w:p>
            <w:pPr>
              <w:spacing w:after="40" w:before="60" w:line="259" w:lineRule="auto"/>
            </w:pPr>
            <w:r>
              <w:rPr>
                <w:rFonts w:ascii="Calibri" w:hAnsi="Calibri"/>
                <w:b w:val="0"/>
                <w:i w:val="0"/>
                <w:color w:val="212121"/>
                <w:sz w:val="19"/>
              </w:rPr>
              <w:t>A positive family history is one of the strongest risk markers; the PSORS1/HLA-Cw6 locus is the major genetic determinant of early-onset disease.</w:t>
            </w:r>
          </w:p>
          <w:p>
            <w:pPr>
              <w:spacing w:after="40" w:line="252" w:lineRule="auto"/>
            </w:pPr>
            <w:hyperlink r:id="rId10">
              <w:r>
                <w:rPr>
                  <w:rFonts w:ascii="Calibri" w:hAnsi="Calibri" w:cs="Calibri"/>
                  <w:sz w:val="18"/>
                  <w:color w:val="1155CC"/>
                  <w:u w:val="single"/>
                </w:rPr>
                <w:t xml:space="preserve">ncbi.nlm.nih.gov — StatPearls: Plaque Psoriasis</w:t>
              </w:r>
            </w:hyperlink>
          </w:p>
          <w:p>
            <w:pPr>
              <w:spacing w:before="60" w:after="40"/>
            </w:pPr>
            <w:r>
              <w:rPr>
                <w:rFonts w:ascii="Calibri" w:hAnsi="Calibri"/>
                <w:b w:val="0"/>
                <w:i w:val="0"/>
                <w:color w:val="5A5A5A"/>
                <w:sz w:val="18"/>
              </w:rPr>
              <w:t>#familyhistory  #HLACw6  #PSORS1  #heritable  #earlyonset</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Psoriatic arthritis</w:t>
            </w:r>
          </w:p>
        </w:tc>
        <w:tc>
          <w:tcPr>
            <w:tcW w:type="dxa" w:w="2160"/>
            <w:vAlign w:val="top"/>
          </w:tcPr>
          <w:p>
            <w:pPr>
              <w:spacing w:after="40" w:before="0" w:line="259" w:lineRule="auto"/>
            </w:pPr>
            <w:r>
              <w:rPr>
                <w:rFonts w:ascii="Calibri" w:hAnsi="Calibri"/>
                <w:b w:val="0"/>
                <w:i w:val="0"/>
                <w:color w:val="212121"/>
                <w:sz w:val="19"/>
              </w:rPr>
              <w:t>Patients with psoriatic arthritis</w:t>
            </w:r>
          </w:p>
        </w:tc>
        <w:tc>
          <w:tcPr>
            <w:tcW w:type="dxa" w:w="4276"/>
            <w:vAlign w:val="top"/>
          </w:tcPr>
          <w:p>
            <w:pPr>
              <w:spacing w:after="60" w:line="259" w:lineRule="auto"/>
            </w:pPr>
            <w:r>
              <w:rPr>
                <w:rFonts w:ascii="Calibri" w:hAnsi="Calibri"/>
                <w:b w:val="0"/>
                <w:i w:val="0"/>
                <w:color w:val="212121"/>
                <w:sz w:val="19"/>
              </w:rPr>
              <w:t>Psoriatic arthritis is the principal musculoskeletal comorbidity, sharing the IL-23/IL-17 mechanism; it causes inflammatory joint pain, dactylitis and enthesitis and, if untreated, irreversible joint damage. Nail disease is a strong marker of joint involvement.</w:t>
            </w:r>
          </w:p>
          <w:p>
            <w:pPr>
              <w:spacing w:after="40" w:before="60" w:line="259" w:lineRule="auto"/>
            </w:pPr>
            <w:r>
              <w:rPr>
                <w:rFonts w:ascii="Calibri" w:hAnsi="Calibri"/>
                <w:b w:val="0"/>
                <w:i w:val="0"/>
                <w:color w:val="212121"/>
                <w:sz w:val="19"/>
              </w:rPr>
              <w:t>In a study of 1,149 Indian psoriasis patients, 8.7% had psoriatic arthritis (83% newly diagnosed); worldwide estimates range from 1.3% up to about 30-34.7%.</w:t>
            </w:r>
          </w:p>
          <w:p>
            <w:pPr>
              <w:spacing w:after="40" w:line="252" w:lineRule="auto"/>
            </w:pPr>
            <w:hyperlink r:id="rId15">
              <w:r>
                <w:rPr>
                  <w:rFonts w:ascii="Calibri" w:hAnsi="Calibri" w:cs="Calibri"/>
                  <w:sz w:val="18"/>
                  <w:color w:val="1155CC"/>
                  <w:u w:val="single"/>
                </w:rPr>
                <w:t xml:space="preserve">ijdvl.com — psoriatic arthritis in Indian patients</w:t>
              </w:r>
            </w:hyperlink>
          </w:p>
          <w:p>
            <w:pPr>
              <w:spacing w:before="60" w:after="40"/>
            </w:pPr>
            <w:r>
              <w:rPr>
                <w:rFonts w:ascii="Calibri" w:hAnsi="Calibri"/>
                <w:b w:val="0"/>
                <w:i w:val="0"/>
                <w:color w:val="5A5A5A"/>
                <w:sz w:val="18"/>
              </w:rPr>
              <w:t>#psoriaticarthritis  #dactylitis  #enthesitis  #nailpitting  #IL17</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Metabolic syndrome</w:t>
            </w:r>
          </w:p>
        </w:tc>
        <w:tc>
          <w:tcPr>
            <w:tcW w:type="dxa" w:w="2160"/>
            <w:vAlign w:val="top"/>
          </w:tcPr>
          <w:p>
            <w:pPr>
              <w:spacing w:after="40" w:before="0" w:line="259" w:lineRule="auto"/>
            </w:pPr>
            <w:r>
              <w:rPr>
                <w:rFonts w:ascii="Calibri" w:hAnsi="Calibri"/>
                <w:b w:val="0"/>
                <w:i w:val="0"/>
                <w:color w:val="212121"/>
                <w:sz w:val="19"/>
              </w:rPr>
              <w:t>Patients with metabolic syndrome</w:t>
            </w:r>
          </w:p>
        </w:tc>
        <w:tc>
          <w:tcPr>
            <w:tcW w:type="dxa" w:w="4276"/>
            <w:vAlign w:val="top"/>
          </w:tcPr>
          <w:p>
            <w:pPr>
              <w:spacing w:after="60" w:line="259" w:lineRule="auto"/>
            </w:pPr>
            <w:r>
              <w:rPr>
                <w:rFonts w:ascii="Calibri" w:hAnsi="Calibri"/>
                <w:b w:val="0"/>
                <w:i w:val="0"/>
                <w:color w:val="212121"/>
                <w:sz w:val="19"/>
              </w:rPr>
              <w:t>Psoriasis and the metabolic syndrome share chronic low-grade inflammation and insulin resistance; the syndrome is more prevalent, and severity/duration of psoriasis track with it, amplifying cardiovascular risk.</w:t>
            </w:r>
          </w:p>
          <w:p>
            <w:pPr>
              <w:spacing w:after="40" w:before="60" w:line="259" w:lineRule="auto"/>
            </w:pPr>
            <w:r>
              <w:rPr>
                <w:rFonts w:ascii="Calibri" w:hAnsi="Calibri"/>
                <w:b w:val="0"/>
                <w:i w:val="0"/>
                <w:color w:val="212121"/>
                <w:sz w:val="19"/>
              </w:rPr>
              <w:t>An Indian case-control study found metabolic syndrome in 28% of psoriasis patients versus 6% of controls (odds ratio 6.09), with hypertension in 49.3% and hypertriglyceridaemia in 48.7% of patients.</w:t>
            </w:r>
          </w:p>
          <w:p>
            <w:pPr>
              <w:spacing w:after="40" w:line="252" w:lineRule="auto"/>
            </w:pPr>
            <w:hyperlink r:id="rId16">
              <w:r>
                <w:rPr>
                  <w:rFonts w:ascii="Calibri" w:hAnsi="Calibri" w:cs="Calibri"/>
                  <w:sz w:val="18"/>
                  <w:color w:val="1155CC"/>
                  <w:u w:val="single"/>
                </w:rPr>
                <w:t xml:space="preserve">ijdvl.com — metabolic syndrome in psoriasis (India)</w:t>
              </w:r>
            </w:hyperlink>
          </w:p>
          <w:p>
            <w:pPr>
              <w:spacing w:before="60" w:after="40"/>
            </w:pPr>
            <w:r>
              <w:rPr>
                <w:rFonts w:ascii="Calibri" w:hAnsi="Calibri"/>
                <w:b w:val="0"/>
                <w:i w:val="0"/>
                <w:color w:val="5A5A5A"/>
                <w:sz w:val="18"/>
              </w:rPr>
              <w:t>#metabolicsyndrome  #insulinresistance  #dyslipidemia  #hypertension  #inflammation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w:t>
            </w:r>
          </w:p>
        </w:tc>
        <w:tc>
          <w:tcPr>
            <w:tcW w:type="dxa" w:w="2160"/>
            <w:vAlign w:val="top"/>
          </w:tcPr>
          <w:p>
            <w:pPr>
              <w:spacing w:after="40" w:before="0" w:line="259" w:lineRule="auto"/>
            </w:pPr>
            <w:r>
              <w:rPr>
                <w:rFonts w:ascii="Calibri" w:hAnsi="Calibri"/>
                <w:b w:val="0"/>
                <w:i w:val="0"/>
                <w:color w:val="212121"/>
                <w:sz w:val="19"/>
              </w:rPr>
              <w:t>Obese individuals (BMI &gt;= 30)</w:t>
            </w:r>
          </w:p>
        </w:tc>
        <w:tc>
          <w:tcPr>
            <w:tcW w:type="dxa" w:w="4276"/>
            <w:vAlign w:val="top"/>
          </w:tcPr>
          <w:p>
            <w:pPr>
              <w:spacing w:after="60" w:line="259" w:lineRule="auto"/>
            </w:pPr>
            <w:r>
              <w:rPr>
                <w:rFonts w:ascii="Calibri" w:hAnsi="Calibri"/>
                <w:b w:val="0"/>
                <w:i w:val="0"/>
                <w:color w:val="212121"/>
                <w:sz w:val="19"/>
              </w:rPr>
              <w:t>Obesity is both a risk factor for and a consequence of psoriasis, worsening severity and blunting treatment response through adipokine-driven inflammation; weight loss improves disease control.</w:t>
            </w:r>
          </w:p>
          <w:p>
            <w:pPr>
              <w:spacing w:after="40" w:before="60" w:line="259" w:lineRule="auto"/>
            </w:pPr>
            <w:r>
              <w:rPr>
                <w:rFonts w:ascii="Calibri" w:hAnsi="Calibri"/>
                <w:b w:val="0"/>
                <w:i w:val="0"/>
                <w:color w:val="212121"/>
                <w:sz w:val="19"/>
              </w:rPr>
              <w:t>Obesity approximately doubles the risk of developing psoriasis, with severity rising with increasing BMI.</w:t>
            </w:r>
          </w:p>
          <w:p>
            <w:pPr>
              <w:spacing w:after="40" w:line="252" w:lineRule="auto"/>
            </w:pPr>
            <w:hyperlink r:id="rId13">
              <w:r>
                <w:rPr>
                  <w:rFonts w:ascii="Calibri" w:hAnsi="Calibri" w:cs="Calibri"/>
                  <w:sz w:val="18"/>
                  <w:color w:val="1155CC"/>
                  <w:u w:val="single"/>
                </w:rPr>
                <w:t xml:space="preserve">pubmed.ncbi.nlm.nih.gov/19734975 — obesity &amp; psoriasis onset</w:t>
              </w:r>
            </w:hyperlink>
          </w:p>
          <w:p>
            <w:pPr>
              <w:spacing w:before="60" w:after="40"/>
            </w:pPr>
            <w:r>
              <w:rPr>
                <w:rFonts w:ascii="Calibri" w:hAnsi="Calibri"/>
                <w:b w:val="0"/>
                <w:i w:val="0"/>
                <w:color w:val="5A5A5A"/>
                <w:sz w:val="18"/>
              </w:rPr>
              <w:t>#obesity  #weightloss  #adipokines  #severity  #bidirectional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Cardiovascular disease</w:t>
            </w:r>
          </w:p>
        </w:tc>
        <w:tc>
          <w:tcPr>
            <w:tcW w:type="dxa" w:w="2160"/>
            <w:vAlign w:val="top"/>
          </w:tcPr>
          <w:p>
            <w:pPr>
              <w:spacing w:after="40" w:before="0" w:line="259" w:lineRule="auto"/>
            </w:pPr>
            <w:r>
              <w:rPr>
                <w:rFonts w:ascii="Calibri" w:hAnsi="Calibri"/>
                <w:b w:val="0"/>
                <w:i w:val="0"/>
                <w:color w:val="212121"/>
                <w:sz w:val="19"/>
              </w:rPr>
              <w:t>Patients with, or at risk of, cardiovascular disease</w:t>
            </w:r>
          </w:p>
        </w:tc>
        <w:tc>
          <w:tcPr>
            <w:tcW w:type="dxa" w:w="4276"/>
            <w:vAlign w:val="top"/>
          </w:tcPr>
          <w:p>
            <w:pPr>
              <w:spacing w:after="60" w:line="259" w:lineRule="auto"/>
            </w:pPr>
            <w:r>
              <w:rPr>
                <w:rFonts w:ascii="Calibri" w:hAnsi="Calibri"/>
                <w:b w:val="0"/>
                <w:i w:val="0"/>
                <w:color w:val="212121"/>
                <w:sz w:val="19"/>
              </w:rPr>
              <w:t>Systemic inflammation accelerates atherosclerosis, so psoriasis is an independent cardiovascular risk factor, greatest in young patients with severe disease; this justifies proactive cardiometabolic screening.</w:t>
            </w:r>
          </w:p>
          <w:p>
            <w:pPr>
              <w:spacing w:after="40" w:before="60" w:line="259" w:lineRule="auto"/>
            </w:pPr>
            <w:r>
              <w:rPr>
                <w:rFonts w:ascii="Calibri" w:hAnsi="Calibri"/>
                <w:b w:val="0"/>
                <w:i w:val="0"/>
                <w:color w:val="212121"/>
                <w:sz w:val="19"/>
              </w:rPr>
              <w:t>The adjusted relative risk of myocardial infarction is raised in psoriasis — about 1.29 for mild and 3.10 for severe disease at age 30 — attenuating with age but remaining significant.</w:t>
            </w:r>
          </w:p>
          <w:p>
            <w:pPr>
              <w:spacing w:after="40" w:line="252" w:lineRule="auto"/>
            </w:pPr>
            <w:hyperlink r:id="rId17">
              <w:r>
                <w:rPr>
                  <w:rFonts w:ascii="Calibri" w:hAnsi="Calibri" w:cs="Calibri"/>
                  <w:sz w:val="18"/>
                  <w:color w:val="1155CC"/>
                  <w:u w:val="single"/>
                </w:rPr>
                <w:t xml:space="preserve">med.upenn.edu (Gelfand) — MI risk in psoriasis</w:t>
              </w:r>
            </w:hyperlink>
          </w:p>
          <w:p>
            <w:pPr>
              <w:spacing w:before="60" w:after="40"/>
            </w:pPr>
            <w:r>
              <w:rPr>
                <w:rFonts w:ascii="Calibri" w:hAnsi="Calibri"/>
                <w:b w:val="0"/>
                <w:i w:val="0"/>
                <w:color w:val="5A5A5A"/>
                <w:sz w:val="18"/>
              </w:rPr>
              <w:t>#cardiovascular  #myocardialinfarction  #atherosclerosis  #systemicinflammation  #screening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 &amp; anxiety</w:t>
            </w:r>
          </w:p>
        </w:tc>
        <w:tc>
          <w:tcPr>
            <w:tcW w:type="dxa" w:w="2160"/>
            <w:vAlign w:val="top"/>
          </w:tcPr>
          <w:p>
            <w:pPr>
              <w:spacing w:after="40" w:before="0" w:line="259" w:lineRule="auto"/>
            </w:pPr>
            <w:r>
              <w:rPr>
                <w:rFonts w:ascii="Calibri" w:hAnsi="Calibri"/>
                <w:b w:val="0"/>
                <w:i w:val="0"/>
                <w:color w:val="212121"/>
                <w:sz w:val="19"/>
              </w:rPr>
              <w:t>Patients with depression or anxiety</w:t>
            </w:r>
          </w:p>
        </w:tc>
        <w:tc>
          <w:tcPr>
            <w:tcW w:type="dxa" w:w="4276"/>
            <w:vAlign w:val="top"/>
          </w:tcPr>
          <w:p>
            <w:pPr>
              <w:spacing w:after="60" w:line="259" w:lineRule="auto"/>
            </w:pPr>
            <w:r>
              <w:rPr>
                <w:rFonts w:ascii="Calibri" w:hAnsi="Calibri"/>
                <w:b w:val="0"/>
                <w:i w:val="0"/>
                <w:color w:val="212121"/>
                <w:sz w:val="19"/>
              </w:rPr>
              <w:t>Visible, chronic, itchy disease plus shared inflammatory pathways produce a high, severity-dependent burden of depression and anxiety, which in turn reduces adherence and worsens outcomes — a bidirectional relationship.</w:t>
            </w:r>
          </w:p>
          <w:p>
            <w:pPr>
              <w:spacing w:after="40" w:before="60" w:line="259" w:lineRule="auto"/>
            </w:pPr>
            <w:r>
              <w:rPr>
                <w:rFonts w:ascii="Calibri" w:hAnsi="Calibri"/>
                <w:b w:val="0"/>
                <w:i w:val="0"/>
                <w:color w:val="212121"/>
                <w:sz w:val="19"/>
              </w:rPr>
              <w:t>In an Indian cohort, ~48% of psoriasis patients had significant anxiety and ~42% significant depression on HADS, rising to 77% and 68% respectively in severe disease.</w:t>
            </w:r>
          </w:p>
          <w:p>
            <w:pPr>
              <w:spacing w:after="40" w:line="252" w:lineRule="auto"/>
            </w:pPr>
            <w:hyperlink r:id="rId14">
              <w:r>
                <w:rPr>
                  <w:rFonts w:ascii="Calibri" w:hAnsi="Calibri" w:cs="Calibri"/>
                  <w:sz w:val="18"/>
                  <w:color w:val="1155CC"/>
                  <w:u w:val="single"/>
                </w:rPr>
                <w:t xml:space="preserve">impactfactor.org (IJCPR) — anxiety &amp; depression in psoriasis (India)</w:t>
              </w:r>
            </w:hyperlink>
          </w:p>
          <w:p>
            <w:pPr>
              <w:spacing w:before="60" w:after="40"/>
            </w:pPr>
            <w:r>
              <w:rPr>
                <w:rFonts w:ascii="Calibri" w:hAnsi="Calibri"/>
                <w:b w:val="0"/>
                <w:i w:val="0"/>
                <w:color w:val="5A5A5A"/>
                <w:sz w:val="18"/>
              </w:rPr>
              <w:t>#depression  #anxiety  #psychodermatology  #qualityoflife  #adherence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and obesity worsen psoriasis severity and cardiometabolic risk, while regular exercise and weight reduction lower systemic inflammation and improve disease control and treatment response; vigorous activity has been linked to lower incidence in prospective data.</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Energy-dense, high-saturated-fat, low-fibre diets promote obesity and metabolic inflammation that aggravate psoriasis; hypocaloric and Mediterranean-style diets, with weight loss, reduce severity in overweight patients.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Nocturnal itch, pain and coexisting obstructive sleep apnoea and depression disturb sleep; poor sleep quality is common in psoriasis and may further amplify inflammatory activity and reduce quality of life.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increases the risk of developing psoriasis (summary RR 1.67) and its severity, is strongly associated with palmoplantar pustulosis, and blunts treatment response; risk persists for years after cessation.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is associated with a higher risk (RR ~1.33) and severity of psoriasis, can trigger flares, lowers adherence, and interacts adversely with systemic drugs such as methotrexate and acitretin.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Stress is a common flare trigger and psoriasis is bidirectionally linked with depression and anxiety (present in ~42% and ~48% of patients), which worsen severity, adherence and quality of life.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and emollient use support the skin barrier and reduce scaling and fissuring, but water intake has no proven effect on the underlying immune-mediated disease process.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linking caffeine to psoriasis risk or severity is limited and inconsistent; any effect is small and confounded by smoking and alcohol.</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Gentle skin care, regular emollients and avoidance of harsh scrubbing or picking reduce Koebnerisation and secondary infection; over-vigorous cleansing and trauma can provoke new lesions.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Well-defined triggers — streptococcal infection, skin trauma (Koebner), drugs (beta-blockers, lithium, antimalarials, checkpoint inhibitors), abrupt systemic steroid withdrawal, cold/low-UV weather, smoking, alcohol and stress — precipitate or aggravate most flares and are central to management.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Adults, overweight/obese</w:t>
            </w:r>
          </w:p>
        </w:tc>
        <w:tc>
          <w:tcPr>
            <w:tcW w:type="dxa" w:w="1512"/>
            <w:vAlign w:val="top"/>
          </w:tcPr>
          <w:p>
            <w:pPr>
              <w:spacing w:after="40" w:before="0" w:line="259" w:lineRule="auto"/>
            </w:pPr>
            <w:r>
              <w:rPr>
                <w:rFonts w:ascii="Calibri" w:hAnsi="Calibri"/>
                <w:b w:val="0"/>
                <w:i w:val="0"/>
                <w:color w:val="212121"/>
                <w:sz w:val="19"/>
              </w:rPr>
              <w:t>18.5-22.9 kg/m^2 (Asian-Indian cut-off)</w:t>
            </w:r>
          </w:p>
        </w:tc>
        <w:tc>
          <w:tcPr>
            <w:tcW w:type="dxa" w:w="1512"/>
            <w:vAlign w:val="top"/>
          </w:tcPr>
          <w:p>
            <w:pPr>
              <w:spacing w:after="40" w:before="0" w:line="259" w:lineRule="auto"/>
            </w:pPr>
            <w:r>
              <w:rPr>
                <w:rFonts w:ascii="Calibri" w:hAnsi="Calibri"/>
                <w:b w:val="0"/>
                <w:i w:val="0"/>
                <w:color w:val="212121"/>
                <w:sz w:val="19"/>
              </w:rPr>
              <w:t>&gt;= 23 overweight; &gt;= 25 obese (Asian-Indian)</w:t>
            </w:r>
          </w:p>
        </w:tc>
        <w:tc>
          <w:tcPr>
            <w:tcW w:type="dxa" w:w="1468"/>
            <w:vAlign w:val="top"/>
          </w:tcPr>
          <w:p>
            <w:pPr>
              <w:spacing w:after="60" w:line="259" w:lineRule="auto"/>
            </w:pPr>
            <w:r>
              <w:rPr>
                <w:rFonts w:ascii="Calibri" w:hAnsi="Calibri"/>
                <w:b w:val="0"/>
                <w:i w:val="0"/>
                <w:color w:val="212121"/>
                <w:sz w:val="19"/>
              </w:rPr>
              <w:t>Higher BMI raises psoriasis onset (~9% per unit) and severity, and worsens treatment response</w:t>
            </w:r>
          </w:p>
          <w:p>
            <w:pPr>
              <w:spacing w:after="40" w:line="252" w:lineRule="auto"/>
            </w:pPr>
            <w:hyperlink r:id="rId13">
              <w:r>
                <w:rPr>
                  <w:rFonts w:ascii="Calibri" w:hAnsi="Calibri" w:cs="Calibri"/>
                  <w:sz w:val="18"/>
                  <w:color w:val="1155CC"/>
                  <w:u w:val="single"/>
                </w:rPr>
                <w:t xml:space="preserve">https://pubmed.ncbi.nlm.nih.gov/19734975/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(cm)</w:t>
            </w:r>
          </w:p>
        </w:tc>
        <w:tc>
          <w:tcPr>
            <w:tcW w:type="dxa" w:w="1655"/>
            <w:vAlign w:val="top"/>
          </w:tcPr>
          <w:p>
            <w:pPr>
              <w:spacing w:after="40" w:before="0" w:line="259" w:lineRule="auto"/>
            </w:pPr>
            <w:r>
              <w:rPr>
                <w:rFonts w:ascii="Calibri" w:hAnsi="Calibri"/>
                <w:b w:val="0"/>
                <w:i w:val="0"/>
                <w:color w:val="212121"/>
                <w:sz w:val="19"/>
              </w:rPr>
              <w:t>Adults with central obesity</w:t>
            </w:r>
          </w:p>
        </w:tc>
        <w:tc>
          <w:tcPr>
            <w:tcW w:type="dxa" w:w="1512"/>
            <w:vAlign w:val="top"/>
          </w:tcPr>
          <w:p>
            <w:pPr>
              <w:spacing w:after="40" w:before="0" w:line="259" w:lineRule="auto"/>
            </w:pPr>
            <w:r>
              <w:rPr>
                <w:rFonts w:ascii="Calibri" w:hAnsi="Calibri"/>
                <w:b w:val="0"/>
                <w:i w:val="0"/>
                <w:color w:val="212121"/>
                <w:sz w:val="19"/>
              </w:rPr>
              <w:t>M &lt; 90 cm; F &lt; 80 cm (Asian-Indian)</w:t>
            </w:r>
          </w:p>
        </w:tc>
        <w:tc>
          <w:tcPr>
            <w:tcW w:type="dxa" w:w="1512"/>
            <w:vAlign w:val="top"/>
          </w:tcPr>
          <w:p>
            <w:pPr>
              <w:spacing w:after="40" w:before="0" w:line="259" w:lineRule="auto"/>
            </w:pPr>
            <w:r>
              <w:rPr>
                <w:rFonts w:ascii="Calibri" w:hAnsi="Calibri"/>
                <w:b w:val="0"/>
                <w:i w:val="0"/>
                <w:color w:val="212121"/>
                <w:sz w:val="19"/>
              </w:rPr>
              <w:t>M &gt;= 90 cm; F &gt;= 80 cm</w:t>
            </w:r>
          </w:p>
        </w:tc>
        <w:tc>
          <w:tcPr>
            <w:tcW w:type="dxa" w:w="1468"/>
            <w:vAlign w:val="top"/>
          </w:tcPr>
          <w:p>
            <w:pPr>
              <w:spacing w:after="60" w:line="259" w:lineRule="auto"/>
            </w:pPr>
            <w:r>
              <w:rPr>
                <w:rFonts w:ascii="Calibri" w:hAnsi="Calibri"/>
                <w:b w:val="0"/>
                <w:i w:val="0"/>
                <w:color w:val="212121"/>
                <w:sz w:val="19"/>
              </w:rPr>
              <w:t>Central adiposity marks metabolic syndrome, which is markedly increased in psoriasis (OR ~6)</w:t>
            </w:r>
          </w:p>
          <w:p>
            <w:pPr>
              <w:spacing w:after="40" w:line="252" w:lineRule="auto"/>
            </w:pPr>
            <w:hyperlink r:id="rId16">
              <w:r>
                <w:rPr>
                  <w:rFonts w:ascii="Calibri" w:hAnsi="Calibri" w:cs="Calibri"/>
                  <w:sz w:val="18"/>
                  <w:color w:val="1155CC"/>
                  <w:u w:val="single"/>
                </w:rPr>
                <w:t xml:space="preserve">https://ijdvl.com/prevalence-of-metabolic-syndrome-in-patients-with-psoriasis-2/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 activity (min/week)</w:t>
            </w:r>
          </w:p>
        </w:tc>
        <w:tc>
          <w:tcPr>
            <w:tcW w:type="dxa" w:w="1655"/>
            <w:vAlign w:val="top"/>
          </w:tcPr>
          <w:p>
            <w:pPr>
              <w:spacing w:after="40" w:before="0" w:line="259" w:lineRule="auto"/>
            </w:pPr>
            <w:r>
              <w:rPr>
                <w:rFonts w:ascii="Calibri" w:hAnsi="Calibri"/>
                <w:b w:val="0"/>
                <w:i w:val="0"/>
                <w:color w:val="212121"/>
                <w:sz w:val="19"/>
              </w:rPr>
              <w:t>All adults with psoriasis</w:t>
            </w:r>
          </w:p>
        </w:tc>
        <w:tc>
          <w:tcPr>
            <w:tcW w:type="dxa" w:w="1512"/>
            <w:vAlign w:val="top"/>
          </w:tcPr>
          <w:p>
            <w:pPr>
              <w:spacing w:after="40" w:before="0" w:line="259" w:lineRule="auto"/>
            </w:pPr>
            <w:r>
              <w:rPr>
                <w:rFonts w:ascii="Calibri" w:hAnsi="Calibri"/>
                <w:b w:val="0"/>
                <w:i w:val="0"/>
                <w:color w:val="212121"/>
                <w:sz w:val="19"/>
              </w:rPr>
              <w:t>&gt;= 150 min/week</w:t>
            </w:r>
          </w:p>
        </w:tc>
        <w:tc>
          <w:tcPr>
            <w:tcW w:type="dxa" w:w="1512"/>
            <w:vAlign w:val="top"/>
          </w:tcPr>
          <w:p>
            <w:pPr>
              <w:spacing w:after="40" w:before="0" w:line="259" w:lineRule="auto"/>
            </w:pPr>
            <w:r>
              <w:rPr>
                <w:rFonts w:ascii="Calibri" w:hAnsi="Calibri"/>
                <w:b w:val="0"/>
                <w:i w:val="0"/>
                <w:color w:val="212121"/>
                <w:sz w:val="19"/>
              </w:rPr>
              <w:t>&lt; 150 min/week / sedentary</w:t>
            </w:r>
          </w:p>
        </w:tc>
        <w:tc>
          <w:tcPr>
            <w:tcW w:type="dxa" w:w="1468"/>
            <w:vAlign w:val="top"/>
          </w:tcPr>
          <w:p>
            <w:pPr>
              <w:spacing w:after="40" w:before="0" w:line="259" w:lineRule="auto"/>
            </w:pPr>
            <w:r>
              <w:rPr>
                <w:rFonts w:ascii="Calibri" w:hAnsi="Calibri"/>
                <w:b w:val="0"/>
                <w:i w:val="0"/>
                <w:color w:val="212121"/>
                <w:sz w:val="19"/>
              </w:rPr>
              <w:t>Regular activity plus weight loss lowers inflammation and cardiometabolic risk</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Weight loss in overweight patients (%)</w:t>
            </w:r>
          </w:p>
        </w:tc>
        <w:tc>
          <w:tcPr>
            <w:tcW w:type="dxa" w:w="1655"/>
            <w:vAlign w:val="top"/>
          </w:tcPr>
          <w:p>
            <w:pPr>
              <w:spacing w:after="40" w:before="0" w:line="259" w:lineRule="auto"/>
            </w:pPr>
            <w:r>
              <w:rPr>
                <w:rFonts w:ascii="Calibri" w:hAnsi="Calibri"/>
                <w:b w:val="0"/>
                <w:i w:val="0"/>
                <w:color w:val="212121"/>
                <w:sz w:val="19"/>
              </w:rPr>
              <w:t>Overweight/obese psoriasis patients</w:t>
            </w:r>
          </w:p>
        </w:tc>
        <w:tc>
          <w:tcPr>
            <w:tcW w:type="dxa" w:w="1512"/>
            <w:vAlign w:val="top"/>
          </w:tcPr>
          <w:p>
            <w:pPr>
              <w:spacing w:after="40" w:before="0" w:line="259" w:lineRule="auto"/>
            </w:pPr>
            <w:r>
              <w:rPr>
                <w:rFonts w:ascii="Calibri" w:hAnsi="Calibri"/>
                <w:b w:val="0"/>
                <w:i w:val="0"/>
                <w:color w:val="212121"/>
                <w:sz w:val="19"/>
              </w:rPr>
              <w:t>5-10% of body weight (if BMI elevated)</w:t>
            </w:r>
          </w:p>
        </w:tc>
        <w:tc>
          <w:tcPr>
            <w:tcW w:type="dxa" w:w="1512"/>
            <w:vAlign w:val="top"/>
          </w:tcPr>
          <w:p>
            <w:pPr>
              <w:spacing w:after="40" w:before="0" w:line="259" w:lineRule="auto"/>
            </w:pPr>
            <w:r>
              <w:rPr>
                <w:rFonts w:ascii="Calibri" w:hAnsi="Calibri"/>
                <w:b w:val="0"/>
                <w:i w:val="0"/>
                <w:color w:val="212121"/>
                <w:sz w:val="19"/>
              </w:rPr>
              <w:t>Continued weight gain</w:t>
            </w:r>
          </w:p>
        </w:tc>
        <w:tc>
          <w:tcPr>
            <w:tcW w:type="dxa" w:w="1468"/>
            <w:vAlign w:val="top"/>
          </w:tcPr>
          <w:p>
            <w:pPr>
              <w:spacing w:after="40" w:before="0" w:line="259" w:lineRule="auto"/>
            </w:pPr>
            <w:r>
              <w:rPr>
                <w:rFonts w:ascii="Calibri" w:hAnsi="Calibri"/>
                <w:b w:val="0"/>
                <w:i w:val="0"/>
                <w:color w:val="212121"/>
                <w:sz w:val="19"/>
              </w:rPr>
              <w:t>Hypocaloric/Mediterranean diet with weight loss reduces PASI and improves drug response</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 with psoriasis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 or fragmented by itch/pain</w:t>
            </w:r>
          </w:p>
        </w:tc>
        <w:tc>
          <w:tcPr>
            <w:tcW w:type="dxa" w:w="1468"/>
            <w:vAlign w:val="top"/>
          </w:tcPr>
          <w:p>
            <w:pPr>
              <w:spacing w:after="40" w:before="0" w:line="259" w:lineRule="auto"/>
            </w:pPr>
            <w:r>
              <w:rPr>
                <w:rFonts w:ascii="Calibri" w:hAnsi="Calibri"/>
                <w:b w:val="0"/>
                <w:i w:val="0"/>
                <w:color w:val="212121"/>
                <w:sz w:val="19"/>
              </w:rPr>
              <w:t>Itch, pain, OSA and depression disturb sleep and may worsen inflammation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tobacco per day</w:t>
            </w:r>
          </w:p>
        </w:tc>
        <w:tc>
          <w:tcPr>
            <w:tcW w:type="dxa" w:w="1655"/>
            <w:vAlign w:val="top"/>
          </w:tcPr>
          <w:p>
            <w:pPr>
              <w:spacing w:after="40" w:before="0" w:line="259" w:lineRule="auto"/>
            </w:pPr>
            <w:r>
              <w:rPr>
                <w:rFonts w:ascii="Calibri" w:hAnsi="Calibri"/>
                <w:b w:val="0"/>
                <w:i w:val="0"/>
                <w:color w:val="212121"/>
                <w:sz w:val="19"/>
              </w:rPr>
              <w:t>Adolescents, adults, elderly</w:t>
            </w:r>
          </w:p>
        </w:tc>
        <w:tc>
          <w:tcPr>
            <w:tcW w:type="dxa" w:w="1512"/>
            <w:vAlign w:val="top"/>
          </w:tcPr>
          <w:p>
            <w:pPr>
              <w:spacing w:after="40" w:before="0" w:line="259" w:lineRule="auto"/>
            </w:pPr>
            <w:r>
              <w:rPr>
                <w:rFonts w:ascii="Calibri" w:hAnsi="Calibri"/>
                <w:b w:val="0"/>
                <w:i w:val="0"/>
                <w:color w:val="212121"/>
                <w:sz w:val="19"/>
              </w:rPr>
              <w:t>0 (non-smoker)</w:t>
            </w:r>
          </w:p>
        </w:tc>
        <w:tc>
          <w:tcPr>
            <w:tcW w:type="dxa" w:w="1512"/>
            <w:vAlign w:val="top"/>
          </w:tcPr>
          <w:p>
            <w:pPr>
              <w:spacing w:after="40" w:before="0" w:line="259" w:lineRule="auto"/>
            </w:pPr>
            <w:r>
              <w:rPr>
                <w:rFonts w:ascii="Calibri" w:hAnsi="Calibri"/>
                <w:b w:val="0"/>
                <w:i w:val="0"/>
                <w:color w:val="212121"/>
                <w:sz w:val="19"/>
              </w:rPr>
              <w:t>&gt;= 1 cigarette/day or any tobacco use</w:t>
            </w:r>
          </w:p>
        </w:tc>
        <w:tc>
          <w:tcPr>
            <w:tcW w:type="dxa" w:w="1468"/>
            <w:vAlign w:val="top"/>
          </w:tcPr>
          <w:p>
            <w:pPr>
              <w:spacing w:after="60" w:line="259" w:lineRule="auto"/>
            </w:pPr>
            <w:r>
              <w:rPr>
                <w:rFonts w:ascii="Calibri" w:hAnsi="Calibri"/>
                <w:b w:val="0"/>
                <w:i w:val="0"/>
                <w:color w:val="212121"/>
                <w:sz w:val="19"/>
              </w:rPr>
              <w:t>Smoking raises risk (RR 1.67) and severity and drives palmoplantar pustulosis</w:t>
            </w:r>
          </w:p>
          <w:p>
            <w:pPr>
              <w:spacing w:after="40" w:line="252" w:lineRule="auto"/>
            </w:pPr>
            <w:hyperlink r:id="rId12">
              <w:r>
                <w:rPr>
                  <w:rFonts w:ascii="Calibri" w:hAnsi="Calibri" w:cs="Calibri"/>
                  <w:sz w:val="18"/>
                  <w:color w:val="1155CC"/>
                  <w:u w:val="single"/>
                </w:rPr>
                <w:t xml:space="preserve">https://www.frontiersin.org/journals/public-health/articles/10.3389/fpubh.2026.1840932/full</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(standard drinks/week)</w:t>
            </w:r>
          </w:p>
        </w:tc>
        <w:tc>
          <w:tcPr>
            <w:tcW w:type="dxa" w:w="1655"/>
            <w:vAlign w:val="top"/>
          </w:tcPr>
          <w:p>
            <w:pPr>
              <w:spacing w:after="40" w:before="0" w:line="259" w:lineRule="auto"/>
            </w:pPr>
            <w:r>
              <w:rPr>
                <w:rFonts w:ascii="Calibri" w:hAnsi="Calibri"/>
                <w:b w:val="0"/>
                <w:i w:val="0"/>
                <w:color w:val="212121"/>
                <w:sz w:val="19"/>
              </w:rPr>
              <w:t>Adults with psoriasis</w:t>
            </w:r>
          </w:p>
        </w:tc>
        <w:tc>
          <w:tcPr>
            <w:tcW w:type="dxa" w:w="1512"/>
            <w:vAlign w:val="top"/>
          </w:tcPr>
          <w:p>
            <w:pPr>
              <w:spacing w:after="40" w:before="0" w:line="259" w:lineRule="auto"/>
            </w:pPr>
            <w:r>
              <w:rPr>
                <w:rFonts w:ascii="Calibri" w:hAnsi="Calibri"/>
                <w:b w:val="0"/>
                <w:i w:val="0"/>
                <w:color w:val="212121"/>
                <w:sz w:val="19"/>
              </w:rPr>
              <w:t>None to minimal</w:t>
            </w:r>
          </w:p>
        </w:tc>
        <w:tc>
          <w:tcPr>
            <w:tcW w:type="dxa" w:w="1512"/>
            <w:vAlign w:val="top"/>
          </w:tcPr>
          <w:p>
            <w:pPr>
              <w:spacing w:after="40" w:before="0" w:line="259" w:lineRule="auto"/>
            </w:pPr>
            <w:r>
              <w:rPr>
                <w:rFonts w:ascii="Calibri" w:hAnsi="Calibri"/>
                <w:b w:val="0"/>
                <w:i w:val="0"/>
                <w:color w:val="212121"/>
                <w:sz w:val="19"/>
              </w:rPr>
              <w:t>Regular / heavy intake</w:t>
            </w:r>
          </w:p>
        </w:tc>
        <w:tc>
          <w:tcPr>
            <w:tcW w:type="dxa" w:w="1468"/>
            <w:vAlign w:val="top"/>
          </w:tcPr>
          <w:p>
            <w:pPr>
              <w:spacing w:after="60" w:line="259" w:lineRule="auto"/>
            </w:pPr>
            <w:r>
              <w:rPr>
                <w:rFonts w:ascii="Calibri" w:hAnsi="Calibri"/>
                <w:b w:val="0"/>
                <w:i w:val="0"/>
                <w:color w:val="212121"/>
                <w:sz w:val="19"/>
              </w:rPr>
              <w:t>Alcohol worsens disease (RR ~1.33), reduces adherence and contraindicates methotrexate excess</w:t>
            </w:r>
          </w:p>
          <w:p>
            <w:pPr>
              <w:spacing w:after="40" w:line="252" w:lineRule="auto"/>
            </w:pPr>
            <w:hyperlink r:id="rId12">
              <w:r>
                <w:rPr>
                  <w:rFonts w:ascii="Calibri" w:hAnsi="Calibri" w:cs="Calibri"/>
                  <w:sz w:val="18"/>
                  <w:color w:val="1155CC"/>
                  <w:u w:val="single"/>
                </w:rPr>
                <w:t xml:space="preserve">https://www.frontiersin.org/journals/public-health/articles/10.3389/fpubh.2026.1840932/full</w:t>
              </w:r>
            </w:hyperlink>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Dermatology Life Quality Index (DLQI)</w:t>
            </w:r>
          </w:p>
        </w:tc>
        <w:tc>
          <w:tcPr>
            <w:tcW w:type="dxa" w:w="1655"/>
            <w:vAlign w:val="top"/>
          </w:tcPr>
          <w:p>
            <w:pPr>
              <w:spacing w:after="40" w:before="0" w:line="259" w:lineRule="auto"/>
            </w:pPr>
            <w:r>
              <w:rPr>
                <w:rFonts w:ascii="Calibri" w:hAnsi="Calibri"/>
                <w:b w:val="0"/>
                <w:i w:val="0"/>
                <w:color w:val="212121"/>
                <w:sz w:val="19"/>
              </w:rPr>
              <w:t>All psoriasis patients</w:t>
            </w:r>
          </w:p>
        </w:tc>
        <w:tc>
          <w:tcPr>
            <w:tcW w:type="dxa" w:w="1512"/>
            <w:vAlign w:val="top"/>
          </w:tcPr>
          <w:p>
            <w:pPr>
              <w:spacing w:after="40" w:before="0" w:line="259" w:lineRule="auto"/>
            </w:pPr>
            <w:r>
              <w:rPr>
                <w:rFonts w:ascii="Calibri" w:hAnsi="Calibri"/>
                <w:b w:val="0"/>
                <w:i w:val="0"/>
                <w:color w:val="212121"/>
                <w:sz w:val="19"/>
              </w:rPr>
              <w:t>0-1 (no effect on life)</w:t>
            </w:r>
          </w:p>
        </w:tc>
        <w:tc>
          <w:tcPr>
            <w:tcW w:type="dxa" w:w="1512"/>
            <w:vAlign w:val="top"/>
          </w:tcPr>
          <w:p>
            <w:pPr>
              <w:spacing w:after="40" w:before="0" w:line="259" w:lineRule="auto"/>
            </w:pPr>
            <w:r>
              <w:rPr>
                <w:rFonts w:ascii="Calibri" w:hAnsi="Calibri"/>
                <w:b w:val="0"/>
                <w:i w:val="0"/>
                <w:color w:val="212121"/>
                <w:sz w:val="19"/>
              </w:rPr>
              <w:t>&gt;= 10 (very large effect on life)</w:t>
            </w:r>
          </w:p>
        </w:tc>
        <w:tc>
          <w:tcPr>
            <w:tcW w:type="dxa" w:w="1468"/>
            <w:vAlign w:val="top"/>
          </w:tcPr>
          <w:p>
            <w:pPr>
              <w:spacing w:after="40" w:before="0" w:line="259" w:lineRule="auto"/>
            </w:pPr>
            <w:r>
              <w:rPr>
                <w:rFonts w:ascii="Calibri" w:hAnsi="Calibri"/>
                <w:b w:val="0"/>
                <w:i w:val="0"/>
                <w:color w:val="212121"/>
                <w:sz w:val="19"/>
              </w:rPr>
              <w:t>High DLQI defines severe disease and flags need for systemic therapy and psychological support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Anxiety/depression screen (HADS)</w:t>
            </w:r>
          </w:p>
        </w:tc>
        <w:tc>
          <w:tcPr>
            <w:tcW w:type="dxa" w:w="1655"/>
            <w:vAlign w:val="top"/>
          </w:tcPr>
          <w:p>
            <w:pPr>
              <w:spacing w:after="40" w:before="0" w:line="259" w:lineRule="auto"/>
            </w:pPr>
            <w:r>
              <w:rPr>
                <w:rFonts w:ascii="Calibri" w:hAnsi="Calibri"/>
                <w:b w:val="0"/>
                <w:i w:val="0"/>
                <w:color w:val="212121"/>
                <w:sz w:val="19"/>
              </w:rPr>
              <w:t>Adults with psoriasis</w:t>
            </w:r>
          </w:p>
        </w:tc>
        <w:tc>
          <w:tcPr>
            <w:tcW w:type="dxa" w:w="1512"/>
            <w:vAlign w:val="top"/>
          </w:tcPr>
          <w:p>
            <w:pPr>
              <w:spacing w:after="40" w:before="0" w:line="259" w:lineRule="auto"/>
            </w:pPr>
            <w:r>
              <w:rPr>
                <w:rFonts w:ascii="Calibri" w:hAnsi="Calibri"/>
                <w:b w:val="0"/>
                <w:i w:val="0"/>
                <w:color w:val="212121"/>
                <w:sz w:val="19"/>
              </w:rPr>
              <w:t>&lt; 8 on each subscale</w:t>
            </w:r>
          </w:p>
        </w:tc>
        <w:tc>
          <w:tcPr>
            <w:tcW w:type="dxa" w:w="1512"/>
            <w:vAlign w:val="top"/>
          </w:tcPr>
          <w:p>
            <w:pPr>
              <w:spacing w:after="40" w:before="0" w:line="259" w:lineRule="auto"/>
            </w:pPr>
            <w:r>
              <w:rPr>
                <w:rFonts w:ascii="Calibri" w:hAnsi="Calibri"/>
                <w:b w:val="0"/>
                <w:i w:val="0"/>
                <w:color w:val="212121"/>
                <w:sz w:val="19"/>
              </w:rPr>
              <w:t>&gt;= 8 (probable anxiety or depression)</w:t>
            </w:r>
          </w:p>
        </w:tc>
        <w:tc>
          <w:tcPr>
            <w:tcW w:type="dxa" w:w="1468"/>
            <w:vAlign w:val="top"/>
          </w:tcPr>
          <w:p>
            <w:pPr>
              <w:spacing w:after="60" w:line="259" w:lineRule="auto"/>
            </w:pPr>
            <w:r>
              <w:rPr>
                <w:rFonts w:ascii="Calibri" w:hAnsi="Calibri"/>
                <w:b w:val="0"/>
                <w:i w:val="0"/>
                <w:color w:val="212121"/>
                <w:sz w:val="19"/>
              </w:rPr>
              <w:t>Anxiety ~48% and depression ~42%, rising with severity; screen and refer</w:t>
            </w:r>
          </w:p>
          <w:p>
            <w:pPr>
              <w:spacing w:after="40" w:line="252" w:lineRule="auto"/>
            </w:pPr>
            <w:hyperlink r:id="rId14">
              <w:r>
                <w:rPr>
                  <w:rFonts w:ascii="Calibri" w:hAnsi="Calibri" w:cs="Calibri"/>
                  <w:sz w:val="18"/>
                  <w:color w:val="1155CC"/>
                  <w:u w:val="single"/>
                </w:rPr>
                <w:t xml:space="preserve">http://impactfactor.org/PDF/IJCPR/17/IJCPR,Vol17,Issue3,Article298.pdf</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Body Surface Area involved (%)</w:t>
            </w:r>
          </w:p>
        </w:tc>
        <w:tc>
          <w:tcPr>
            <w:tcW w:type="dxa" w:w="1655"/>
            <w:vAlign w:val="top"/>
          </w:tcPr>
          <w:p>
            <w:pPr>
              <w:spacing w:after="40" w:before="0" w:line="259" w:lineRule="auto"/>
            </w:pPr>
            <w:r>
              <w:rPr>
                <w:rFonts w:ascii="Calibri" w:hAnsi="Calibri"/>
                <w:b w:val="0"/>
                <w:i w:val="0"/>
                <w:color w:val="212121"/>
                <w:sz w:val="19"/>
              </w:rPr>
              <w:t>All psoriasis patients</w:t>
            </w:r>
          </w:p>
        </w:tc>
        <w:tc>
          <w:tcPr>
            <w:tcW w:type="dxa" w:w="1512"/>
            <w:vAlign w:val="top"/>
          </w:tcPr>
          <w:p>
            <w:pPr>
              <w:spacing w:after="40" w:before="0" w:line="259" w:lineRule="auto"/>
            </w:pPr>
            <w:r>
              <w:rPr>
                <w:rFonts w:ascii="Calibri" w:hAnsi="Calibri"/>
                <w:b w:val="0"/>
                <w:i w:val="0"/>
                <w:color w:val="212121"/>
                <w:sz w:val="19"/>
              </w:rPr>
              <w:t>&lt; 3% (limited)</w:t>
            </w:r>
          </w:p>
        </w:tc>
        <w:tc>
          <w:tcPr>
            <w:tcW w:type="dxa" w:w="1512"/>
            <w:vAlign w:val="top"/>
          </w:tcPr>
          <w:p>
            <w:pPr>
              <w:spacing w:after="40" w:before="0" w:line="259" w:lineRule="auto"/>
            </w:pPr>
            <w:r>
              <w:rPr>
                <w:rFonts w:ascii="Calibri" w:hAnsi="Calibri"/>
                <w:b w:val="0"/>
                <w:i w:val="0"/>
                <w:color w:val="212121"/>
                <w:sz w:val="19"/>
              </w:rPr>
              <w:t>&gt; 10% (extensive / severe)</w:t>
            </w:r>
          </w:p>
        </w:tc>
        <w:tc>
          <w:tcPr>
            <w:tcW w:type="dxa" w:w="1468"/>
            <w:vAlign w:val="top"/>
          </w:tcPr>
          <w:p>
            <w:pPr>
              <w:spacing w:after="60" w:line="259" w:lineRule="auto"/>
            </w:pPr>
            <w:r>
              <w:rPr>
                <w:rFonts w:ascii="Calibri" w:hAnsi="Calibri"/>
                <w:b w:val="0"/>
                <w:i w:val="0"/>
                <w:color w:val="212121"/>
                <w:sz w:val="19"/>
              </w:rPr>
              <w:t>BSA guides severity grading and treatment escalation</w:t>
            </w:r>
          </w:p>
          <w:p>
            <w:pPr>
              <w:spacing w:after="40" w:line="252" w:lineRule="auto"/>
            </w:pPr>
            <w:hyperlink r:id="rId10">
              <w:r>
                <w:rPr>
                  <w:rFonts w:ascii="Calibri" w:hAnsi="Calibri" w:cs="Calibri"/>
                  <w:sz w:val="18"/>
                  <w:color w:val="1155CC"/>
                  <w:u w:val="single"/>
                </w:rPr>
                <w:t xml:space="preserve">https://www.ncbi.nlm.nih.gov/books/NBK430879/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Psoriasis Area and Severity Index (PASI)</w:t>
            </w:r>
          </w:p>
        </w:tc>
        <w:tc>
          <w:tcPr>
            <w:tcW w:type="dxa" w:w="1655"/>
            <w:vAlign w:val="top"/>
          </w:tcPr>
          <w:p>
            <w:pPr>
              <w:spacing w:after="40" w:before="0" w:line="259" w:lineRule="auto"/>
            </w:pPr>
            <w:r>
              <w:rPr>
                <w:rFonts w:ascii="Calibri" w:hAnsi="Calibri"/>
                <w:b w:val="0"/>
                <w:i w:val="0"/>
                <w:color w:val="212121"/>
                <w:sz w:val="19"/>
              </w:rPr>
              <w:t>Moderate-to-severe psoriasis</w:t>
            </w:r>
          </w:p>
        </w:tc>
        <w:tc>
          <w:tcPr>
            <w:tcW w:type="dxa" w:w="1512"/>
            <w:vAlign w:val="top"/>
          </w:tcPr>
          <w:p>
            <w:pPr>
              <w:spacing w:after="40" w:before="0" w:line="259" w:lineRule="auto"/>
            </w:pPr>
            <w:r>
              <w:rPr>
                <w:rFonts w:ascii="Calibri" w:hAnsi="Calibri"/>
                <w:b w:val="0"/>
                <w:i w:val="0"/>
                <w:color w:val="212121"/>
                <w:sz w:val="19"/>
              </w:rPr>
              <w:t>&lt; 5 (mild)</w:t>
            </w:r>
          </w:p>
        </w:tc>
        <w:tc>
          <w:tcPr>
            <w:tcW w:type="dxa" w:w="1512"/>
            <w:vAlign w:val="top"/>
          </w:tcPr>
          <w:p>
            <w:pPr>
              <w:spacing w:after="40" w:before="0" w:line="259" w:lineRule="auto"/>
            </w:pPr>
            <w:r>
              <w:rPr>
                <w:rFonts w:ascii="Calibri" w:hAnsi="Calibri"/>
                <w:b w:val="0"/>
                <w:i w:val="0"/>
                <w:color w:val="212121"/>
                <w:sz w:val="19"/>
              </w:rPr>
              <w:t>&gt;= 10 (moderate-to-severe)</w:t>
            </w:r>
          </w:p>
        </w:tc>
        <w:tc>
          <w:tcPr>
            <w:tcW w:type="dxa" w:w="1468"/>
            <w:vAlign w:val="top"/>
          </w:tcPr>
          <w:p>
            <w:pPr>
              <w:spacing w:after="60" w:line="259" w:lineRule="auto"/>
            </w:pPr>
            <w:r>
              <w:rPr>
                <w:rFonts w:ascii="Calibri" w:hAnsi="Calibri"/>
                <w:b w:val="0"/>
                <w:i w:val="0"/>
                <w:color w:val="212121"/>
                <w:sz w:val="19"/>
              </w:rPr>
              <w:t>PASI is the standard severity/treatment-response measure; PASI75/90 are therapeutic targets</w:t>
            </w:r>
          </w:p>
          <w:p>
            <w:pPr>
              <w:spacing w:after="40" w:line="252" w:lineRule="auto"/>
            </w:pPr>
            <w:hyperlink r:id="rId10">
              <w:r>
                <w:rPr>
                  <w:rFonts w:ascii="Calibri" w:hAnsi="Calibri" w:cs="Calibri"/>
                  <w:sz w:val="18"/>
                  <w:color w:val="1155CC"/>
                  <w:u w:val="single"/>
                </w:rPr>
                <w:t xml:space="preserve">https://www.ncbi.nlm.nih.gov/books/NBK430879/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High-sensitivity C-reactive protein (mg/L)</w:t>
            </w:r>
          </w:p>
        </w:tc>
        <w:tc>
          <w:tcPr>
            <w:tcW w:type="dxa" w:w="1655"/>
            <w:vAlign w:val="top"/>
          </w:tcPr>
          <w:p>
            <w:pPr>
              <w:spacing w:after="40" w:before="0" w:line="259" w:lineRule="auto"/>
            </w:pPr>
            <w:r>
              <w:rPr>
                <w:rFonts w:ascii="Calibri" w:hAnsi="Calibri"/>
                <w:b w:val="0"/>
                <w:i w:val="0"/>
                <w:color w:val="212121"/>
                <w:sz w:val="19"/>
              </w:rPr>
              <w:t>Psoriasis with systemic inflammation</w:t>
            </w:r>
          </w:p>
        </w:tc>
        <w:tc>
          <w:tcPr>
            <w:tcW w:type="dxa" w:w="1512"/>
            <w:vAlign w:val="top"/>
          </w:tcPr>
          <w:p>
            <w:pPr>
              <w:spacing w:after="40" w:before="0" w:line="259" w:lineRule="auto"/>
            </w:pPr>
            <w:r>
              <w:rPr>
                <w:rFonts w:ascii="Calibri" w:hAnsi="Calibri"/>
                <w:b w:val="0"/>
                <w:i w:val="0"/>
                <w:color w:val="212121"/>
                <w:sz w:val="19"/>
              </w:rPr>
              <w:t>&lt; 1 mg/L (low CV risk)</w:t>
            </w:r>
          </w:p>
        </w:tc>
        <w:tc>
          <w:tcPr>
            <w:tcW w:type="dxa" w:w="1512"/>
            <w:vAlign w:val="top"/>
          </w:tcPr>
          <w:p>
            <w:pPr>
              <w:spacing w:after="40" w:before="0" w:line="259" w:lineRule="auto"/>
            </w:pPr>
            <w:r>
              <w:rPr>
                <w:rFonts w:ascii="Calibri" w:hAnsi="Calibri"/>
                <w:b w:val="0"/>
                <w:i w:val="0"/>
                <w:color w:val="212121"/>
                <w:sz w:val="19"/>
              </w:rPr>
              <w:t>&gt; 3 mg/L (raised systemic inflammation)</w:t>
            </w:r>
          </w:p>
        </w:tc>
        <w:tc>
          <w:tcPr>
            <w:tcW w:type="dxa" w:w="1468"/>
            <w:vAlign w:val="top"/>
          </w:tcPr>
          <w:p>
            <w:pPr>
              <w:spacing w:after="40" w:before="0" w:line="259" w:lineRule="auto"/>
            </w:pPr>
            <w:r>
              <w:rPr>
                <w:rFonts w:ascii="Calibri" w:hAnsi="Calibri"/>
                <w:b w:val="0"/>
                <w:i w:val="0"/>
                <w:color w:val="212121"/>
                <w:sz w:val="19"/>
              </w:rPr>
              <w:t>Reflects inflammatory burden linked to severity and cardiovascular risk</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Skin (punch) biopsy</w:t>
            </w:r>
          </w:p>
        </w:tc>
        <w:tc>
          <w:tcPr>
            <w:tcW w:type="dxa" w:w="892"/>
            <w:vAlign w:val="top"/>
          </w:tcPr>
          <w:p>
            <w:pPr>
              <w:spacing w:after="40" w:before="0" w:line="259" w:lineRule="auto"/>
            </w:pPr>
            <w:r>
              <w:rPr>
                <w:rFonts w:ascii="Calibri" w:hAnsi="Calibri"/>
                <w:b w:val="0"/>
                <w:i w:val="0"/>
                <w:color w:val="212121"/>
                <w:sz w:val="16"/>
              </w:rPr>
              <w:t>Skin biopsy with H&amp;E</w:t>
            </w:r>
          </w:p>
        </w:tc>
        <w:tc>
          <w:tcPr>
            <w:tcW w:type="dxa" w:w="950"/>
            <w:vAlign w:val="top"/>
          </w:tcPr>
          <w:p>
            <w:pPr>
              <w:spacing w:after="40" w:before="0" w:line="259" w:lineRule="auto"/>
            </w:pPr>
            <w:r>
              <w:rPr>
                <w:rFonts w:ascii="Calibri" w:hAnsi="Calibri"/>
                <w:b w:val="0"/>
                <w:i w:val="0"/>
                <w:color w:val="212121"/>
                <w:sz w:val="16"/>
              </w:rPr>
              <w:t>Normal epidermis and stratum corneum</w:t>
            </w:r>
          </w:p>
        </w:tc>
        <w:tc>
          <w:tcPr>
            <w:tcW w:type="dxa" w:w="950"/>
            <w:vAlign w:val="top"/>
          </w:tcPr>
          <w:p>
            <w:pPr>
              <w:spacing w:after="40" w:before="0" w:line="259" w:lineRule="auto"/>
            </w:pPr>
            <w:r>
              <w:rPr>
                <w:rFonts w:ascii="Calibri" w:hAnsi="Calibri"/>
                <w:b w:val="0"/>
                <w:i w:val="0"/>
                <w:color w:val="212121"/>
                <w:sz w:val="16"/>
              </w:rPr>
              <w:t>Confluent parakeratosis, absent granular layer, acanthosis with elongated rete ridges, dilated papillary capillaries, Munro microabscesses / spongiform pustules of Kogoj</w:t>
            </w:r>
          </w:p>
        </w:tc>
        <w:tc>
          <w:tcPr>
            <w:tcW w:type="dxa" w:w="1036"/>
            <w:vAlign w:val="top"/>
          </w:tcPr>
          <w:p>
            <w:pPr>
              <w:spacing w:after="40" w:before="0" w:line="259" w:lineRule="auto"/>
            </w:pPr>
            <w:r>
              <w:rPr>
                <w:rFonts w:ascii="Calibri" w:hAnsi="Calibri"/>
                <w:b w:val="0"/>
                <w:i w:val="0"/>
                <w:color w:val="212121"/>
                <w:sz w:val="16"/>
              </w:rPr>
              <w:t>Confirms psoriasis in atypical or treatment-resistant cases</w:t>
            </w:r>
          </w:p>
        </w:tc>
        <w:tc>
          <w:tcPr>
            <w:tcW w:type="dxa" w:w="1036"/>
            <w:vAlign w:val="top"/>
          </w:tcPr>
          <w:p>
            <w:pPr>
              <w:spacing w:after="40" w:before="0" w:line="259" w:lineRule="auto"/>
            </w:pPr>
            <w:r>
              <w:rPr>
                <w:rFonts w:ascii="Calibri" w:hAnsi="Calibri"/>
                <w:b w:val="0"/>
                <w:i w:val="0"/>
                <w:color w:val="212121"/>
                <w:sz w:val="16"/>
              </w:rPr>
              <w:t>Atypical morphology, pustular/erythrodermic disease, pre-biologic confirmation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(when clinical doubt)</w:t>
            </w:r>
          </w:p>
        </w:tc>
        <w:tc>
          <w:tcPr>
            <w:tcW w:type="dxa" w:w="720"/>
            <w:vAlign w:val="top"/>
          </w:tcPr>
          <w:p>
            <w:pPr>
              <w:spacing w:after="40" w:before="0" w:line="259" w:lineRule="auto"/>
            </w:pPr>
            <w:r>
              <w:rPr>
                <w:rFonts w:ascii="Calibri" w:hAnsi="Calibri"/>
                <w:b w:val="0"/>
                <w:i w:val="0"/>
                <w:color w:val="212121"/>
                <w:sz w:val="16"/>
              </w:rPr>
              <w:t>Diagnosis is usually clinical; biopsy reserved for uncertainty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w:t>
            </w:r>
          </w:p>
        </w:tc>
        <w:tc>
          <w:tcPr>
            <w:tcW w:type="dxa" w:w="892"/>
            <w:vAlign w:val="top"/>
          </w:tcPr>
          <w:p>
            <w:pPr>
              <w:spacing w:after="40" w:before="0" w:line="259" w:lineRule="auto"/>
            </w:pPr>
            <w:r>
              <w:rPr>
                <w:rFonts w:ascii="Calibri" w:hAnsi="Calibri"/>
                <w:b w:val="0"/>
                <w:i w:val="0"/>
                <w:color w:val="212121"/>
                <w:sz w:val="16"/>
              </w:rPr>
              <w:t>Serum lipids</w:t>
            </w:r>
          </w:p>
        </w:tc>
        <w:tc>
          <w:tcPr>
            <w:tcW w:type="dxa" w:w="950"/>
            <w:vAlign w:val="top"/>
          </w:tcPr>
          <w:p>
            <w:pPr>
              <w:spacing w:after="40" w:before="0" w:line="259" w:lineRule="auto"/>
            </w:pPr>
            <w:r>
              <w:rPr>
                <w:rFonts w:ascii="Calibri" w:hAnsi="Calibri"/>
                <w:b w:val="0"/>
                <w:i w:val="0"/>
                <w:color w:val="212121"/>
                <w:sz w:val="16"/>
              </w:rPr>
              <w:t>TG &lt; 150 mg/dL; HDL M &gt;= 40, F &gt;= 50 mg/dL</w:t>
            </w:r>
          </w:p>
        </w:tc>
        <w:tc>
          <w:tcPr>
            <w:tcW w:type="dxa" w:w="950"/>
            <w:vAlign w:val="top"/>
          </w:tcPr>
          <w:p>
            <w:pPr>
              <w:spacing w:after="40" w:before="0" w:line="259" w:lineRule="auto"/>
            </w:pPr>
            <w:r>
              <w:rPr>
                <w:rFonts w:ascii="Calibri" w:hAnsi="Calibri"/>
                <w:b w:val="0"/>
                <w:i w:val="0"/>
                <w:color w:val="212121"/>
                <w:sz w:val="16"/>
              </w:rPr>
              <w:t>TG &gt;= 150 mg/dL; low HDL; raised LDL</w:t>
            </w:r>
          </w:p>
        </w:tc>
        <w:tc>
          <w:tcPr>
            <w:tcW w:type="dxa" w:w="1036"/>
            <w:vAlign w:val="top"/>
          </w:tcPr>
          <w:p>
            <w:pPr>
              <w:spacing w:after="40" w:before="0" w:line="259" w:lineRule="auto"/>
            </w:pPr>
            <w:r>
              <w:rPr>
                <w:rFonts w:ascii="Calibri" w:hAnsi="Calibri"/>
                <w:b w:val="0"/>
                <w:i w:val="0"/>
                <w:color w:val="212121"/>
                <w:sz w:val="16"/>
              </w:rPr>
              <w:t>Detects the dyslipidaemia of the psoriatic metabolic syndrome</w:t>
            </w:r>
          </w:p>
        </w:tc>
        <w:tc>
          <w:tcPr>
            <w:tcW w:type="dxa" w:w="1036"/>
            <w:vAlign w:val="top"/>
          </w:tcPr>
          <w:p>
            <w:pPr>
              <w:spacing w:after="40" w:before="0" w:line="259" w:lineRule="auto"/>
            </w:pPr>
            <w:r>
              <w:rPr>
                <w:rFonts w:ascii="Calibri" w:hAnsi="Calibri"/>
                <w:b w:val="0"/>
                <w:i w:val="0"/>
                <w:color w:val="212121"/>
                <w:sz w:val="16"/>
              </w:rPr>
              <w:t>All moderate-to-severe psoriasis; before/during systemic therapy</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Comorbidity screening</w:t>
            </w:r>
          </w:p>
        </w:tc>
        <w:tc>
          <w:tcPr>
            <w:tcW w:type="dxa" w:w="720"/>
            <w:vAlign w:val="top"/>
          </w:tcPr>
          <w:p>
            <w:pPr>
              <w:spacing w:after="40" w:before="0" w:line="259" w:lineRule="auto"/>
            </w:pPr>
            <w:r>
              <w:rPr>
                <w:rFonts w:ascii="Calibri" w:hAnsi="Calibri"/>
                <w:b w:val="0"/>
                <w:i w:val="0"/>
                <w:color w:val="212121"/>
                <w:sz w:val="16"/>
              </w:rPr>
              <w:t>Hypertriglyceridaemia found in ~48.7% of Indian psoriasis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tests</w:t>
            </w:r>
          </w:p>
        </w:tc>
        <w:tc>
          <w:tcPr>
            <w:tcW w:type="dxa" w:w="950"/>
            <w:vAlign w:val="top"/>
          </w:tcPr>
          <w:p>
            <w:pPr>
              <w:spacing w:after="40" w:before="0" w:line="259" w:lineRule="auto"/>
            </w:pPr>
            <w:r>
              <w:rPr>
                <w:rFonts w:ascii="Calibri" w:hAnsi="Calibri"/>
                <w:b w:val="0"/>
                <w:i w:val="0"/>
                <w:color w:val="212121"/>
                <w:sz w:val="16"/>
              </w:rPr>
              <w:t>FPG &lt; 100 mg/dL; HbA1c &lt; 5.7%</w:t>
            </w:r>
          </w:p>
        </w:tc>
        <w:tc>
          <w:tcPr>
            <w:tcW w:type="dxa" w:w="950"/>
            <w:vAlign w:val="top"/>
          </w:tcPr>
          <w:p>
            <w:pPr>
              <w:spacing w:after="40" w:before="0" w:line="259" w:lineRule="auto"/>
            </w:pPr>
            <w:r>
              <w:rPr>
                <w:rFonts w:ascii="Calibri" w:hAnsi="Calibri"/>
                <w:b w:val="0"/>
                <w:i w:val="0"/>
                <w:color w:val="212121"/>
                <w:sz w:val="16"/>
              </w:rPr>
              <w:t>FPG &gt;= 100 mg/dL (impaired) / &gt;= 126; HbA1c &gt;= 6.5%</w:t>
            </w:r>
          </w:p>
        </w:tc>
        <w:tc>
          <w:tcPr>
            <w:tcW w:type="dxa" w:w="1036"/>
            <w:vAlign w:val="top"/>
          </w:tcPr>
          <w:p>
            <w:pPr>
              <w:spacing w:after="40" w:before="0" w:line="259" w:lineRule="auto"/>
            </w:pPr>
            <w:r>
              <w:rPr>
                <w:rFonts w:ascii="Calibri" w:hAnsi="Calibri"/>
                <w:b w:val="0"/>
                <w:i w:val="0"/>
                <w:color w:val="212121"/>
                <w:sz w:val="16"/>
              </w:rPr>
              <w:t>Screens for the increased diabetes/insulin-resistance burden in psoriasis</w:t>
            </w:r>
          </w:p>
        </w:tc>
        <w:tc>
          <w:tcPr>
            <w:tcW w:type="dxa" w:w="1036"/>
            <w:vAlign w:val="top"/>
          </w:tcPr>
          <w:p>
            <w:pPr>
              <w:spacing w:after="40" w:before="0" w:line="259" w:lineRule="auto"/>
            </w:pPr>
            <w:r>
              <w:rPr>
                <w:rFonts w:ascii="Calibri" w:hAnsi="Calibri"/>
                <w:b w:val="0"/>
                <w:i w:val="0"/>
                <w:color w:val="212121"/>
                <w:sz w:val="16"/>
              </w:rPr>
              <w:t>Psoriasis with obesity/metabolic syndrome, before systemic drugs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Comorbidity screening</w:t>
            </w:r>
          </w:p>
        </w:tc>
        <w:tc>
          <w:tcPr>
            <w:tcW w:type="dxa" w:w="720"/>
            <w:vAlign w:val="top"/>
          </w:tcPr>
          <w:p>
            <w:pPr>
              <w:spacing w:after="40" w:before="0" w:line="259" w:lineRule="auto"/>
            </w:pPr>
            <w:r>
              <w:rPr>
                <w:rFonts w:ascii="Calibri" w:hAnsi="Calibri"/>
                <w:b w:val="0"/>
                <w:i w:val="0"/>
                <w:color w:val="212121"/>
                <w:sz w:val="16"/>
              </w:rPr>
              <w:t>Impaired fasting glucose in ~18% of Indian psoriasis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Inflammatory markers</w:t>
            </w:r>
          </w:p>
        </w:tc>
        <w:tc>
          <w:tcPr>
            <w:tcW w:type="dxa" w:w="1036"/>
            <w:vAlign w:val="top"/>
          </w:tcPr>
          <w:p>
            <w:pPr>
              <w:spacing w:after="40" w:before="0" w:line="259" w:lineRule="auto"/>
            </w:pPr>
            <w:r>
              <w:rPr>
                <w:rFonts w:ascii="Calibri" w:hAnsi="Calibri"/>
                <w:b w:val="0"/>
                <w:i w:val="0"/>
                <w:color w:val="212121"/>
                <w:sz w:val="16"/>
              </w:rPr>
              <w:t>CRP / ESR</w:t>
            </w:r>
          </w:p>
        </w:tc>
        <w:tc>
          <w:tcPr>
            <w:tcW w:type="dxa" w:w="892"/>
            <w:vAlign w:val="top"/>
          </w:tcPr>
          <w:p>
            <w:pPr>
              <w:spacing w:after="40" w:before="0" w:line="259" w:lineRule="auto"/>
            </w:pPr>
            <w:r>
              <w:rPr>
                <w:rFonts w:ascii="Calibri" w:hAnsi="Calibri"/>
                <w:b w:val="0"/>
                <w:i w:val="0"/>
                <w:color w:val="212121"/>
                <w:sz w:val="16"/>
              </w:rPr>
              <w:t>Acute-phase reactants</w:t>
            </w:r>
          </w:p>
        </w:tc>
        <w:tc>
          <w:tcPr>
            <w:tcW w:type="dxa" w:w="950"/>
            <w:vAlign w:val="top"/>
          </w:tcPr>
          <w:p>
            <w:pPr>
              <w:spacing w:after="40" w:before="0" w:line="259" w:lineRule="auto"/>
            </w:pPr>
            <w:r>
              <w:rPr>
                <w:rFonts w:ascii="Calibri" w:hAnsi="Calibri"/>
                <w:b w:val="0"/>
                <w:i w:val="0"/>
                <w:color w:val="212121"/>
                <w:sz w:val="16"/>
              </w:rPr>
              <w:t>CRP &lt; 3 mg/L; normal ESR</w:t>
            </w:r>
          </w:p>
        </w:tc>
        <w:tc>
          <w:tcPr>
            <w:tcW w:type="dxa" w:w="950"/>
            <w:vAlign w:val="top"/>
          </w:tcPr>
          <w:p>
            <w:pPr>
              <w:spacing w:after="40" w:before="0" w:line="259" w:lineRule="auto"/>
            </w:pPr>
            <w:r>
              <w:rPr>
                <w:rFonts w:ascii="Calibri" w:hAnsi="Calibri"/>
                <w:b w:val="0"/>
                <w:i w:val="0"/>
                <w:color w:val="212121"/>
                <w:sz w:val="16"/>
              </w:rPr>
              <w:t>Raised CRP/ESR</w:t>
            </w:r>
          </w:p>
        </w:tc>
        <w:tc>
          <w:tcPr>
            <w:tcW w:type="dxa" w:w="1036"/>
            <w:vAlign w:val="top"/>
          </w:tcPr>
          <w:p>
            <w:pPr>
              <w:spacing w:after="40" w:before="0" w:line="259" w:lineRule="auto"/>
            </w:pPr>
            <w:r>
              <w:rPr>
                <w:rFonts w:ascii="Calibri" w:hAnsi="Calibri"/>
                <w:b w:val="0"/>
                <w:i w:val="0"/>
                <w:color w:val="212121"/>
                <w:sz w:val="16"/>
              </w:rPr>
              <w:t>Reflects systemic inflammatory burden and helps assess flares/pustular disease and CV risk</w:t>
            </w:r>
          </w:p>
        </w:tc>
        <w:tc>
          <w:tcPr>
            <w:tcW w:type="dxa" w:w="1036"/>
            <w:vAlign w:val="top"/>
          </w:tcPr>
          <w:p>
            <w:pPr>
              <w:spacing w:after="40" w:before="0" w:line="259" w:lineRule="auto"/>
            </w:pPr>
            <w:r>
              <w:rPr>
                <w:rFonts w:ascii="Calibri" w:hAnsi="Calibri"/>
                <w:b w:val="0"/>
                <w:i w:val="0"/>
                <w:color w:val="212121"/>
                <w:sz w:val="16"/>
              </w:rPr>
              <w:t>Severe, pustular or erythrodermic disease; suspected PsA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 / prognostic</w:t>
            </w:r>
          </w:p>
        </w:tc>
        <w:tc>
          <w:tcPr>
            <w:tcW w:type="dxa" w:w="720"/>
            <w:vAlign w:val="top"/>
          </w:tcPr>
          <w:p>
            <w:pPr>
              <w:spacing w:after="40" w:before="0" w:line="259" w:lineRule="auto"/>
            </w:pPr>
            <w:r>
              <w:rPr>
                <w:rFonts w:ascii="Calibri" w:hAnsi="Calibri"/>
                <w:b w:val="0"/>
                <w:i w:val="0"/>
                <w:color w:val="212121"/>
                <w:sz w:val="16"/>
              </w:rPr>
              <w:t>Non-specific; interpret with the clinical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Organ-function baseline</w:t>
            </w:r>
          </w:p>
        </w:tc>
        <w:tc>
          <w:tcPr>
            <w:tcW w:type="dxa" w:w="1036"/>
            <w:vAlign w:val="top"/>
          </w:tcPr>
          <w:p>
            <w:pPr>
              <w:spacing w:after="40" w:before="0" w:line="259" w:lineRule="auto"/>
            </w:pPr>
            <w:r>
              <w:rPr>
                <w:rFonts w:ascii="Calibri" w:hAnsi="Calibri"/>
                <w:b w:val="0"/>
                <w:i w:val="0"/>
                <w:color w:val="212121"/>
                <w:sz w:val="16"/>
              </w:rPr>
              <w:t>Liver &amp; renal function, CBC</w:t>
            </w:r>
          </w:p>
        </w:tc>
        <w:tc>
          <w:tcPr>
            <w:tcW w:type="dxa" w:w="892"/>
            <w:vAlign w:val="top"/>
          </w:tcPr>
          <w:p>
            <w:pPr>
              <w:spacing w:after="40" w:before="0" w:line="259" w:lineRule="auto"/>
            </w:pPr>
            <w:r>
              <w:rPr>
                <w:rFonts w:ascii="Calibri" w:hAnsi="Calibri"/>
                <w:b w:val="0"/>
                <w:i w:val="0"/>
                <w:color w:val="212121"/>
                <w:sz w:val="16"/>
              </w:rPr>
              <w:t>LFT, RFT, complete blood count</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Deranged transaminases, cytopenias, renal impairment</w:t>
            </w:r>
          </w:p>
        </w:tc>
        <w:tc>
          <w:tcPr>
            <w:tcW w:type="dxa" w:w="1036"/>
            <w:vAlign w:val="top"/>
          </w:tcPr>
          <w:p>
            <w:pPr>
              <w:spacing w:after="40" w:before="0" w:line="259" w:lineRule="auto"/>
            </w:pPr>
            <w:r>
              <w:rPr>
                <w:rFonts w:ascii="Calibri" w:hAnsi="Calibri"/>
                <w:b w:val="0"/>
                <w:i w:val="0"/>
                <w:color w:val="212121"/>
                <w:sz w:val="16"/>
              </w:rPr>
              <w:t>Baseline and monitoring for systemic agents (methotrexate, ciclosporin, acitretin) and to detect NAFLD</w:t>
            </w:r>
          </w:p>
        </w:tc>
        <w:tc>
          <w:tcPr>
            <w:tcW w:type="dxa" w:w="1036"/>
            <w:vAlign w:val="top"/>
          </w:tcPr>
          <w:p>
            <w:pPr>
              <w:spacing w:after="40" w:before="0" w:line="259" w:lineRule="auto"/>
            </w:pPr>
            <w:r>
              <w:rPr>
                <w:rFonts w:ascii="Calibri" w:hAnsi="Calibri"/>
                <w:b w:val="0"/>
                <w:i w:val="0"/>
                <w:color w:val="212121"/>
                <w:sz w:val="16"/>
              </w:rPr>
              <w:t>Patients starting/monitoring systemic therapy</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Safety monitoring</w:t>
            </w:r>
          </w:p>
        </w:tc>
        <w:tc>
          <w:tcPr>
            <w:tcW w:type="dxa" w:w="720"/>
            <w:vAlign w:val="top"/>
          </w:tcPr>
          <w:p>
            <w:pPr>
              <w:spacing w:after="40" w:before="0" w:line="259" w:lineRule="auto"/>
            </w:pPr>
            <w:r>
              <w:rPr>
                <w:rFonts w:ascii="Calibri" w:hAnsi="Calibri"/>
                <w:b w:val="0"/>
                <w:i w:val="0"/>
                <w:color w:val="212121"/>
                <w:sz w:val="16"/>
              </w:rPr>
              <w:t>Alcohol and NAFLD increase methotrexate hepatotoxicity risk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 / serology</w:t>
            </w:r>
          </w:p>
        </w:tc>
        <w:tc>
          <w:tcPr>
            <w:tcW w:type="dxa" w:w="1036"/>
            <w:vAlign w:val="top"/>
          </w:tcPr>
          <w:p>
            <w:pPr>
              <w:spacing w:after="40" w:before="0" w:line="259" w:lineRule="auto"/>
            </w:pPr>
            <w:r>
              <w:rPr>
                <w:rFonts w:ascii="Calibri" w:hAnsi="Calibri"/>
                <w:b w:val="0"/>
                <w:i w:val="0"/>
                <w:color w:val="212121"/>
                <w:sz w:val="16"/>
              </w:rPr>
              <w:t>ASO titre / throat swab</w:t>
            </w:r>
          </w:p>
        </w:tc>
        <w:tc>
          <w:tcPr>
            <w:tcW w:type="dxa" w:w="892"/>
            <w:vAlign w:val="top"/>
          </w:tcPr>
          <w:p>
            <w:pPr>
              <w:spacing w:after="40" w:before="0" w:line="259" w:lineRule="auto"/>
            </w:pPr>
            <w:r>
              <w:rPr>
                <w:rFonts w:ascii="Calibri" w:hAnsi="Calibri"/>
                <w:b w:val="0"/>
                <w:i w:val="0"/>
                <w:color w:val="212121"/>
                <w:sz w:val="16"/>
              </w:rPr>
              <w:t>Streptococcal work-up</w:t>
            </w:r>
          </w:p>
        </w:tc>
        <w:tc>
          <w:tcPr>
            <w:tcW w:type="dxa" w:w="950"/>
            <w:vAlign w:val="top"/>
          </w:tcPr>
          <w:p>
            <w:pPr>
              <w:spacing w:after="40" w:before="0" w:line="259" w:lineRule="auto"/>
            </w:pPr>
            <w:r>
              <w:rPr>
                <w:rFonts w:ascii="Calibri" w:hAnsi="Calibri"/>
                <w:b w:val="0"/>
                <w:i w:val="0"/>
                <w:color w:val="212121"/>
                <w:sz w:val="16"/>
              </w:rPr>
              <w:t>No recent streptococcal infection</w:t>
            </w:r>
          </w:p>
        </w:tc>
        <w:tc>
          <w:tcPr>
            <w:tcW w:type="dxa" w:w="950"/>
            <w:vAlign w:val="top"/>
          </w:tcPr>
          <w:p>
            <w:pPr>
              <w:spacing w:after="40" w:before="0" w:line="259" w:lineRule="auto"/>
            </w:pPr>
            <w:r>
              <w:rPr>
                <w:rFonts w:ascii="Calibri" w:hAnsi="Calibri"/>
                <w:b w:val="0"/>
                <w:i w:val="0"/>
                <w:color w:val="212121"/>
                <w:sz w:val="16"/>
              </w:rPr>
              <w:t>Raised ASO / positive throat culture</w:t>
            </w:r>
          </w:p>
        </w:tc>
        <w:tc>
          <w:tcPr>
            <w:tcW w:type="dxa" w:w="1036"/>
            <w:vAlign w:val="top"/>
          </w:tcPr>
          <w:p>
            <w:pPr>
              <w:spacing w:after="40" w:before="0" w:line="259" w:lineRule="auto"/>
            </w:pPr>
            <w:r>
              <w:rPr>
                <w:rFonts w:ascii="Calibri" w:hAnsi="Calibri"/>
                <w:b w:val="0"/>
                <w:i w:val="0"/>
                <w:color w:val="212121"/>
                <w:sz w:val="16"/>
              </w:rPr>
              <w:t>Supports a streptococcal trigger in acute guttate psoriasis</w:t>
            </w:r>
          </w:p>
        </w:tc>
        <w:tc>
          <w:tcPr>
            <w:tcW w:type="dxa" w:w="1036"/>
            <w:vAlign w:val="top"/>
          </w:tcPr>
          <w:p>
            <w:pPr>
              <w:spacing w:after="40" w:before="0" w:line="259" w:lineRule="auto"/>
            </w:pPr>
            <w:r>
              <w:rPr>
                <w:rFonts w:ascii="Calibri" w:hAnsi="Calibri"/>
                <w:b w:val="0"/>
                <w:i w:val="0"/>
                <w:color w:val="212121"/>
                <w:sz w:val="16"/>
              </w:rPr>
              <w:t>Children/young adults with guttate flares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Trigger identification</w:t>
            </w:r>
          </w:p>
        </w:tc>
        <w:tc>
          <w:tcPr>
            <w:tcW w:type="dxa" w:w="720"/>
            <w:vAlign w:val="top"/>
          </w:tcPr>
          <w:p>
            <w:pPr>
              <w:spacing w:after="40" w:before="0" w:line="259" w:lineRule="auto"/>
            </w:pPr>
            <w:r>
              <w:rPr>
                <w:rFonts w:ascii="Calibri" w:hAnsi="Calibri"/>
                <w:b w:val="0"/>
                <w:i w:val="0"/>
                <w:color w:val="212121"/>
                <w:sz w:val="16"/>
              </w:rPr>
              <w:t>Guides consideration of antibiotics/tonsillar assessment in selected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Pre-biologic screening</w:t>
            </w:r>
          </w:p>
        </w:tc>
        <w:tc>
          <w:tcPr>
            <w:tcW w:type="dxa" w:w="1036"/>
            <w:vAlign w:val="top"/>
          </w:tcPr>
          <w:p>
            <w:pPr>
              <w:spacing w:after="40" w:before="0" w:line="259" w:lineRule="auto"/>
            </w:pPr>
            <w:r>
              <w:rPr>
                <w:rFonts w:ascii="Calibri" w:hAnsi="Calibri"/>
                <w:b w:val="0"/>
                <w:i w:val="0"/>
                <w:color w:val="212121"/>
                <w:sz w:val="16"/>
              </w:rPr>
              <w:t>HIV, hepatitis B/C, latent TB (IGRA/Mantoux)</w:t>
            </w:r>
          </w:p>
        </w:tc>
        <w:tc>
          <w:tcPr>
            <w:tcW w:type="dxa" w:w="892"/>
            <w:vAlign w:val="top"/>
          </w:tcPr>
          <w:p>
            <w:pPr>
              <w:spacing w:after="40" w:before="0" w:line="259" w:lineRule="auto"/>
            </w:pPr>
            <w:r>
              <w:rPr>
                <w:rFonts w:ascii="Calibri" w:hAnsi="Calibri"/>
                <w:b w:val="0"/>
                <w:i w:val="0"/>
                <w:color w:val="212121"/>
                <w:sz w:val="16"/>
              </w:rPr>
              <w:t>Infection screen</w:t>
            </w:r>
          </w:p>
        </w:tc>
        <w:tc>
          <w:tcPr>
            <w:tcW w:type="dxa" w:w="950"/>
            <w:vAlign w:val="top"/>
          </w:tcPr>
          <w:p>
            <w:pPr>
              <w:spacing w:after="40" w:before="0" w:line="259" w:lineRule="auto"/>
            </w:pPr>
            <w:r>
              <w:rPr>
                <w:rFonts w:ascii="Calibri" w:hAnsi="Calibri"/>
                <w:b w:val="0"/>
                <w:i w:val="0"/>
                <w:color w:val="212121"/>
                <w:sz w:val="16"/>
              </w:rPr>
              <w:t>Negative screens</w:t>
            </w:r>
          </w:p>
        </w:tc>
        <w:tc>
          <w:tcPr>
            <w:tcW w:type="dxa" w:w="950"/>
            <w:vAlign w:val="top"/>
          </w:tcPr>
          <w:p>
            <w:pPr>
              <w:spacing w:after="40" w:before="0" w:line="259" w:lineRule="auto"/>
            </w:pPr>
            <w:r>
              <w:rPr>
                <w:rFonts w:ascii="Calibri" w:hAnsi="Calibri"/>
                <w:b w:val="0"/>
                <w:i w:val="0"/>
                <w:color w:val="212121"/>
                <w:sz w:val="16"/>
              </w:rPr>
              <w:t>Positive HIV/hepatitis/latent TB</w:t>
            </w:r>
          </w:p>
        </w:tc>
        <w:tc>
          <w:tcPr>
            <w:tcW w:type="dxa" w:w="1036"/>
            <w:vAlign w:val="top"/>
          </w:tcPr>
          <w:p>
            <w:pPr>
              <w:spacing w:after="40" w:before="0" w:line="259" w:lineRule="auto"/>
            </w:pPr>
            <w:r>
              <w:rPr>
                <w:rFonts w:ascii="Calibri" w:hAnsi="Calibri"/>
                <w:b w:val="0"/>
                <w:i w:val="0"/>
                <w:color w:val="212121"/>
                <w:sz w:val="16"/>
              </w:rPr>
              <w:t>HIV can cause severe psoriasis; screening is mandatory before immunosuppressive/biologic therapy</w:t>
            </w:r>
          </w:p>
        </w:tc>
        <w:tc>
          <w:tcPr>
            <w:tcW w:type="dxa" w:w="1036"/>
            <w:vAlign w:val="top"/>
          </w:tcPr>
          <w:p>
            <w:pPr>
              <w:spacing w:after="40" w:before="0" w:line="259" w:lineRule="auto"/>
            </w:pPr>
            <w:r>
              <w:rPr>
                <w:rFonts w:ascii="Calibri" w:hAnsi="Calibri"/>
                <w:b w:val="0"/>
                <w:i w:val="0"/>
                <w:color w:val="212121"/>
                <w:sz w:val="16"/>
              </w:rPr>
              <w:t>Severe or treatment-resistant disease; candidates for systemic/biologic therapy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Safety / etiological</w:t>
            </w:r>
          </w:p>
        </w:tc>
        <w:tc>
          <w:tcPr>
            <w:tcW w:type="dxa" w:w="720"/>
            <w:vAlign w:val="top"/>
          </w:tcPr>
          <w:p>
            <w:pPr>
              <w:spacing w:after="40" w:before="0" w:line="259" w:lineRule="auto"/>
            </w:pPr>
            <w:r>
              <w:rPr>
                <w:rFonts w:ascii="Calibri" w:hAnsi="Calibri"/>
                <w:b w:val="0"/>
                <w:i w:val="0"/>
                <w:color w:val="212121"/>
                <w:sz w:val="16"/>
              </w:rPr>
              <w:t>Latent TB must be excluded before TNF/IL-17/IL-23 inhibitors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Chronic scaly plaques, itching, silvery scale, relapsing course</w:t>
            </w:r>
          </w:p>
        </w:tc>
        <w:tc>
          <w:tcPr>
            <w:tcW w:type="dxa" w:w="950"/>
            <w:vAlign w:val="top"/>
          </w:tcPr>
          <w:p>
            <w:pPr>
              <w:spacing w:after="40" w:before="0" w:line="259" w:lineRule="auto"/>
            </w:pPr>
            <w:r>
              <w:rPr>
                <w:rFonts w:ascii="Calibri" w:hAnsi="Calibri"/>
                <w:b w:val="0"/>
                <w:i w:val="0"/>
                <w:color w:val="212121"/>
                <w:sz w:val="16"/>
              </w:rPr>
              <w:t>No chronic scaly skin lesions</w:t>
            </w:r>
          </w:p>
        </w:tc>
        <w:tc>
          <w:tcPr>
            <w:tcW w:type="dxa" w:w="950"/>
            <w:vAlign w:val="top"/>
          </w:tcPr>
          <w:p>
            <w:pPr>
              <w:spacing w:after="40" w:before="0" w:line="259" w:lineRule="auto"/>
            </w:pPr>
            <w:r>
              <w:rPr>
                <w:rFonts w:ascii="Calibri" w:hAnsi="Calibri"/>
                <w:b w:val="0"/>
                <w:i w:val="0"/>
                <w:color w:val="212121"/>
                <w:sz w:val="16"/>
              </w:rPr>
              <w:t>Persistent/recurrent itchy scaly plaques</w:t>
            </w:r>
          </w:p>
        </w:tc>
        <w:tc>
          <w:tcPr>
            <w:tcW w:type="dxa" w:w="1036"/>
            <w:vAlign w:val="top"/>
          </w:tcPr>
          <w:p>
            <w:pPr>
              <w:spacing w:after="40" w:before="0" w:line="259" w:lineRule="auto"/>
            </w:pPr>
            <w:r>
              <w:rPr>
                <w:rFonts w:ascii="Calibri" w:hAnsi="Calibri"/>
                <w:b w:val="0"/>
                <w:i w:val="0"/>
                <w:color w:val="212121"/>
                <w:sz w:val="16"/>
              </w:rPr>
              <w:t>Characteristic chronic relapsing pattern is the clinical cornerstone</w:t>
            </w:r>
          </w:p>
        </w:tc>
        <w:tc>
          <w:tcPr>
            <w:tcW w:type="dxa" w:w="1036"/>
            <w:vAlign w:val="top"/>
          </w:tcPr>
          <w:p>
            <w:pPr>
              <w:spacing w:after="40" w:before="0" w:line="259" w:lineRule="auto"/>
            </w:pPr>
            <w:r>
              <w:rPr>
                <w:rFonts w:ascii="Calibri" w:hAnsi="Calibri"/>
                <w:b w:val="0"/>
                <w:i w:val="0"/>
                <w:color w:val="212121"/>
                <w:sz w:val="16"/>
              </w:rPr>
              <w:t>All patients with suspected psoriasis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diagnostic</w:t>
            </w:r>
          </w:p>
        </w:tc>
        <w:tc>
          <w:tcPr>
            <w:tcW w:type="dxa" w:w="720"/>
            <w:vAlign w:val="top"/>
          </w:tcPr>
          <w:p>
            <w:pPr>
              <w:spacing w:after="40" w:before="0" w:line="259" w:lineRule="auto"/>
            </w:pPr>
            <w:r>
              <w:rPr>
                <w:rFonts w:ascii="Calibri" w:hAnsi="Calibri"/>
                <w:b w:val="0"/>
                <w:i w:val="0"/>
                <w:color w:val="212121"/>
                <w:sz w:val="16"/>
              </w:rPr>
              <w:t>Itch (pruritus) is reported by 65-95% of patients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Trigger &amp; drug history</w:t>
            </w:r>
          </w:p>
        </w:tc>
        <w:tc>
          <w:tcPr>
            <w:tcW w:type="dxa" w:w="979"/>
            <w:vAlign w:val="top"/>
          </w:tcPr>
          <w:p>
            <w:pPr>
              <w:spacing w:after="40" w:before="0" w:line="259" w:lineRule="auto"/>
            </w:pPr>
            <w:r>
              <w:rPr>
                <w:rFonts w:ascii="Calibri" w:hAnsi="Calibri"/>
                <w:b w:val="0"/>
                <w:i w:val="0"/>
                <w:color w:val="212121"/>
                <w:sz w:val="16"/>
              </w:rPr>
              <w:t>Streptococcal sore throat, trauma, beta-blockers/lithium/antimalarials, steroid withdrawal, stress, smoking, alcohol</w:t>
            </w:r>
          </w:p>
        </w:tc>
        <w:tc>
          <w:tcPr>
            <w:tcW w:type="dxa" w:w="950"/>
            <w:vAlign w:val="top"/>
          </w:tcPr>
          <w:p>
            <w:pPr>
              <w:spacing w:after="40" w:before="0" w:line="259" w:lineRule="auto"/>
            </w:pPr>
            <w:r>
              <w:rPr>
                <w:rFonts w:ascii="Calibri" w:hAnsi="Calibri"/>
                <w:b w:val="0"/>
                <w:i w:val="0"/>
                <w:color w:val="212121"/>
                <w:sz w:val="16"/>
              </w:rPr>
              <w:t>No identifiable triggers</w:t>
            </w:r>
          </w:p>
        </w:tc>
        <w:tc>
          <w:tcPr>
            <w:tcW w:type="dxa" w:w="950"/>
            <w:vAlign w:val="top"/>
          </w:tcPr>
          <w:p>
            <w:pPr>
              <w:spacing w:after="40" w:before="0" w:line="259" w:lineRule="auto"/>
            </w:pPr>
            <w:r>
              <w:rPr>
                <w:rFonts w:ascii="Calibri" w:hAnsi="Calibri"/>
                <w:b w:val="0"/>
                <w:i w:val="0"/>
                <w:color w:val="212121"/>
                <w:sz w:val="16"/>
              </w:rPr>
              <w:t>Clear temporal trigger or provoking drug</w:t>
            </w:r>
          </w:p>
        </w:tc>
        <w:tc>
          <w:tcPr>
            <w:tcW w:type="dxa" w:w="1036"/>
            <w:vAlign w:val="top"/>
          </w:tcPr>
          <w:p>
            <w:pPr>
              <w:spacing w:after="40" w:before="0" w:line="259" w:lineRule="auto"/>
            </w:pPr>
            <w:r>
              <w:rPr>
                <w:rFonts w:ascii="Calibri" w:hAnsi="Calibri"/>
                <w:b w:val="0"/>
                <w:i w:val="0"/>
                <w:color w:val="212121"/>
                <w:sz w:val="16"/>
              </w:rPr>
              <w:t>Identifies modifiable/avoidable precipitants and drug culprits</w:t>
            </w:r>
          </w:p>
        </w:tc>
        <w:tc>
          <w:tcPr>
            <w:tcW w:type="dxa" w:w="1036"/>
            <w:vAlign w:val="top"/>
          </w:tcPr>
          <w:p>
            <w:pPr>
              <w:spacing w:after="40" w:before="0" w:line="259" w:lineRule="auto"/>
            </w:pPr>
            <w:r>
              <w:rPr>
                <w:rFonts w:ascii="Calibri" w:hAnsi="Calibri"/>
                <w:b w:val="0"/>
                <w:i w:val="0"/>
                <w:color w:val="212121"/>
                <w:sz w:val="16"/>
              </w:rPr>
              <w:t>Guttate, unstable, pustular or resistant disease</w:t>
            </w:r>
          </w:p>
        </w:tc>
        <w:tc>
          <w:tcPr>
            <w:tcW w:type="dxa" w:w="720"/>
            <w:vAlign w:val="top"/>
          </w:tcPr>
          <w:p>
            <w:pPr>
              <w:spacing w:after="40" w:before="0" w:line="259" w:lineRule="auto"/>
            </w:pPr>
            <w:r>
              <w:rPr>
                <w:rFonts w:ascii="Calibri" w:hAnsi="Calibri"/>
                <w:b w:val="0"/>
                <w:i w:val="0"/>
                <w:color w:val="212121"/>
                <w:sz w:val="16"/>
              </w:rPr>
              <w:t>Provoking factors; Smoking; Alcohol</w:t>
            </w:r>
          </w:p>
        </w:tc>
        <w:tc>
          <w:tcPr>
            <w:tcW w:type="dxa" w:w="720"/>
            <w:vAlign w:val="top"/>
          </w:tcPr>
          <w:p>
            <w:pPr>
              <w:spacing w:after="40" w:before="0" w:line="259" w:lineRule="auto"/>
            </w:pPr>
            <w:r>
              <w:rPr>
                <w:rFonts w:ascii="Calibri" w:hAnsi="Calibri"/>
                <w:b w:val="0"/>
                <w:i w:val="0"/>
                <w:color w:val="212121"/>
                <w:sz w:val="16"/>
              </w:rPr>
              <w:t>Management-guiding</w:t>
            </w:r>
          </w:p>
        </w:tc>
        <w:tc>
          <w:tcPr>
            <w:tcW w:type="dxa" w:w="720"/>
            <w:vAlign w:val="top"/>
          </w:tcPr>
          <w:p>
            <w:pPr>
              <w:spacing w:after="40" w:before="0" w:line="259" w:lineRule="auto"/>
            </w:pPr>
            <w:r>
              <w:rPr>
                <w:rFonts w:ascii="Calibri" w:hAnsi="Calibri"/>
                <w:b w:val="0"/>
                <w:i w:val="0"/>
                <w:color w:val="212121"/>
                <w:sz w:val="16"/>
              </w:rPr>
              <w:t>Ask specifically about recent throat infection and new medicines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 &amp; age of onset</w:t>
            </w:r>
          </w:p>
        </w:tc>
        <w:tc>
          <w:tcPr>
            <w:tcW w:type="dxa" w:w="979"/>
            <w:vAlign w:val="top"/>
          </w:tcPr>
          <w:p>
            <w:pPr>
              <w:spacing w:after="40" w:before="0" w:line="259" w:lineRule="auto"/>
            </w:pPr>
            <w:r>
              <w:rPr>
                <w:rFonts w:ascii="Calibri" w:hAnsi="Calibri"/>
                <w:b w:val="0"/>
                <w:i w:val="0"/>
                <w:color w:val="212121"/>
                <w:sz w:val="16"/>
              </w:rPr>
              <w:t>First-degree relatives with psoriasis; onset decade</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Positive family history / early onset</w:t>
            </w:r>
          </w:p>
        </w:tc>
        <w:tc>
          <w:tcPr>
            <w:tcW w:type="dxa" w:w="1036"/>
            <w:vAlign w:val="top"/>
          </w:tcPr>
          <w:p>
            <w:pPr>
              <w:spacing w:after="40" w:before="0" w:line="259" w:lineRule="auto"/>
            </w:pPr>
            <w:r>
              <w:rPr>
                <w:rFonts w:ascii="Calibri" w:hAnsi="Calibri"/>
                <w:b w:val="0"/>
                <w:i w:val="0"/>
                <w:color w:val="212121"/>
                <w:sz w:val="16"/>
              </w:rPr>
              <w:t>Supports diagnosis and defines early-onset (type I) phenotype</w:t>
            </w:r>
          </w:p>
        </w:tc>
        <w:tc>
          <w:tcPr>
            <w:tcW w:type="dxa" w:w="1036"/>
            <w:vAlign w:val="top"/>
          </w:tcPr>
          <w:p>
            <w:pPr>
              <w:spacing w:after="40" w:before="0" w:line="259" w:lineRule="auto"/>
            </w:pPr>
            <w:r>
              <w:rPr>
                <w:rFonts w:ascii="Calibri" w:hAnsi="Calibri"/>
                <w:b w:val="0"/>
                <w:i w:val="0"/>
                <w:color w:val="212121"/>
                <w:sz w:val="16"/>
              </w:rPr>
              <w:t>Young patients, guttate/plaque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 / phenotyping</w:t>
            </w:r>
          </w:p>
        </w:tc>
        <w:tc>
          <w:tcPr>
            <w:tcW w:type="dxa" w:w="720"/>
            <w:vAlign w:val="top"/>
          </w:tcPr>
          <w:p>
            <w:pPr>
              <w:spacing w:after="40" w:before="0" w:line="259" w:lineRule="auto"/>
            </w:pPr>
            <w:r>
              <w:rPr>
                <w:rFonts w:ascii="Calibri" w:hAnsi="Calibri"/>
                <w:b w:val="0"/>
                <w:i w:val="0"/>
                <w:color w:val="212121"/>
                <w:sz w:val="16"/>
              </w:rPr>
              <w:t>Early onset associates with HLA-Cw6 and more extensive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Skin plaque assessment</w:t>
            </w:r>
          </w:p>
        </w:tc>
        <w:tc>
          <w:tcPr>
            <w:tcW w:type="dxa" w:w="979"/>
            <w:vAlign w:val="top"/>
          </w:tcPr>
          <w:p>
            <w:pPr>
              <w:spacing w:after="40" w:before="0" w:line="259" w:lineRule="auto"/>
            </w:pPr>
            <w:r>
              <w:rPr>
                <w:rFonts w:ascii="Calibri" w:hAnsi="Calibri"/>
                <w:b w:val="0"/>
                <w:i w:val="0"/>
                <w:color w:val="212121"/>
                <w:sz w:val="16"/>
              </w:rPr>
              <w:t>Well-demarcated erythematous plaques with silvery scale; Auspitz sign; Koebner phenomenon; BSA</w:t>
            </w:r>
          </w:p>
        </w:tc>
        <w:tc>
          <w:tcPr>
            <w:tcW w:type="dxa" w:w="950"/>
            <w:vAlign w:val="top"/>
          </w:tcPr>
          <w:p>
            <w:pPr>
              <w:spacing w:after="40" w:before="0" w:line="259" w:lineRule="auto"/>
            </w:pPr>
            <w:r>
              <w:rPr>
                <w:rFonts w:ascii="Calibri" w:hAnsi="Calibri"/>
                <w:b w:val="0"/>
                <w:i w:val="0"/>
                <w:color w:val="212121"/>
                <w:sz w:val="16"/>
              </w:rPr>
              <w:t>Clear skin</w:t>
            </w:r>
          </w:p>
        </w:tc>
        <w:tc>
          <w:tcPr>
            <w:tcW w:type="dxa" w:w="950"/>
            <w:vAlign w:val="top"/>
          </w:tcPr>
          <w:p>
            <w:pPr>
              <w:spacing w:after="40" w:before="0" w:line="259" w:lineRule="auto"/>
            </w:pPr>
            <w:r>
              <w:rPr>
                <w:rFonts w:ascii="Calibri" w:hAnsi="Calibri"/>
                <w:b w:val="0"/>
                <w:i w:val="0"/>
                <w:color w:val="212121"/>
                <w:sz w:val="16"/>
              </w:rPr>
              <w:t>Typical plaques with positive Auspitz/Koebner</w:t>
            </w:r>
          </w:p>
        </w:tc>
        <w:tc>
          <w:tcPr>
            <w:tcW w:type="dxa" w:w="1036"/>
            <w:vAlign w:val="top"/>
          </w:tcPr>
          <w:p>
            <w:pPr>
              <w:spacing w:after="40" w:before="0" w:line="259" w:lineRule="auto"/>
            </w:pPr>
            <w:r>
              <w:rPr>
                <w:rFonts w:ascii="Calibri" w:hAnsi="Calibri"/>
                <w:b w:val="0"/>
                <w:i w:val="0"/>
                <w:color w:val="212121"/>
                <w:sz w:val="16"/>
              </w:rPr>
              <w:t>Confirms morphology and quantifies extent for severity grading</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severity</w:t>
            </w:r>
          </w:p>
        </w:tc>
        <w:tc>
          <w:tcPr>
            <w:tcW w:type="dxa" w:w="720"/>
            <w:vAlign w:val="top"/>
          </w:tcPr>
          <w:p>
            <w:pPr>
              <w:spacing w:after="40" w:before="0" w:line="259" w:lineRule="auto"/>
            </w:pPr>
            <w:r>
              <w:rPr>
                <w:rFonts w:ascii="Calibri" w:hAnsi="Calibri"/>
                <w:b w:val="0"/>
                <w:i w:val="0"/>
                <w:color w:val="212121"/>
                <w:sz w:val="16"/>
              </w:rPr>
              <w:t>Assess extensor surfaces, scalp, umbilicus, natal cleft and genitalia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Nail examination</w:t>
            </w:r>
          </w:p>
        </w:tc>
        <w:tc>
          <w:tcPr>
            <w:tcW w:type="dxa" w:w="979"/>
            <w:vAlign w:val="top"/>
          </w:tcPr>
          <w:p>
            <w:pPr>
              <w:spacing w:after="40" w:before="0" w:line="259" w:lineRule="auto"/>
            </w:pPr>
            <w:r>
              <w:rPr>
                <w:rFonts w:ascii="Calibri" w:hAnsi="Calibri"/>
                <w:b w:val="0"/>
                <w:i w:val="0"/>
                <w:color w:val="212121"/>
                <w:sz w:val="16"/>
              </w:rPr>
              <w:t>Pitting, onycholysis, oil-drop sign, subungual hyperkeratosis</w:t>
            </w:r>
          </w:p>
        </w:tc>
        <w:tc>
          <w:tcPr>
            <w:tcW w:type="dxa" w:w="950"/>
            <w:vAlign w:val="top"/>
          </w:tcPr>
          <w:p>
            <w:pPr>
              <w:spacing w:after="40" w:before="0" w:line="259" w:lineRule="auto"/>
            </w:pPr>
            <w:r>
              <w:rPr>
                <w:rFonts w:ascii="Calibri" w:hAnsi="Calibri"/>
                <w:b w:val="0"/>
                <w:i w:val="0"/>
                <w:color w:val="212121"/>
                <w:sz w:val="16"/>
              </w:rPr>
              <w:t>Normal nails</w:t>
            </w:r>
          </w:p>
        </w:tc>
        <w:tc>
          <w:tcPr>
            <w:tcW w:type="dxa" w:w="950"/>
            <w:vAlign w:val="top"/>
          </w:tcPr>
          <w:p>
            <w:pPr>
              <w:spacing w:after="40" w:before="0" w:line="259" w:lineRule="auto"/>
            </w:pPr>
            <w:r>
              <w:rPr>
                <w:rFonts w:ascii="Calibri" w:hAnsi="Calibri"/>
                <w:b w:val="0"/>
                <w:i w:val="0"/>
                <w:color w:val="212121"/>
                <w:sz w:val="16"/>
              </w:rPr>
              <w:t>One or more psoriatic nail changes</w:t>
            </w:r>
          </w:p>
        </w:tc>
        <w:tc>
          <w:tcPr>
            <w:tcW w:type="dxa" w:w="1036"/>
            <w:vAlign w:val="top"/>
          </w:tcPr>
          <w:p>
            <w:pPr>
              <w:spacing w:after="40" w:before="0" w:line="259" w:lineRule="auto"/>
            </w:pPr>
            <w:r>
              <w:rPr>
                <w:rFonts w:ascii="Calibri" w:hAnsi="Calibri"/>
                <w:b w:val="0"/>
                <w:i w:val="0"/>
                <w:color w:val="212121"/>
                <w:sz w:val="16"/>
              </w:rPr>
              <w:t>Supports diagnosis and flags higher risk of psoriatic arthritis</w:t>
            </w:r>
          </w:p>
        </w:tc>
        <w:tc>
          <w:tcPr>
            <w:tcW w:type="dxa" w:w="1036"/>
            <w:vAlign w:val="top"/>
          </w:tcPr>
          <w:p>
            <w:pPr>
              <w:spacing w:after="40" w:before="0" w:line="259" w:lineRule="auto"/>
            </w:pPr>
            <w:r>
              <w:rPr>
                <w:rFonts w:ascii="Calibri" w:hAnsi="Calibri"/>
                <w:b w:val="0"/>
                <w:i w:val="0"/>
                <w:color w:val="212121"/>
                <w:sz w:val="16"/>
              </w:rPr>
              <w:t>Diagnostic doubt; suspected PsA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prognostic</w:t>
            </w:r>
          </w:p>
        </w:tc>
        <w:tc>
          <w:tcPr>
            <w:tcW w:type="dxa" w:w="720"/>
            <w:vAlign w:val="top"/>
          </w:tcPr>
          <w:p>
            <w:pPr>
              <w:spacing w:after="40" w:before="0" w:line="259" w:lineRule="auto"/>
            </w:pPr>
            <w:r>
              <w:rPr>
                <w:rFonts w:ascii="Calibri" w:hAnsi="Calibri"/>
                <w:b w:val="0"/>
                <w:i w:val="0"/>
                <w:color w:val="212121"/>
                <w:sz w:val="16"/>
              </w:rPr>
              <w:t>Nail changes are present in ~74% of Indian psoriasis patients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Joint &amp; enthesis screen (PsA)</w:t>
            </w:r>
          </w:p>
        </w:tc>
        <w:tc>
          <w:tcPr>
            <w:tcW w:type="dxa" w:w="979"/>
            <w:vAlign w:val="top"/>
          </w:tcPr>
          <w:p>
            <w:pPr>
              <w:spacing w:after="40" w:before="0" w:line="259" w:lineRule="auto"/>
            </w:pPr>
            <w:r>
              <w:rPr>
                <w:rFonts w:ascii="Calibri" w:hAnsi="Calibri"/>
                <w:b w:val="0"/>
                <w:i w:val="0"/>
                <w:color w:val="212121"/>
                <w:sz w:val="16"/>
              </w:rPr>
              <w:t>Inflammatory joint pain, dactylitis, enthesitis, spinal stiffness</w:t>
            </w:r>
          </w:p>
        </w:tc>
        <w:tc>
          <w:tcPr>
            <w:tcW w:type="dxa" w:w="950"/>
            <w:vAlign w:val="top"/>
          </w:tcPr>
          <w:p>
            <w:pPr>
              <w:spacing w:after="40" w:before="0" w:line="259" w:lineRule="auto"/>
            </w:pPr>
            <w:r>
              <w:rPr>
                <w:rFonts w:ascii="Calibri" w:hAnsi="Calibri"/>
                <w:b w:val="0"/>
                <w:i w:val="0"/>
                <w:color w:val="212121"/>
                <w:sz w:val="16"/>
              </w:rPr>
              <w:t>No joint symptoms/signs</w:t>
            </w:r>
          </w:p>
        </w:tc>
        <w:tc>
          <w:tcPr>
            <w:tcW w:type="dxa" w:w="950"/>
            <w:vAlign w:val="top"/>
          </w:tcPr>
          <w:p>
            <w:pPr>
              <w:spacing w:after="40" w:before="0" w:line="259" w:lineRule="auto"/>
            </w:pPr>
            <w:r>
              <w:rPr>
                <w:rFonts w:ascii="Calibri" w:hAnsi="Calibri"/>
                <w:b w:val="0"/>
                <w:i w:val="0"/>
                <w:color w:val="212121"/>
                <w:sz w:val="16"/>
              </w:rPr>
              <w:t>Swollen/tender joints, dactylitis, enthesitis</w:t>
            </w:r>
          </w:p>
        </w:tc>
        <w:tc>
          <w:tcPr>
            <w:tcW w:type="dxa" w:w="1036"/>
            <w:vAlign w:val="top"/>
          </w:tcPr>
          <w:p>
            <w:pPr>
              <w:spacing w:after="40" w:before="0" w:line="259" w:lineRule="auto"/>
            </w:pPr>
            <w:r>
              <w:rPr>
                <w:rFonts w:ascii="Calibri" w:hAnsi="Calibri"/>
                <w:b w:val="0"/>
                <w:i w:val="0"/>
                <w:color w:val="212121"/>
                <w:sz w:val="16"/>
              </w:rPr>
              <w:t>Detects psoriatic arthritis early to prevent irreversible joint damage</w:t>
            </w:r>
          </w:p>
        </w:tc>
        <w:tc>
          <w:tcPr>
            <w:tcW w:type="dxa" w:w="1036"/>
            <w:vAlign w:val="top"/>
          </w:tcPr>
          <w:p>
            <w:pPr>
              <w:spacing w:after="40" w:before="0" w:line="259" w:lineRule="auto"/>
            </w:pPr>
            <w:r>
              <w:rPr>
                <w:rFonts w:ascii="Calibri" w:hAnsi="Calibri"/>
                <w:b w:val="0"/>
                <w:i w:val="0"/>
                <w:color w:val="212121"/>
                <w:sz w:val="16"/>
              </w:rPr>
              <w:t>All psoriasis patients (screen at review)</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Case-finding</w:t>
            </w:r>
          </w:p>
        </w:tc>
        <w:tc>
          <w:tcPr>
            <w:tcW w:type="dxa" w:w="720"/>
            <w:vAlign w:val="top"/>
          </w:tcPr>
          <w:p>
            <w:pPr>
              <w:spacing w:after="40" w:before="0" w:line="259" w:lineRule="auto"/>
            </w:pPr>
            <w:r>
              <w:rPr>
                <w:rFonts w:ascii="Calibri" w:hAnsi="Calibri"/>
                <w:b w:val="0"/>
                <w:i w:val="0"/>
                <w:color w:val="212121"/>
                <w:sz w:val="16"/>
              </w:rPr>
              <w:t>~8.7% of Indian patients had PsA, most previously undiagnosed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Severity &amp; impact</w:t>
            </w:r>
          </w:p>
        </w:tc>
        <w:tc>
          <w:tcPr>
            <w:tcW w:type="dxa" w:w="950"/>
            <w:vAlign w:val="top"/>
          </w:tcPr>
          <w:p>
            <w:pPr>
              <w:spacing w:after="40" w:before="0" w:line="259" w:lineRule="auto"/>
            </w:pPr>
            <w:r>
              <w:rPr>
                <w:rFonts w:ascii="Calibri" w:hAnsi="Calibri"/>
                <w:b w:val="0"/>
                <w:i w:val="0"/>
                <w:color w:val="212121"/>
                <w:sz w:val="16"/>
              </w:rPr>
              <w:t>PASI / BSA / DLQI &amp; comorbidity review</w:t>
            </w:r>
          </w:p>
        </w:tc>
        <w:tc>
          <w:tcPr>
            <w:tcW w:type="dxa" w:w="979"/>
            <w:vAlign w:val="top"/>
          </w:tcPr>
          <w:p>
            <w:pPr>
              <w:spacing w:after="40" w:before="0" w:line="259" w:lineRule="auto"/>
            </w:pPr>
            <w:r>
              <w:rPr>
                <w:rFonts w:ascii="Calibri" w:hAnsi="Calibri"/>
                <w:b w:val="0"/>
                <w:i w:val="0"/>
                <w:color w:val="212121"/>
                <w:sz w:val="16"/>
              </w:rPr>
              <w:t>PASI, BSA, DLQI, cardiometabolic and mood screen</w:t>
            </w:r>
          </w:p>
        </w:tc>
        <w:tc>
          <w:tcPr>
            <w:tcW w:type="dxa" w:w="950"/>
            <w:vAlign w:val="top"/>
          </w:tcPr>
          <w:p>
            <w:pPr>
              <w:spacing w:after="40" w:before="0" w:line="259" w:lineRule="auto"/>
            </w:pPr>
            <w:r>
              <w:rPr>
                <w:rFonts w:ascii="Calibri" w:hAnsi="Calibri"/>
                <w:b w:val="0"/>
                <w:i w:val="0"/>
                <w:color w:val="212121"/>
                <w:sz w:val="16"/>
              </w:rPr>
              <w:t>Mild disease, DLQI 0-1, no comorbidity</w:t>
            </w:r>
          </w:p>
        </w:tc>
        <w:tc>
          <w:tcPr>
            <w:tcW w:type="dxa" w:w="950"/>
            <w:vAlign w:val="top"/>
          </w:tcPr>
          <w:p>
            <w:pPr>
              <w:spacing w:after="40" w:before="0" w:line="259" w:lineRule="auto"/>
            </w:pPr>
            <w:r>
              <w:rPr>
                <w:rFonts w:ascii="Calibri" w:hAnsi="Calibri"/>
                <w:b w:val="0"/>
                <w:i w:val="0"/>
                <w:color w:val="212121"/>
                <w:sz w:val="16"/>
              </w:rPr>
              <w:t>PASI &gt;= 10 / BSA &gt; 10% / DLQI &gt;= 10, comorbidity present</w:t>
            </w:r>
          </w:p>
        </w:tc>
        <w:tc>
          <w:tcPr>
            <w:tcW w:type="dxa" w:w="1036"/>
            <w:vAlign w:val="top"/>
          </w:tcPr>
          <w:p>
            <w:pPr>
              <w:spacing w:after="40" w:before="0" w:line="259" w:lineRule="auto"/>
            </w:pPr>
            <w:r>
              <w:rPr>
                <w:rFonts w:ascii="Calibri" w:hAnsi="Calibri"/>
                <w:b w:val="0"/>
                <w:i w:val="0"/>
                <w:color w:val="212121"/>
                <w:sz w:val="16"/>
              </w:rPr>
              <w:t>Grades severity, quality-of-life impact and drives treatment/comorbidity management</w:t>
            </w:r>
          </w:p>
        </w:tc>
        <w:tc>
          <w:tcPr>
            <w:tcW w:type="dxa" w:w="1036"/>
            <w:vAlign w:val="top"/>
          </w:tcPr>
          <w:p>
            <w:pPr>
              <w:spacing w:after="40" w:before="0" w:line="259" w:lineRule="auto"/>
            </w:pPr>
            <w:r>
              <w:rPr>
                <w:rFonts w:ascii="Calibri" w:hAnsi="Calibri"/>
                <w:b w:val="0"/>
                <w:i w:val="0"/>
                <w:color w:val="212121"/>
                <w:sz w:val="16"/>
              </w:rPr>
              <w:t>All patients at every review</w:t>
            </w:r>
          </w:p>
        </w:tc>
        <w:tc>
          <w:tcPr>
            <w:tcW w:type="dxa" w:w="720"/>
            <w:vAlign w:val="top"/>
          </w:tcPr>
          <w:p>
            <w:pPr>
              <w:spacing w:after="40" w:before="0" w:line="259" w:lineRule="auto"/>
            </w:pPr>
            <w:r>
              <w:rPr>
                <w:rFonts w:ascii="Calibri" w:hAnsi="Calibri"/>
                <w:b w:val="0"/>
                <w:i w:val="0"/>
                <w:color w:val="212121"/>
                <w:sz w:val="16"/>
              </w:rPr>
              <w:t>Mental health; Provoking factors</w:t>
            </w:r>
          </w:p>
        </w:tc>
        <w:tc>
          <w:tcPr>
            <w:tcW w:type="dxa" w:w="720"/>
            <w:vAlign w:val="top"/>
          </w:tcPr>
          <w:p>
            <w:pPr>
              <w:spacing w:after="40" w:before="0" w:line="259" w:lineRule="auto"/>
            </w:pPr>
            <w:r>
              <w:rPr>
                <w:rFonts w:ascii="Calibri" w:hAnsi="Calibri"/>
                <w:b w:val="0"/>
                <w:i w:val="0"/>
                <w:color w:val="212121"/>
                <w:sz w:val="16"/>
              </w:rPr>
              <w:t>Core to ongoing care</w:t>
            </w:r>
          </w:p>
        </w:tc>
        <w:tc>
          <w:tcPr>
            <w:tcW w:type="dxa" w:w="720"/>
            <w:vAlign w:val="top"/>
          </w:tcPr>
          <w:p>
            <w:pPr>
              <w:spacing w:after="40" w:before="0" w:line="259" w:lineRule="auto"/>
            </w:pPr>
            <w:r>
              <w:rPr>
                <w:rFonts w:ascii="Calibri" w:hAnsi="Calibri"/>
                <w:b w:val="0"/>
                <w:i w:val="0"/>
                <w:color w:val="212121"/>
                <w:sz w:val="16"/>
              </w:rPr>
              <w:t>Screen for metabolic syndrome, CVD risk and depression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Raised, scaly skin plaques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Thickened, well-defined patches of skin, usually over elbows, knees, scalp and lower back.</w:t>
            </w:r>
          </w:p>
        </w:tc>
      </w:tr>
      <w:tr>
        <w:trPr>
          <w:cantSplit/>
        </w:trPr>
        <w:tc>
          <w:tcPr>
            <w:tcW w:type="dxa" w:w="2304"/>
            <w:vAlign w:val="top"/>
          </w:tcPr>
          <w:p>
            <w:pPr>
              <w:spacing w:after="40" w:before="0" w:line="259" w:lineRule="auto"/>
            </w:pPr>
            <w:r>
              <w:rPr>
                <w:rFonts w:ascii="Calibri" w:hAnsi="Calibri"/>
                <w:b/>
                <w:i w:val="0"/>
                <w:color w:val="212121"/>
                <w:sz w:val="19"/>
              </w:rPr>
              <w:t>Itching (pruritus)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Reported by 65-95% of patients; can be intense and disturb sleep and daily function.</w:t>
            </w:r>
          </w:p>
        </w:tc>
      </w:tr>
      <w:tr>
        <w:trPr>
          <w:cantSplit/>
        </w:trPr>
        <w:tc>
          <w:tcPr>
            <w:tcW w:type="dxa" w:w="2304"/>
            <w:vAlign w:val="top"/>
          </w:tcPr>
          <w:p>
            <w:pPr>
              <w:spacing w:after="40" w:before="0" w:line="259" w:lineRule="auto"/>
            </w:pPr>
            <w:r>
              <w:rPr>
                <w:rFonts w:ascii="Calibri" w:hAnsi="Calibri"/>
                <w:b/>
                <w:i w:val="0"/>
                <w:color w:val="212121"/>
                <w:sz w:val="19"/>
              </w:rPr>
              <w:t>Silvery-white scaling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Loose, micaceous scale that flakes off the surface of plaques.</w:t>
            </w:r>
          </w:p>
        </w:tc>
      </w:tr>
      <w:tr>
        <w:trPr>
          <w:cantSplit/>
        </w:trPr>
        <w:tc>
          <w:tcPr>
            <w:tcW w:type="dxa" w:w="2304"/>
            <w:vAlign w:val="top"/>
          </w:tcPr>
          <w:p>
            <w:pPr>
              <w:spacing w:after="40" w:before="0" w:line="259" w:lineRule="auto"/>
            </w:pPr>
            <w:r>
              <w:rPr>
                <w:rFonts w:ascii="Calibri" w:hAnsi="Calibri"/>
                <w:b/>
                <w:i w:val="0"/>
                <w:color w:val="212121"/>
                <w:sz w:val="19"/>
              </w:rPr>
              <w:t>Redness / erythema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Underlying inflammation gives plaques a red or salmon-pink colour.</w:t>
            </w:r>
          </w:p>
        </w:tc>
      </w:tr>
      <w:tr>
        <w:trPr>
          <w:cantSplit/>
        </w:trPr>
        <w:tc>
          <w:tcPr>
            <w:tcW w:type="dxa" w:w="2304"/>
            <w:vAlign w:val="top"/>
          </w:tcPr>
          <w:p>
            <w:pPr>
              <w:spacing w:after="40" w:before="0" w:line="259" w:lineRule="auto"/>
            </w:pPr>
            <w:r>
              <w:rPr>
                <w:rFonts w:ascii="Calibri" w:hAnsi="Calibri"/>
                <w:b/>
                <w:i w:val="0"/>
                <w:color w:val="212121"/>
                <w:sz w:val="19"/>
              </w:rPr>
              <w:t>Dry, cracked skin (fissuring)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Plaques may crack and bleed, especially over joints, hands and feet.</w:t>
            </w:r>
          </w:p>
        </w:tc>
      </w:tr>
      <w:tr>
        <w:trPr>
          <w:cantSplit/>
        </w:trPr>
        <w:tc>
          <w:tcPr>
            <w:tcW w:type="dxa" w:w="2304"/>
            <w:vAlign w:val="top"/>
          </w:tcPr>
          <w:p>
            <w:pPr>
              <w:spacing w:after="40" w:before="0" w:line="259" w:lineRule="auto"/>
            </w:pPr>
            <w:r>
              <w:rPr>
                <w:rFonts w:ascii="Calibri" w:hAnsi="Calibri"/>
                <w:b/>
                <w:i w:val="0"/>
                <w:color w:val="212121"/>
                <w:sz w:val="19"/>
              </w:rPr>
              <w:t>Burning or soreness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stinging or burning discomfort in and around plaques (~15% of patients).</w:t>
            </w:r>
          </w:p>
        </w:tc>
      </w:tr>
      <w:tr>
        <w:trPr>
          <w:cantSplit/>
        </w:trPr>
        <w:tc>
          <w:tcPr>
            <w:tcW w:type="dxa" w:w="2304"/>
            <w:vAlign w:val="top"/>
          </w:tcPr>
          <w:p>
            <w:pPr>
              <w:spacing w:after="40" w:before="0" w:line="259" w:lineRule="auto"/>
            </w:pPr>
            <w:r>
              <w:rPr>
                <w:rFonts w:ascii="Calibri" w:hAnsi="Calibri"/>
                <w:b/>
                <w:i w:val="0"/>
                <w:color w:val="212121"/>
                <w:sz w:val="19"/>
              </w:rPr>
              <w:t>Bleeding on scratching / scale removal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Pinpoint bleeding (Auspitz phenomenon) when scale is scratched off.</w:t>
            </w:r>
          </w:p>
        </w:tc>
      </w:tr>
      <w:tr>
        <w:trPr>
          <w:cantSplit/>
        </w:trPr>
        <w:tc>
          <w:tcPr>
            <w:tcW w:type="dxa" w:w="2304"/>
            <w:vAlign w:val="top"/>
          </w:tcPr>
          <w:p>
            <w:pPr>
              <w:spacing w:after="40" w:before="0" w:line="259" w:lineRule="auto"/>
            </w:pPr>
            <w:r>
              <w:rPr>
                <w:rFonts w:ascii="Calibri" w:hAnsi="Calibri"/>
                <w:b/>
                <w:i w:val="0"/>
                <w:color w:val="212121"/>
                <w:sz w:val="19"/>
              </w:rPr>
              <w:t>Nail changes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Pitting, discolouration, thickening and separation of the nail from its bed (onycholysis).</w:t>
            </w:r>
          </w:p>
        </w:tc>
      </w:tr>
      <w:tr>
        <w:trPr>
          <w:cantSplit/>
        </w:trPr>
        <w:tc>
          <w:tcPr>
            <w:tcW w:type="dxa" w:w="2304"/>
            <w:vAlign w:val="top"/>
          </w:tcPr>
          <w:p>
            <w:pPr>
              <w:spacing w:after="40" w:before="0" w:line="259" w:lineRule="auto"/>
            </w:pPr>
            <w:r>
              <w:rPr>
                <w:rFonts w:ascii="Calibri" w:hAnsi="Calibri"/>
                <w:b/>
                <w:i w:val="0"/>
                <w:color w:val="212121"/>
                <w:sz w:val="19"/>
              </w:rPr>
              <w:t>Scalp itching and flaking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Thick scaly plaques on the scalp, often extending just beyond the hairline.</w:t>
            </w:r>
          </w:p>
        </w:tc>
      </w:tr>
      <w:tr>
        <w:trPr>
          <w:cantSplit/>
        </w:trPr>
        <w:tc>
          <w:tcPr>
            <w:tcW w:type="dxa" w:w="2304"/>
            <w:vAlign w:val="top"/>
          </w:tcPr>
          <w:p>
            <w:pPr>
              <w:spacing w:after="40" w:before="0" w:line="259" w:lineRule="auto"/>
            </w:pPr>
            <w:r>
              <w:rPr>
                <w:rFonts w:ascii="Calibri" w:hAnsi="Calibri"/>
                <w:b/>
                <w:i w:val="0"/>
                <w:color w:val="212121"/>
                <w:sz w:val="19"/>
              </w:rPr>
              <w:t>Joint pain and stiffness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Inflammatory pain, swelling or stiffness suggesting psoriatic arthritis.</w:t>
            </w:r>
          </w:p>
        </w:tc>
      </w:tr>
      <w:tr>
        <w:trPr>
          <w:cantSplit/>
        </w:trPr>
        <w:tc>
          <w:tcPr>
            <w:tcW w:type="dxa" w:w="2304"/>
            <w:vAlign w:val="top"/>
          </w:tcPr>
          <w:p>
            <w:pPr>
              <w:spacing w:after="40" w:before="0" w:line="259" w:lineRule="auto"/>
            </w:pPr>
            <w:r>
              <w:rPr>
                <w:rFonts w:ascii="Calibri" w:hAnsi="Calibri"/>
                <w:b/>
                <w:i w:val="0"/>
                <w:color w:val="212121"/>
                <w:sz w:val="19"/>
              </w:rPr>
              <w:t>New lesions at sites of skin injury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Koebner phenomenon — plaques appearing along scratches, cuts or friction lines.</w:t>
            </w:r>
          </w:p>
        </w:tc>
      </w:tr>
      <w:tr>
        <w:trPr>
          <w:cantSplit/>
        </w:trPr>
        <w:tc>
          <w:tcPr>
            <w:tcW w:type="dxa" w:w="2304"/>
            <w:vAlign w:val="top"/>
          </w:tcPr>
          <w:p>
            <w:pPr>
              <w:spacing w:after="40" w:before="0" w:line="259" w:lineRule="auto"/>
            </w:pPr>
            <w:r>
              <w:rPr>
                <w:rFonts w:ascii="Calibri" w:hAnsi="Calibri"/>
                <w:b/>
                <w:i w:val="0"/>
                <w:color w:val="212121"/>
                <w:sz w:val="19"/>
              </w:rPr>
              <w:t>Widespread redness / skin shedding with fever or chills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erythrodermic or generalised pustular psoriasis — a medical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Well-demarcated erythematous plaques with silvery-white scale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hallmark lesion; sharply bordered, unlike eczema.</w:t>
            </w:r>
          </w:p>
        </w:tc>
      </w:tr>
      <w:tr>
        <w:trPr>
          <w:cantSplit/>
        </w:trPr>
        <w:tc>
          <w:tcPr>
            <w:tcW w:type="dxa" w:w="3456"/>
            <w:vAlign w:val="top"/>
          </w:tcPr>
          <w:p>
            <w:pPr>
              <w:spacing w:after="40" w:before="0" w:line="259" w:lineRule="auto"/>
            </w:pPr>
            <w:r>
              <w:rPr>
                <w:rFonts w:ascii="Calibri" w:hAnsi="Calibri"/>
                <w:b/>
                <w:i w:val="0"/>
                <w:color w:val="212121"/>
                <w:sz w:val="19"/>
              </w:rPr>
              <w:t>Symmetrical extensor distribution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Typically over elbows, knees, scalp, sacrum and umbilicus.</w:t>
            </w:r>
          </w:p>
        </w:tc>
      </w:tr>
      <w:tr>
        <w:trPr>
          <w:cantSplit/>
        </w:trPr>
        <w:tc>
          <w:tcPr>
            <w:tcW w:type="dxa" w:w="3456"/>
            <w:vAlign w:val="top"/>
          </w:tcPr>
          <w:p>
            <w:pPr>
              <w:spacing w:after="40" w:before="0" w:line="259" w:lineRule="auto"/>
            </w:pPr>
            <w:r>
              <w:rPr>
                <w:rFonts w:ascii="Calibri" w:hAnsi="Calibri"/>
                <w:b/>
                <w:i w:val="0"/>
                <w:color w:val="212121"/>
                <w:sz w:val="19"/>
              </w:rPr>
              <w:t>Auspitz sign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Pinpoint bleeding after gentle removal of scale, from dilated dermal papillary vessels.</w:t>
            </w:r>
          </w:p>
        </w:tc>
      </w:tr>
      <w:tr>
        <w:trPr>
          <w:cantSplit/>
        </w:trPr>
        <w:tc>
          <w:tcPr>
            <w:tcW w:type="dxa" w:w="3456"/>
            <w:vAlign w:val="top"/>
          </w:tcPr>
          <w:p>
            <w:pPr>
              <w:spacing w:after="40" w:before="0" w:line="259" w:lineRule="auto"/>
            </w:pPr>
            <w:r>
              <w:rPr>
                <w:rFonts w:ascii="Calibri" w:hAnsi="Calibri"/>
                <w:b/>
                <w:i w:val="0"/>
                <w:color w:val="212121"/>
                <w:sz w:val="19"/>
              </w:rPr>
              <w:t>Koebner (isomorphic) phenomenon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New psoriatic lesions developing at sites of skin trauma.</w:t>
            </w:r>
          </w:p>
        </w:tc>
      </w:tr>
      <w:tr>
        <w:trPr>
          <w:cantSplit/>
        </w:trPr>
        <w:tc>
          <w:tcPr>
            <w:tcW w:type="dxa" w:w="3456"/>
            <w:vAlign w:val="top"/>
          </w:tcPr>
          <w:p>
            <w:pPr>
              <w:spacing w:after="40" w:before="0" w:line="259" w:lineRule="auto"/>
            </w:pPr>
            <w:r>
              <w:rPr>
                <w:rFonts w:ascii="Calibri" w:hAnsi="Calibri"/>
                <w:b/>
                <w:i w:val="0"/>
                <w:color w:val="212121"/>
                <w:sz w:val="19"/>
              </w:rPr>
              <w:t>Nail pitting, onycholysis, oil-drop sign, subungual hyperkeratosis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Psoriatic nail dystrophy, present in about 74% of Indian patients and a marker of arthritis risk.</w:t>
            </w:r>
          </w:p>
        </w:tc>
      </w:tr>
      <w:tr>
        <w:trPr>
          <w:cantSplit/>
        </w:trPr>
        <w:tc>
          <w:tcPr>
            <w:tcW w:type="dxa" w:w="3456"/>
            <w:vAlign w:val="top"/>
          </w:tcPr>
          <w:p>
            <w:pPr>
              <w:spacing w:after="40" w:before="0" w:line="259" w:lineRule="auto"/>
            </w:pPr>
            <w:r>
              <w:rPr>
                <w:rFonts w:ascii="Calibri" w:hAnsi="Calibri"/>
                <w:b/>
                <w:i w:val="0"/>
                <w:color w:val="212121"/>
                <w:sz w:val="19"/>
              </w:rPr>
              <w:t>Scalp scaling extending beyond the hairline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Thick adherent scale on the scalp margin, a frequent presenting site.</w:t>
            </w:r>
          </w:p>
        </w:tc>
      </w:tr>
      <w:tr>
        <w:trPr>
          <w:cantSplit/>
        </w:trPr>
        <w:tc>
          <w:tcPr>
            <w:tcW w:type="dxa" w:w="3456"/>
            <w:vAlign w:val="top"/>
          </w:tcPr>
          <w:p>
            <w:pPr>
              <w:spacing w:after="40" w:before="0" w:line="259" w:lineRule="auto"/>
            </w:pPr>
            <w:r>
              <w:rPr>
                <w:rFonts w:ascii="Calibri" w:hAnsi="Calibri"/>
                <w:b/>
                <w:i w:val="0"/>
                <w:color w:val="212121"/>
                <w:sz w:val="19"/>
              </w:rPr>
              <w:t>Woronoff ring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pale blanching halo of skin surrounding a resolving plaque.</w:t>
            </w:r>
          </w:p>
        </w:tc>
      </w:tr>
      <w:tr>
        <w:trPr>
          <w:cantSplit/>
        </w:trPr>
        <w:tc>
          <w:tcPr>
            <w:tcW w:type="dxa" w:w="3456"/>
            <w:vAlign w:val="top"/>
          </w:tcPr>
          <w:p>
            <w:pPr>
              <w:spacing w:after="40" w:before="0" w:line="259" w:lineRule="auto"/>
            </w:pPr>
            <w:r>
              <w:rPr>
                <w:rFonts w:ascii="Calibri" w:hAnsi="Calibri"/>
                <w:b/>
                <w:i w:val="0"/>
                <w:color w:val="212121"/>
                <w:sz w:val="19"/>
              </w:rPr>
              <w:t>Dactylitis, enthesitis or joint swelling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'Sausage digit', tender entheses and swollen joints indicate psoriatic arthritis.</w:t>
            </w:r>
          </w:p>
        </w:tc>
      </w:tr>
      <w:tr>
        <w:trPr>
          <w:cantSplit/>
        </w:trPr>
        <w:tc>
          <w:tcPr>
            <w:tcW w:type="dxa" w:w="3456"/>
            <w:vAlign w:val="top"/>
          </w:tcPr>
          <w:p>
            <w:pPr>
              <w:spacing w:after="40" w:before="0" w:line="259" w:lineRule="auto"/>
            </w:pPr>
            <w:r>
              <w:rPr>
                <w:rFonts w:ascii="Calibri" w:hAnsi="Calibri"/>
                <w:b/>
                <w:i w:val="0"/>
                <w:color w:val="212121"/>
                <w:sz w:val="19"/>
              </w:rPr>
              <w:t>Generalised erythroderma (&gt; 90% BSA)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Confluent erythema and scaling with impaired thermoregulation and fluid loss — an emergency.</w:t>
            </w:r>
          </w:p>
        </w:tc>
      </w:tr>
      <w:tr>
        <w:trPr>
          <w:cantSplit/>
        </w:trPr>
        <w:tc>
          <w:tcPr>
            <w:tcW w:type="dxa" w:w="3456"/>
            <w:vAlign w:val="top"/>
          </w:tcPr>
          <w:p>
            <w:pPr>
              <w:spacing w:after="40" w:before="0" w:line="259" w:lineRule="auto"/>
            </w:pPr>
            <w:r>
              <w:rPr>
                <w:rFonts w:ascii="Calibri" w:hAnsi="Calibri"/>
                <w:b/>
                <w:i w:val="0"/>
                <w:color w:val="212121"/>
                <w:sz w:val="19"/>
              </w:rPr>
              <w:t>Sterile pustules (palmoplantar or generalised)</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Non-infective pustules; generalised (von Zumbusch) disease is accompanied by fever and systemic upset.</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Erythrodermic psoriasis (generalised exfoliative erythroderma)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Generalised pustular psoriasis (von Zumbusch) with fever and systemic upset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 of fissured/excoriated plaques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Fluid, electrolyte, protein and thermoregulatory disturbance in extensive disease</w:t>
            </w:r>
          </w:p>
        </w:tc>
        <w:tc>
          <w:tcPr>
            <w:tcW w:type="dxa" w:w="2980"/>
            <w:vAlign w:val="top"/>
          </w:tcPr>
          <w:p>
            <w:pPr>
              <w:spacing w:after="40" w:before="0" w:line="259" w:lineRule="auto"/>
            </w:pPr>
            <w:r>
              <w:rPr>
                <w:rFonts w:ascii="Calibri" w:hAnsi="Calibri"/>
                <w:b w:val="0"/>
                <w:i w:val="0"/>
                <w:color w:val="212121"/>
                <w:sz w:val="19"/>
              </w:rPr>
              <w:t>Acute, potentially life-threatening dermatological emergencies arising directly from severe/unstable disease.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Psoriatic arthritis with dactylitis, enthesitis and progressive joint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syndrome, obesity, type 2 diabetes and dyslipidaemia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Cardiovascular disease — myocardial infarction and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Non-alcoholic fatty liver disease (NAFLD)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Uveitis and inflammatory bowel disease (shared inflammatory pathways)</w:t>
            </w:r>
          </w:p>
        </w:tc>
        <w:tc>
          <w:tcPr>
            <w:tcW w:type="dxa" w:w="2980"/>
            <w:vAlign w:val="top"/>
          </w:tcPr>
          <w:p>
            <w:pPr>
              <w:spacing w:after="40" w:before="0" w:line="259" w:lineRule="auto"/>
            </w:pPr>
            <w:r>
              <w:rPr>
                <w:rFonts w:ascii="Calibri" w:hAnsi="Calibri"/>
                <w:b w:val="0"/>
                <w:i w:val="0"/>
                <w:color w:val="212121"/>
                <w:sz w:val="19"/>
              </w:rPr>
              <w:t>Systemic comorbidities driven by chronic IL-23/IL-17/TNF-mediated inflammation and shared metabolic pathways.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joint deformity and disability (including arthritis mutilans)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Excess cardiovascular morbidity and mortality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and increased suicidality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stigma, discrimination and impaired quality of life and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Treatment-related toxicity (e.g. methotrexate/ciclosporin organ effects, phototherapy skin ageing)</w:t>
            </w:r>
          </w:p>
        </w:tc>
        <w:tc>
          <w:tcPr>
            <w:tcW w:type="dxa" w:w="2980"/>
            <w:vAlign w:val="top"/>
          </w:tcPr>
          <w:p>
            <w:pPr>
              <w:spacing w:after="40" w:before="0" w:line="259" w:lineRule="auto"/>
            </w:pPr>
            <w:r>
              <w:rPr>
                <w:rFonts w:ascii="Calibri" w:hAnsi="Calibri"/>
                <w:b w:val="0"/>
                <w:i w:val="0"/>
                <w:color w:val="212121"/>
                <w:sz w:val="19"/>
              </w:rPr>
              <w:t>Long-term disabling, psychosocial and iatrogenic outcomes of chronic, poorly controlled systemic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Psoriatic arthritis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Inflammatory arthritis sharing the IL-23/IL-17 mechanism; develops in a substantial minority and, if missed, causes irreversible joint damage. In Indian patients ~8.7% had PsA (worldwide up to ~30%).</w:t>
            </w:r>
          </w:p>
          <w:p>
            <w:pPr>
              <w:spacing w:after="40" w:before="0" w:line="259" w:lineRule="auto"/>
            </w:pPr>
            <w:r>
              <w:rPr>
                <w:rFonts w:ascii="Calibri" w:hAnsi="Calibri"/>
                <w:b/>
                <w:i w:val="0"/>
                <w:color w:val="212121"/>
                <w:sz w:val="19"/>
              </w:rPr>
              <w:t>~8.7% (up to ~30%)</w:t>
            </w:r>
          </w:p>
        </w:tc>
      </w:tr>
      <w:tr>
        <w:trPr>
          <w:cantSplit/>
        </w:trPr>
        <w:tc>
          <w:tcPr>
            <w:tcW w:type="dxa" w:w="2232"/>
            <w:vAlign w:val="top"/>
          </w:tcPr>
          <w:p>
            <w:pPr>
              <w:spacing w:after="40" w:before="0" w:line="259" w:lineRule="auto"/>
            </w:pPr>
            <w:r>
              <w:rPr>
                <w:rFonts w:ascii="Calibri" w:hAnsi="Calibri"/>
                <w:b/>
                <w:i w:val="0"/>
                <w:color w:val="212121"/>
                <w:sz w:val="19"/>
              </w:rPr>
              <w:t>Metabolic syndrome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Shared chronic inflammation and insulin resistance; more prevalent and tracking with disease duration/severity. An Indian study found 28% vs 6% in controls (OR 6.09).</w:t>
            </w:r>
          </w:p>
          <w:p>
            <w:pPr>
              <w:spacing w:after="40" w:before="0" w:line="259" w:lineRule="auto"/>
            </w:pPr>
            <w:r>
              <w:rPr>
                <w:rFonts w:ascii="Calibri" w:hAnsi="Calibri"/>
                <w:b/>
                <w:i w:val="0"/>
                <w:color w:val="212121"/>
                <w:sz w:val="19"/>
              </w:rPr>
              <w:t>Up to ~28%</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Both a risk factor for and a consequence of psoriasis via adipokine-driven inflammation; roughly doubles onset risk and worsens severity and treatment response.</w:t>
            </w:r>
          </w:p>
          <w:p>
            <w:pPr>
              <w:spacing w:after="40" w:before="0" w:line="259" w:lineRule="auto"/>
            </w:pPr>
            <w:r>
              <w:rPr>
                <w:rFonts w:ascii="Calibri" w:hAnsi="Calibri"/>
                <w:b/>
                <w:i w:val="0"/>
                <w:color w:val="212121"/>
                <w:sz w:val="19"/>
              </w:rPr>
              <w:t>~2-fold risk</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Component of the psoriatic metabolic syndrome with shared endothelial/inflammatory mechanisms; found in ~49% of Indian psoriasis patients.</w:t>
            </w:r>
          </w:p>
          <w:p>
            <w:pPr>
              <w:spacing w:after="40" w:before="0" w:line="259" w:lineRule="auto"/>
            </w:pPr>
            <w:r>
              <w:rPr>
                <w:rFonts w:ascii="Calibri" w:hAnsi="Calibri"/>
                <w:b/>
                <w:i w:val="0"/>
                <w:color w:val="212121"/>
                <w:sz w:val="19"/>
              </w:rPr>
              <w:t>~49%</w:t>
            </w:r>
          </w:p>
        </w:tc>
      </w:tr>
      <w:tr>
        <w:trPr>
          <w:cantSplit/>
        </w:trPr>
        <w:tc>
          <w:tcPr>
            <w:tcW w:type="dxa" w:w="2232"/>
            <w:vAlign w:val="top"/>
          </w:tcPr>
          <w:p>
            <w:pPr>
              <w:spacing w:after="40" w:before="0" w:line="259" w:lineRule="auto"/>
            </w:pPr>
            <w:r>
              <w:rPr>
                <w:rFonts w:ascii="Calibri" w:hAnsi="Calibri"/>
                <w:b/>
                <w:i w:val="0"/>
                <w:color w:val="212121"/>
                <w:sz w:val="19"/>
              </w:rPr>
              <w:t>Dyslipidaemia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High triglycerides and low HDL are common and atherogenic; hypertriglyceridaemia was present in ~48.7% of Indian psoriasis patients.</w:t>
            </w:r>
          </w:p>
          <w:p>
            <w:pPr>
              <w:spacing w:after="40" w:before="0" w:line="259" w:lineRule="auto"/>
            </w:pPr>
            <w:r>
              <w:rPr>
                <w:rFonts w:ascii="Calibri" w:hAnsi="Calibri"/>
                <w:b/>
                <w:i w:val="0"/>
                <w:color w:val="212121"/>
                <w:sz w:val="19"/>
              </w:rPr>
              <w:t>~49%</w:t>
            </w:r>
          </w:p>
        </w:tc>
      </w:tr>
      <w:tr>
        <w:trPr>
          <w:cantSplit/>
        </w:trPr>
        <w:tc>
          <w:tcPr>
            <w:tcW w:type="dxa" w:w="2232"/>
            <w:vAlign w:val="top"/>
          </w:tcPr>
          <w:p>
            <w:pPr>
              <w:spacing w:after="40" w:before="0" w:line="259" w:lineRule="auto"/>
            </w:pPr>
            <w:r>
              <w:rPr>
                <w:rFonts w:ascii="Calibri" w:hAnsi="Calibri"/>
                <w:b/>
                <w:i w:val="0"/>
                <w:color w:val="212121"/>
                <w:sz w:val="19"/>
              </w:rPr>
              <w:t>Type 2 diabetes / impaired fasting glucose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Insulin resistance links psoriasis to dysglycaemia; impaired fasting glucose was seen in ~18% of Indian psoriasis patients.</w:t>
            </w:r>
          </w:p>
          <w:p>
            <w:pPr>
              <w:spacing w:after="40" w:before="0" w:line="259" w:lineRule="auto"/>
            </w:pPr>
            <w:r>
              <w:rPr>
                <w:rFonts w:ascii="Calibri" w:hAnsi="Calibri"/>
                <w:b/>
                <w:i w:val="0"/>
                <w:color w:val="212121"/>
                <w:sz w:val="19"/>
              </w:rPr>
              <w:t>~18% (impaired fasting glucose)</w:t>
            </w:r>
          </w:p>
        </w:tc>
      </w:tr>
      <w:tr>
        <w:trPr>
          <w:cantSplit/>
        </w:trPr>
        <w:tc>
          <w:tcPr>
            <w:tcW w:type="dxa" w:w="2232"/>
            <w:vAlign w:val="top"/>
          </w:tcPr>
          <w:p>
            <w:pPr>
              <w:spacing w:after="40" w:before="0" w:line="259" w:lineRule="auto"/>
            </w:pPr>
            <w:r>
              <w:rPr>
                <w:rFonts w:ascii="Calibri" w:hAnsi="Calibri"/>
                <w:b/>
                <w:i w:val="0"/>
                <w:color w:val="212121"/>
                <w:sz w:val="19"/>
              </w:rPr>
              <w:t>Cardiovascular disease (MI/stroke)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Systemic inflammation accelerates atherosclerosis; myocardial infarction risk is raised, especially in young patients with severe disease (adjusted RR up to ~3.1).</w:t>
            </w:r>
          </w:p>
          <w:p>
            <w:pPr>
              <w:spacing w:after="40" w:before="0" w:line="259" w:lineRule="auto"/>
            </w:pPr>
            <w:r>
              <w:rPr>
                <w:rFonts w:ascii="Calibri" w:hAnsi="Calibri"/>
                <w:b/>
                <w:i w:val="0"/>
                <w:color w:val="212121"/>
                <w:sz w:val="19"/>
              </w:rPr>
              <w:t>RR up to ~3.1 (severe, young)</w:t>
            </w:r>
          </w:p>
        </w:tc>
      </w:tr>
      <w:tr>
        <w:trPr>
          <w:cantSplit/>
        </w:trPr>
        <w:tc>
          <w:tcPr>
            <w:tcW w:type="dxa" w:w="2232"/>
            <w:vAlign w:val="top"/>
          </w:tcPr>
          <w:p>
            <w:pPr>
              <w:spacing w:after="40" w:before="0" w:line="259" w:lineRule="auto"/>
            </w:pPr>
            <w:r>
              <w:rPr>
                <w:rFonts w:ascii="Calibri" w:hAnsi="Calibri"/>
                <w:b/>
                <w:i w:val="0"/>
                <w:color w:val="212121"/>
                <w:sz w:val="19"/>
              </w:rPr>
              <w:t>Non-alcoholic fatty liver disease (NAFLD)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Hepatic manifestation of the shared metabolic-inflammatory state; important because it raises the hepatotoxicity risk of methotrexate.</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High, severity-dependent psychological burden through visible disease and shared inflammation; ~42% depression and ~48% anxiety in an Indian cohort, worsening adherence and outcomes.</w:t>
            </w:r>
          </w:p>
          <w:p>
            <w:pPr>
              <w:spacing w:after="40" w:before="0" w:line="259" w:lineRule="auto"/>
            </w:pPr>
            <w:r>
              <w:rPr>
                <w:rFonts w:ascii="Calibri" w:hAnsi="Calibri"/>
                <w:b/>
                <w:i w:val="0"/>
                <w:color w:val="212121"/>
                <w:sz w:val="19"/>
              </w:rPr>
              <w:t>~42% depression; ~48% anxiety</w:t>
            </w:r>
          </w:p>
        </w:tc>
      </w:tr>
      <w:tr>
        <w:trPr>
          <w:cantSplit/>
        </w:trPr>
        <w:tc>
          <w:tcPr>
            <w:tcW w:type="dxa" w:w="2232"/>
            <w:vAlign w:val="top"/>
          </w:tcPr>
          <w:p>
            <w:pPr>
              <w:spacing w:after="40" w:before="0" w:line="259" w:lineRule="auto"/>
            </w:pPr>
            <w:r>
              <w:rPr>
                <w:rFonts w:ascii="Calibri" w:hAnsi="Calibri"/>
                <w:b/>
                <w:i w:val="0"/>
                <w:color w:val="212121"/>
                <w:sz w:val="19"/>
              </w:rPr>
              <w:t>Inflammatory bowel disease (Crohn's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IL-23/IL-17 immunogenetics with psoriasis and co-occurs more often than expected; relevant to the choice of systemic/biologic therapy.</w:t>
            </w:r>
          </w:p>
        </w:tc>
      </w:tr>
      <w:tr>
        <w:trPr>
          <w:cantSplit/>
        </w:trPr>
        <w:tc>
          <w:tcPr>
            <w:tcW w:type="dxa" w:w="2232"/>
            <w:vAlign w:val="top"/>
          </w:tcPr>
          <w:p>
            <w:pPr>
              <w:spacing w:after="40" w:before="0" w:line="259" w:lineRule="auto"/>
            </w:pPr>
            <w:r>
              <w:rPr>
                <w:rFonts w:ascii="Calibri" w:hAnsi="Calibri"/>
                <w:b/>
                <w:i w:val="0"/>
                <w:color w:val="212121"/>
                <w:sz w:val="19"/>
              </w:rPr>
              <w:t>Uveitis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Inflammatory eye disease within the psoriatic/spondyloarthritis spectrum, more frequent with psoriatic arthritis; needs prompt ophthalmological care.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psoriasis is a chronic, non-contagious, immune-mediated systemic disease that can be controlled but not permanently cured, and that adherence to long-term treatment is key.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recognise and avoid personal flare triggers — throat infections, skin injury (Koebner), certain drugs (beta-blockers, lithium, antimalarials), abrupt stopping of oral steroids, smoking, alcohol and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emollients regularly and handle the skin gently (avoid scratching, picking and harsh scrubbing) to protect the barrier and prevent new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reviews and screening for the associated conditions — psoriatic arthritis, high blood pressure, diabetes, high cholesterol, fatty liver, heart disease and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urgent care for rapidly spreading redness, widespread pustules, fever or new joint swelling, which may signal severe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stop or start systemic medicines or oral steroids without medical advice, as this can precipitate severe flares.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psoriasis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members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systemic therapy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at least 150 minutes/week of moderate aerobic activity (brisk walking, cycling, swimming) to reduce systemic inflammation and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5-10% weight loss if overweight/obese, which measurably improves psoriasis severity and treatment response.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resistance/strength training 2-3 days/week to preserve muscle and support weight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low-impact activity if psoriatic arthritis is present, and keep joints mobile to prevent stiffness.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non-irritating clothing and prompt emollient/shower after exercise to limit sweat- and friction-related irritation.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psoriatic arthritis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Mediterranean-style diet rich in vegetables, fruit, whole grains, pulses, nuts and olive oil.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omega-3 sources (fatty fish, flaxseed, walnuts) which may modestly reduce inflammation.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saturated and trans fats, red/processed meat, refined carbohydrate, sugary drinks and ultra-processed foods that promote obesity and inflammation.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and control blood sugar, blood pressure and lipids through diet as part of cardiometabolic risk reduction.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well hydrated and use emollients to counter skin dryness and scaling.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metabolic syndrome/dyslipidaemia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NAFLD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High-processed-diet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nocturnal itch with emollients, appropriate topical therapy and, where advised, antihistamines to protect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sleep-wake timing and good sleep hygiene, as poor sleep may worsen inflammation and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obstructive sleep apnoea, which is commoner in obese psoriasis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evening stress and screen use to reduce sleep-onset difficulty.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coexisting depression and anxiety, which frequently disturb sleep in psoriasis.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severe itch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patients / suspected 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anxiety 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unstable disease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smoke — smoking increases the risk of developing psoriasis (RR ~1.67), worsens severity and drives palmoplantar pustular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and use structured cessation support (counselling plus pharmacotherapy) to all smokers with psoriasis.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quitting lowers risk over time, although some excess risk persists for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other combustion exposures.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that stopping smoking also reduces the added cardiovascular risk of psoriasis.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smokers with psoriasis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palmoplantar pustulosis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high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intake minimal, as it is associated with higher risk (RR ~1.33) and severity of psoriasis and can trigger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excess entirely when taking methotrexate or acitretin because of the risk of liver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alcohol reduces treatment adherence and can worsen mood and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hazardous or dependent drinking as part of overall disease management.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alcohol reduction with weight, blood-pressure and lipid control for cardiometabolic benefit.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methotrexate/acitretin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NAFLD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resistant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routinely for depression and anxiety, which affect roughly 42% and 48% of patients and rise with severity.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(relaxation, mindfulness, breathing exercises, yoga) as stress is a common flare trigger.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psychological therapy (e.g. CBT) and, where indicated, pharmacological treatment or psychiatric referral for significant mood or anxiety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Signpost to patient support groups to reduce isolation and the impact of stigma.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Reinforce that effective skin and joint control itself improves mood, confidence and quality of life.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visible/severe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depression or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poor treatment adherence</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jdvl.com/psoriasis-in-india-prevalence-and-pattern/" TargetMode="External"/><Relationship Id="rId10" Type="http://schemas.openxmlformats.org/officeDocument/2006/relationships/hyperlink" Target="https://www.ncbi.nlm.nih.gov/books/NBK430879/" TargetMode="External"/><Relationship Id="rId11" Type="http://schemas.openxmlformats.org/officeDocument/2006/relationships/hyperlink" Target="https://www.who.int/news/item/26-02-2016-who-publishes-new-report-on-psoriasis" TargetMode="External"/><Relationship Id="rId12" Type="http://schemas.openxmlformats.org/officeDocument/2006/relationships/hyperlink" Target="https://www.frontiersin.org/journals/public-health/articles/10.3389/fpubh.2026.1840932/full" TargetMode="External"/><Relationship Id="rId13" Type="http://schemas.openxmlformats.org/officeDocument/2006/relationships/hyperlink" Target="https://pubmed.ncbi.nlm.nih.gov/19734975/" TargetMode="External"/><Relationship Id="rId14" Type="http://schemas.openxmlformats.org/officeDocument/2006/relationships/hyperlink" Target="http://impactfactor.org/PDF/IJCPR/17/IJCPR,Vol17,Issue3,Article298.pdf" TargetMode="External"/><Relationship Id="rId15" Type="http://schemas.openxmlformats.org/officeDocument/2006/relationships/hyperlink" Target="https://ijdvl.com/prevalence-and-clinical-patterns-of-psoriatic-arthritis-in-indian-patients-with-psoriasis/" TargetMode="External"/><Relationship Id="rId16" Type="http://schemas.openxmlformats.org/officeDocument/2006/relationships/hyperlink" Target="https://ijdvl.com/prevalence-of-metabolic-syndrome-in-patients-with-psoriasis-2/" TargetMode="External"/><Relationship Id="rId17" Type="http://schemas.openxmlformats.org/officeDocument/2006/relationships/hyperlink" Target="https://www.med.upenn.edu/gelfand/assets/user-content/risk-of-myocardial-infarction-in-patients-with-psoriasi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