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Vitiligo</w:t>
      </w:r>
    </w:p>
    <w:p>
      <w:pPr>
        <w:spacing w:before="0" w:after="160"/>
      </w:pPr>
      <w:r>
        <w:rPr>
          <w:rFonts w:ascii="Calibri" w:hAnsi="Calibri"/>
          <w:b/>
          <w:i w:val="0"/>
          <w:color w:val="212121"/>
          <w:sz w:val="22"/>
        </w:rPr>
        <w:t xml:space="preserve">AKA </w:t>
      </w:r>
      <w:r>
        <w:rPr>
          <w:rFonts w:ascii="Calibri" w:hAnsi="Calibri"/>
          <w:b w:val="0"/>
          <w:i w:val="0"/>
          <w:color w:val="212121"/>
          <w:sz w:val="22"/>
        </w:rPr>
        <w:t>i.e., Leucoderma, Safed daag (white spots/patches), Phulveri, Switra (Ayurveda), Acquired leukoderma, White-patch disease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Vitiligo is an acquired, chronic autoimmune depigmenting disorder characterised by well-demarcated, milky- or chalk-white macules and patches that result from the progressive loss and destruction of functioning melanocytes in the epidermis, and sometimes in the hair follicles and mucous membranes. It is neither contagious nor life-threatening, but it is cosmetically disfiguring and, against the backdrop of India's darker skin phototypes and deep-rooted social stigma, carries a heavy psychosocial, marital and occupational burden. The disease typically pursues a chronic, unpredictable, relapsing-remitting course and is strongly associated with other organ-specific autoimmune diseases, most notably thyroid disease.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Vitiligo is among the most visible and psychosocially burdensome dermatoses seen in Indian practice. Global prevalence is generally cited at about 0.5–2% of the population, but India reports some of the highest figures in the world — up to roughly 8.8% in certain series — with most Indian hospital studies placing the incidence at around 0.25–2.5% of dermatology outpatients, and Gujarat, Rajasthan and urban north-Indian cohorts featuring prominently in the literature. Onset is typically in the second and third decades of life, with about 78% of Indian patients developing the disease before the age of 40. Although the sexes are affected roughly equally biologically, hospital series show a modest female preponderance (around 55–59%), largely because women present earlier owing to greater cosmetic and social — including marital — concern.</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Vitiligo is primarily a clinical diagnosis, supported by simple bedside tools that confirm true depigmentation, gauge disease activity and screen for associated autoimmunity. Diagnosis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acquired, well-circumscribed, milky- or chalk-white macules and patches (true depigmentation, not mere hypopigmentation), often bilateral and symmetrical, over predisposed sites — periorificial face, dorsa of hands and feet, elbows, knees, body folds and genitalia;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Wood's lamp (365 nm) examination, under which depigmented lesions emit a bright blue-white, sharply marginated fluorescence — distinguishing vitiligo from hypopigmented mimics (pityriasis alba, post-inflammatory hypopigmentation, pityriasis versicolor, nevus depigmentosus and, importantly in India, hypopigmented leprosy) and revealing subclinical lesions, especially in fairer skin;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dermoscopy showing perifollicular pigmentation and perilesional hyperpigmentation in stable disease, with activity markers such as ill-defined borders, a comet-tail or starburst appearance, micro-Koebnerisation and trichrome zones;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assessment of disease activity with the Vitiligo Disease Activity (VIDA) score and of extent/severity with the Vitiligo Area Scoring Index (VASI) or Vitiligo Extent Score for baseline grading and monitoring of treatment response;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skin biopsy (rarely required) demonstrating complete absence of melanocytes and melanin in affected epidermis — confirmed by Melan-A, HMB-45 or S100 immunostaining — with a lymphocytic infiltrate at the advancing margin in active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baseline screening for associated autoimmunity — thyroid function and anti-thyroid-peroxidase (anti-TPO) antibodies, fasting glucose/HbA1c, and, where indicated, complete blood count, serum vitamin B12 (pernicious anaemia) and antinuclear antibody — given the well-recognised autoimmune clustering.</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Following the Vitiligo Global Issues Consensus Conference (VGICC, 2012), vitiligo is classified chiefly by the distribution and pattern of depigmentation, which in turn predicts prognosis, autoimmune association and response to treatment:</w:t>
      </w:r>
    </w:p>
    <w:p>
      <w:pPr>
        <w:spacing w:before="0" w:after="80"/>
      </w:pPr>
      <w:r>
        <w:rPr>
          <w:rFonts w:ascii="Calibri" w:hAnsi="Calibri"/>
          <w:b w:val="0"/>
          <w:i w:val="0"/>
          <w:color w:val="212121"/>
          <w:sz w:val="21"/>
        </w:rPr>
        <w:t>(1) Non-segmental vitiligo (NSV) — by far the commonest form (over 85% of cases), bilateral and usually symmetrical, progressive with a relapsing–remitting course and a strong autoimmune association. Subtypes include vitiligo vulgaris (scattered, widespread macules — the single commonest pattern in Indian series), acrofacial (distal fingers/toes and periorificial face), and universalis (near-complete depigmentation of &gt;80% of the body surface);</w:t>
      </w:r>
    </w:p>
    <w:p>
      <w:pPr>
        <w:spacing w:before="0" w:after="80"/>
      </w:pPr>
      <w:r>
        <w:rPr>
          <w:rFonts w:ascii="Calibri" w:hAnsi="Calibri"/>
          <w:b w:val="0"/>
          <w:i w:val="0"/>
          <w:color w:val="212121"/>
          <w:sz w:val="21"/>
        </w:rPr>
        <w:t>(2) Segmental vitiligo (SV) — unilateral depigmentation in a band-like, dermatomal or Blaschkoid distribution that does not cross the midline, typically of early (childhood/young-adult) onset, which stabilises early, is frequently associated with leukotrichia, responds poorly to medical therapy but well to surgical grafting;</w:t>
      </w:r>
    </w:p>
    <w:p>
      <w:pPr>
        <w:spacing w:before="0" w:after="80"/>
      </w:pPr>
      <w:r>
        <w:rPr>
          <w:rFonts w:ascii="Calibri" w:hAnsi="Calibri"/>
          <w:b w:val="0"/>
          <w:i w:val="0"/>
          <w:color w:val="212121"/>
          <w:sz w:val="21"/>
        </w:rPr>
        <w:t>(3) Focal vitiligo — one or a few small macules confined to a single area without a clear segmental pattern, which may remain stable or later evolve into non-segmental disease;</w:t>
      </w:r>
    </w:p>
    <w:p>
      <w:pPr>
        <w:spacing w:before="0" w:after="80"/>
      </w:pPr>
      <w:r>
        <w:rPr>
          <w:rFonts w:ascii="Calibri" w:hAnsi="Calibri"/>
          <w:b w:val="0"/>
          <w:i w:val="0"/>
          <w:color w:val="212121"/>
          <w:sz w:val="21"/>
        </w:rPr>
        <w:t>(4) Mucosal vitiligo — involvement of the oral and/or genital mucosae, occurring alone or as part of NSV; and</w:t>
      </w:r>
    </w:p>
    <w:p>
      <w:pPr>
        <w:spacing w:before="0" w:after="80"/>
      </w:pPr>
      <w:r>
        <w:rPr>
          <w:rFonts w:ascii="Calibri" w:hAnsi="Calibri"/>
          <w:b w:val="0"/>
          <w:i w:val="0"/>
          <w:color w:val="212121"/>
          <w:sz w:val="21"/>
        </w:rPr>
        <w:t>(5) Mixed vitiligo (co-existent segmental and non-segmental disease) together with 'vitiligo of undetermined/unclassified type' (e.g., isolated focal or mucosal disease) complete the VGICC scheme. Activity is separately graded as active versus stable, and morphological variants (trichrome, quadrichrome, marginal inflammatory and confetti-like vitiligo) denote unstable, spreading disease.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Autoimmune melanocyte destruction: CD8+ cytotoxic T-cell-mediated attack on melanocytes, driven by an interferon-γ / CXCL9–CXCL10 chemokine axis and supported by circulating anti-melanocyte antibodies; the dominant mechanism in non-segmental vitiligo and the basis of its clustering with other autoimmune diseases.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Genetic predisposition: A polygenic trait — roughly 20–30% of patients report an affected relative — with genome-wide studies implicating HLA, NLRP1, PTPN22, TYR and other immune- and melanocyte-related genes that confer susceptibility.</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Oxidative stress: Excess epidermal hydrogen peroxide and reactive oxygen species with impaired antioxidant defences (notably low catalase) damage melanocytes and expose autoantigens, providing a key trigger that converges on the autoimmune response.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Neural hypothesis: Local release of neurochemical mediators toxic to melanocytes is thought to underlie the dermatomal distribution and early leukotrichia of segmental vitiligo.</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Koebner phenomenon — mechanical and chemical trauma: Friction, cuts, burns and abrasions, and exposure to depigmenting phenolic/catechol chemicals (para-tertiary butylphenol, monobenzyl ether of hydroquinone in adhesives, rubber, detergents, footwear, hair dyes and some bindi adhesives) precipitate lesions at trauma/contact sites.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Melanocyte fragility (melanocytorrhagy): Intrinsically defective melanocyte adhesion causes premature detachment and loss of melanocytes under friction and oxidative stress.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Precipitating stressors: Acute emotional stress, severe illness, pregnancy or sunburn frequently precede the onset or a flare of disease.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Young adults (2nd–3rd decade)</w:t>
            </w:r>
          </w:p>
        </w:tc>
        <w:tc>
          <w:tcPr>
            <w:tcW w:type="dxa" w:w="4276"/>
            <w:vAlign w:val="top"/>
          </w:tcPr>
          <w:p>
            <w:pPr>
              <w:spacing w:after="60" w:line="259" w:lineRule="auto"/>
            </w:pPr>
            <w:r>
              <w:rPr>
                <w:rFonts w:ascii="Calibri" w:hAnsi="Calibri"/>
                <w:b w:val="0"/>
                <w:i w:val="0"/>
                <w:color w:val="212121"/>
                <w:sz w:val="19"/>
              </w:rPr>
              <w:t>Vitiligo most often begins in adolescence and early adulthood, when autoimmune activity and cumulative oxidative and mechanical stress on melanocytes peak. This is the group in whom non-segmental disease typically declares and spreads.</w:t>
            </w:r>
          </w:p>
          <w:p>
            <w:pPr>
              <w:spacing w:after="40" w:before="60" w:line="259" w:lineRule="auto"/>
            </w:pPr>
            <w:r>
              <w:rPr>
                <w:rFonts w:ascii="Calibri" w:hAnsi="Calibri"/>
                <w:b w:val="0"/>
                <w:i w:val="0"/>
                <w:color w:val="212121"/>
                <w:sz w:val="19"/>
              </w:rPr>
              <w:t>In a north-Indian series of 200 patients, 78.5% developed vitiligo before age 40, with the single commonest onset band being 10–20 years (40%).</w:t>
            </w:r>
          </w:p>
          <w:p>
            <w:pPr>
              <w:spacing w:after="40" w:line="252" w:lineRule="auto"/>
            </w:pPr>
            <w:hyperlink r:id="rId9">
              <w:r>
                <w:rPr>
                  <w:rFonts w:ascii="Calibri" w:hAnsi="Calibri" w:cs="Calibri"/>
                  <w:sz w:val="18"/>
                  <w:color w:val="1155CC"/>
                  <w:u w:val="single"/>
                </w:rPr>
                <w:t xml:space="preserve">japsonline.com — epidemiological profile of vitiligo in Northern India</w:t>
              </w:r>
            </w:hyperlink>
          </w:p>
          <w:p>
            <w:pPr>
              <w:spacing w:before="60" w:after="40"/>
            </w:pPr>
            <w:r>
              <w:rPr>
                <w:rFonts w:ascii="Calibri" w:hAnsi="Calibri"/>
                <w:b w:val="0"/>
                <w:i w:val="0"/>
                <w:color w:val="5A5A5A"/>
                <w:sz w:val="18"/>
              </w:rPr>
              <w:t>#vitiligo  #youngadults  #earlyonset  #autoimmune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 &amp; adolescents</w:t>
            </w:r>
          </w:p>
        </w:tc>
        <w:tc>
          <w:tcPr>
            <w:tcW w:type="dxa" w:w="4276"/>
            <w:vAlign w:val="top"/>
          </w:tcPr>
          <w:p>
            <w:pPr>
              <w:spacing w:after="60" w:line="259" w:lineRule="auto"/>
            </w:pPr>
            <w:r>
              <w:rPr>
                <w:rFonts w:ascii="Calibri" w:hAnsi="Calibri"/>
                <w:b w:val="0"/>
                <w:i w:val="0"/>
                <w:color w:val="212121"/>
                <w:sz w:val="19"/>
              </w:rPr>
              <w:t>A substantial share of vitiligo begins in childhood, and segmental vitiligo in particular is predominantly a disease of the young, presenting unilaterally and often with early whitening of hair within the patch.</w:t>
            </w:r>
          </w:p>
          <w:p>
            <w:pPr>
              <w:spacing w:after="40" w:before="60" w:line="259" w:lineRule="auto"/>
            </w:pPr>
            <w:r>
              <w:rPr>
                <w:rFonts w:ascii="Calibri" w:hAnsi="Calibri"/>
                <w:b w:val="0"/>
                <w:i w:val="0"/>
                <w:color w:val="212121"/>
                <w:sz w:val="19"/>
              </w:rPr>
              <w:t>Peak incidence is in the second and third decades, and vitiligo can appear from early childhood; segmental disease characteristically has an early onset.</w:t>
            </w:r>
          </w:p>
          <w:p>
            <w:pPr>
              <w:spacing w:after="40" w:line="252" w:lineRule="auto"/>
            </w:pPr>
            <w:hyperlink r:id="rId10">
              <w:r>
                <w:rPr>
                  <w:rFonts w:ascii="Calibri" w:hAnsi="Calibri" w:cs="Calibri"/>
                  <w:sz w:val="18"/>
                  <w:color w:val="1155CC"/>
                  <w:u w:val="single"/>
                </w:rPr>
                <w:t xml:space="preserve">ncbi.nlm.nih.gov — StatPearls: Vitiligo</w:t>
              </w:r>
            </w:hyperlink>
          </w:p>
          <w:p>
            <w:pPr>
              <w:spacing w:before="60" w:after="40"/>
            </w:pPr>
            <w:r>
              <w:rPr>
                <w:rFonts w:ascii="Calibri" w:hAnsi="Calibri"/>
                <w:b w:val="0"/>
                <w:i w:val="0"/>
                <w:color w:val="5A5A5A"/>
                <w:sz w:val="18"/>
              </w:rPr>
              <w:t>#childhoodvitiligo  #segmental  #leukotrichia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Although vitiligo affects the sexes roughly equally in biological terms, women predominate in clinic populations because they seek care earlier and more often, driven by cosmetic visibility and acute social and marital concern in the Indian context.</w:t>
            </w:r>
          </w:p>
          <w:p>
            <w:pPr>
              <w:spacing w:after="40" w:before="60" w:line="259" w:lineRule="auto"/>
            </w:pPr>
            <w:r>
              <w:rPr>
                <w:rFonts w:ascii="Calibri" w:hAnsi="Calibri"/>
                <w:b w:val="0"/>
                <w:i w:val="0"/>
                <w:color w:val="212121"/>
                <w:sz w:val="19"/>
              </w:rPr>
              <w:t>In the north-Indian cohort women made up 59% of vitiligo patients versus 41% men.</w:t>
            </w:r>
          </w:p>
          <w:p>
            <w:pPr>
              <w:spacing w:after="40" w:line="252" w:lineRule="auto"/>
            </w:pPr>
            <w:hyperlink r:id="rId9">
              <w:r>
                <w:rPr>
                  <w:rFonts w:ascii="Calibri" w:hAnsi="Calibri" w:cs="Calibri"/>
                  <w:sz w:val="18"/>
                  <w:color w:val="1155CC"/>
                  <w:u w:val="single"/>
                </w:rPr>
                <w:t xml:space="preserve">japsonline.com — sex distribution in Indian vitiligo</w:t>
              </w:r>
            </w:hyperlink>
          </w:p>
          <w:p>
            <w:pPr>
              <w:spacing w:before="60" w:after="40"/>
            </w:pPr>
            <w:r>
              <w:rPr>
                <w:rFonts w:ascii="Calibri" w:hAnsi="Calibri"/>
                <w:b w:val="0"/>
                <w:i w:val="0"/>
                <w:color w:val="5A5A5A"/>
                <w:sz w:val="18"/>
              </w:rPr>
              <w:t>#female  #caretseeking  #stigma  #marriage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&amp; socially stigmatised groups</w:t>
            </w:r>
          </w:p>
        </w:tc>
        <w:tc>
          <w:tcPr>
            <w:tcW w:type="dxa" w:w="4276"/>
            <w:vAlign w:val="top"/>
          </w:tcPr>
          <w:p>
            <w:pPr>
              <w:spacing w:after="60" w:line="259" w:lineRule="auto"/>
            </w:pPr>
            <w:r>
              <w:rPr>
                <w:rFonts w:ascii="Calibri" w:hAnsi="Calibri"/>
                <w:b w:val="0"/>
                <w:i w:val="0"/>
                <w:color w:val="212121"/>
                <w:sz w:val="19"/>
              </w:rPr>
              <w:t>In India vitiligo carries profound social stigma — it is still confused by the public with leprosy and is a recognised barrier to marriage and employment. Lower socioeconomic and less-educated groups bear the greatest stigma, distress and delayed care.</w:t>
            </w:r>
          </w:p>
          <w:p>
            <w:pPr>
              <w:spacing w:after="40" w:before="60" w:line="259" w:lineRule="auto"/>
            </w:pPr>
            <w:r>
              <w:rPr>
                <w:rFonts w:ascii="Calibri" w:hAnsi="Calibri"/>
                <w:b w:val="0"/>
                <w:i w:val="0"/>
                <w:color w:val="212121"/>
                <w:sz w:val="19"/>
              </w:rPr>
              <w:t>Indian qualitative data confirm that the burden is perceived as more severe in women, particularly regarding marriage prospects and social acceptance, with a minority reporting suicidal thoughts.</w:t>
            </w:r>
          </w:p>
          <w:p>
            <w:pPr>
              <w:spacing w:after="40" w:line="252" w:lineRule="auto"/>
            </w:pPr>
            <w:hyperlink r:id="rId11">
              <w:r>
                <w:rPr>
                  <w:rFonts w:ascii="Calibri" w:hAnsi="Calibri" w:cs="Calibri"/>
                  <w:sz w:val="18"/>
                  <w:color w:val="1155CC"/>
                  <w:u w:val="single"/>
                </w:rPr>
                <w:t xml:space="preserve">ijdvl.com — psychosocial impact of vitiligo in Indian patients</w:t>
              </w:r>
            </w:hyperlink>
          </w:p>
          <w:p>
            <w:pPr>
              <w:spacing w:before="60" w:after="40"/>
            </w:pPr>
            <w:r>
              <w:rPr>
                <w:rFonts w:ascii="Calibri" w:hAnsi="Calibri"/>
                <w:b w:val="0"/>
                <w:i w:val="0"/>
                <w:color w:val="5A5A5A"/>
                <w:sz w:val="18"/>
              </w:rPr>
              <w:t>#stigma  #socialburden  #marriage  #lowSES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Indian skin (Fitzpatrick IV–VI)</w:t>
            </w:r>
          </w:p>
        </w:tc>
        <w:tc>
          <w:tcPr>
            <w:tcW w:type="dxa" w:w="4276"/>
            <w:vAlign w:val="top"/>
          </w:tcPr>
          <w:p>
            <w:pPr>
              <w:spacing w:after="60" w:line="259" w:lineRule="auto"/>
            </w:pPr>
            <w:r>
              <w:rPr>
                <w:rFonts w:ascii="Calibri" w:hAnsi="Calibri"/>
                <w:b w:val="0"/>
                <w:i w:val="0"/>
                <w:color w:val="212121"/>
                <w:sz w:val="19"/>
              </w:rPr>
              <w:t>Depigmented white macules contrast starkly against darker Indian skin, making vitiligo far more conspicuous and stigmatising than in fair-skinned populations, and India records among the highest prevalence figures worldwide.</w:t>
            </w:r>
          </w:p>
          <w:p>
            <w:pPr>
              <w:spacing w:after="40" w:before="60" w:line="259" w:lineRule="auto"/>
            </w:pPr>
            <w:r>
              <w:rPr>
                <w:rFonts w:ascii="Calibri" w:hAnsi="Calibri"/>
                <w:b w:val="0"/>
                <w:i w:val="0"/>
                <w:color w:val="212121"/>
                <w:sz w:val="19"/>
              </w:rPr>
              <w:t>India is reported to have among the highest prevalence of vitiligo in the world, at about 8.8% in some series, against a global range of roughly 0.5–2%.</w:t>
            </w:r>
          </w:p>
          <w:p>
            <w:pPr>
              <w:spacing w:after="40" w:line="252" w:lineRule="auto"/>
            </w:pPr>
            <w:hyperlink r:id="rId12">
              <w:r>
                <w:rPr>
                  <w:rFonts w:ascii="Calibri" w:hAnsi="Calibri" w:cs="Calibri"/>
                  <w:sz w:val="18"/>
                  <w:color w:val="1155CC"/>
                  <w:u w:val="single"/>
                </w:rPr>
                <w:t xml:space="preserve">ijced.org — observational study of vitiligo (India prevalence)</w:t>
              </w:r>
            </w:hyperlink>
          </w:p>
          <w:p>
            <w:pPr>
              <w:spacing w:before="60" w:after="40"/>
            </w:pPr>
            <w:r>
              <w:rPr>
                <w:rFonts w:ascii="Calibri" w:hAnsi="Calibri"/>
                <w:b w:val="0"/>
                <w:i w:val="0"/>
                <w:color w:val="5A5A5A"/>
                <w:sz w:val="18"/>
              </w:rPr>
              <w:t>#skinofcolour  #fitzpatrick  #indianskin  #contrast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Geographic region</w:t>
            </w:r>
          </w:p>
        </w:tc>
        <w:tc>
          <w:tcPr>
            <w:tcW w:type="dxa" w:w="2160"/>
            <w:vAlign w:val="top"/>
          </w:tcPr>
          <w:p>
            <w:pPr>
              <w:spacing w:after="40" w:before="0" w:line="259" w:lineRule="auto"/>
            </w:pPr>
            <w:r>
              <w:rPr>
                <w:rFonts w:ascii="Calibri" w:hAnsi="Calibri"/>
                <w:b w:val="0"/>
                <w:i w:val="0"/>
                <w:color w:val="212121"/>
                <w:sz w:val="19"/>
              </w:rPr>
              <w:t>Gujarat, Rajasthan &amp; urban north India</w:t>
            </w:r>
          </w:p>
        </w:tc>
        <w:tc>
          <w:tcPr>
            <w:tcW w:type="dxa" w:w="4276"/>
            <w:vAlign w:val="top"/>
          </w:tcPr>
          <w:p>
            <w:pPr>
              <w:spacing w:after="60" w:line="259" w:lineRule="auto"/>
            </w:pPr>
            <w:r>
              <w:rPr>
                <w:rFonts w:ascii="Calibri" w:hAnsi="Calibri"/>
                <w:b w:val="0"/>
                <w:i w:val="0"/>
                <w:color w:val="212121"/>
                <w:sz w:val="19"/>
              </w:rPr>
              <w:t>Regional Indian studies from Gujarat and Rajasthan, and urban north-Indian tertiary centres, consistently report high vitiligo burdens, reflecting a mix of genetic clustering, referral patterns and greater cosmetic care-seeking in urban populations.</w:t>
            </w:r>
          </w:p>
          <w:p>
            <w:pPr>
              <w:spacing w:after="40" w:before="60" w:line="259" w:lineRule="auto"/>
            </w:pPr>
            <w:r>
              <w:rPr>
                <w:rFonts w:ascii="Calibri" w:hAnsi="Calibri"/>
                <w:b w:val="0"/>
                <w:i w:val="0"/>
                <w:color w:val="212121"/>
                <w:sz w:val="19"/>
              </w:rPr>
              <w:t>In the north-Indian series 68.5% of vitiligo patients were urban residents; India overall reports prevalence figures as high as ~8.8%.</w:t>
            </w:r>
          </w:p>
          <w:p>
            <w:pPr>
              <w:spacing w:after="40" w:line="252" w:lineRule="auto"/>
            </w:pPr>
            <w:hyperlink r:id="rId9">
              <w:r>
                <w:rPr>
                  <w:rFonts w:ascii="Calibri" w:hAnsi="Calibri" w:cs="Calibri"/>
                  <w:sz w:val="18"/>
                  <w:color w:val="1155CC"/>
                  <w:u w:val="single"/>
                </w:rPr>
                <w:t xml:space="preserve">japsonline.com — urban predominance in Indian vitiligo</w:t>
              </w:r>
            </w:hyperlink>
          </w:p>
          <w:p>
            <w:pPr>
              <w:spacing w:before="60" w:after="40"/>
            </w:pPr>
            <w:r>
              <w:rPr>
                <w:rFonts w:ascii="Calibri" w:hAnsi="Calibri"/>
                <w:b w:val="0"/>
                <w:i w:val="0"/>
                <w:color w:val="5A5A5A"/>
                <w:sz w:val="18"/>
              </w:rPr>
              <w:t>#gujarat  #rajasthan  #urban  #regional</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Occupational / chemical exposure</w:t>
            </w:r>
          </w:p>
        </w:tc>
        <w:tc>
          <w:tcPr>
            <w:tcW w:type="dxa" w:w="2160"/>
            <w:vAlign w:val="top"/>
          </w:tcPr>
          <w:p>
            <w:pPr>
              <w:spacing w:after="40" w:before="0" w:line="259" w:lineRule="auto"/>
            </w:pPr>
            <w:r>
              <w:rPr>
                <w:rFonts w:ascii="Calibri" w:hAnsi="Calibri"/>
                <w:b w:val="0"/>
                <w:i w:val="0"/>
                <w:color w:val="212121"/>
                <w:sz w:val="19"/>
              </w:rPr>
              <w:t>Workers exposed to phenols &amp; catechols</w:t>
            </w:r>
          </w:p>
        </w:tc>
        <w:tc>
          <w:tcPr>
            <w:tcW w:type="dxa" w:w="4276"/>
            <w:vAlign w:val="top"/>
          </w:tcPr>
          <w:p>
            <w:pPr>
              <w:spacing w:after="60" w:line="259" w:lineRule="auto"/>
            </w:pPr>
            <w:r>
              <w:rPr>
                <w:rFonts w:ascii="Calibri" w:hAnsi="Calibri"/>
                <w:b w:val="0"/>
                <w:i w:val="0"/>
                <w:color w:val="212121"/>
                <w:sz w:val="19"/>
              </w:rPr>
              <w:t>Depigmenting phenolic and catechol chemicals — para-tertiary butylphenol and monobenzyl ether of hydroquinone in rubber, adhesives, resins, detergents, footwear, hair dyes and some bindi adhesives — are directly toxic to melanocytes and can precipitate contact/occupational vitiligo.</w:t>
            </w:r>
          </w:p>
          <w:p>
            <w:pPr>
              <w:spacing w:after="40" w:before="60" w:line="259" w:lineRule="auto"/>
            </w:pPr>
            <w:r>
              <w:rPr>
                <w:rFonts w:ascii="Calibri" w:hAnsi="Calibri"/>
                <w:b w:val="0"/>
                <w:i w:val="0"/>
                <w:color w:val="212121"/>
                <w:sz w:val="19"/>
              </w:rPr>
              <w:t>Occupational vitiligo has been documented from unsuspected phenolic antioxidant by-products in commercial bulk rubber, chemically indistinguishable from idiopathic vitiligo.</w:t>
            </w:r>
          </w:p>
          <w:p>
            <w:pPr>
              <w:spacing w:after="40" w:line="252" w:lineRule="auto"/>
            </w:pPr>
            <w:hyperlink r:id="rId13">
              <w:r>
                <w:rPr>
                  <w:rFonts w:ascii="Calibri" w:hAnsi="Calibri" w:cs="Calibri"/>
                  <w:sz w:val="18"/>
                  <w:color w:val="1155CC"/>
                  <w:u w:val="single"/>
                </w:rPr>
                <w:t xml:space="preserve">pubmed.ncbi.nlm.nih.gov/2969045 — occupational vitiligo from phenolic by-products</w:t>
              </w:r>
            </w:hyperlink>
          </w:p>
          <w:p>
            <w:pPr>
              <w:spacing w:before="60" w:after="40"/>
            </w:pPr>
            <w:r>
              <w:rPr>
                <w:rFonts w:ascii="Calibri" w:hAnsi="Calibri"/>
                <w:b w:val="0"/>
                <w:i w:val="0"/>
                <w:color w:val="5A5A5A"/>
                <w:sz w:val="18"/>
              </w:rPr>
              <w:t>#occupational  #phenols  #PTBP  #contactleukoderma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Mechanical trauma / friction</w:t>
            </w:r>
          </w:p>
        </w:tc>
        <w:tc>
          <w:tcPr>
            <w:tcW w:type="dxa" w:w="2160"/>
            <w:vAlign w:val="top"/>
          </w:tcPr>
          <w:p>
            <w:pPr>
              <w:spacing w:after="40" w:before="0" w:line="259" w:lineRule="auto"/>
            </w:pPr>
            <w:r>
              <w:rPr>
                <w:rFonts w:ascii="Calibri" w:hAnsi="Calibri"/>
                <w:b w:val="0"/>
                <w:i w:val="0"/>
                <w:color w:val="212121"/>
                <w:sz w:val="19"/>
              </w:rPr>
              <w:t>Manual workers, and users of tight footwear, belts, bindis</w:t>
            </w:r>
          </w:p>
        </w:tc>
        <w:tc>
          <w:tcPr>
            <w:tcW w:type="dxa" w:w="4276"/>
            <w:vAlign w:val="top"/>
          </w:tcPr>
          <w:p>
            <w:pPr>
              <w:spacing w:after="60" w:line="259" w:lineRule="auto"/>
            </w:pPr>
            <w:r>
              <w:rPr>
                <w:rFonts w:ascii="Calibri" w:hAnsi="Calibri"/>
                <w:b w:val="0"/>
                <w:i w:val="0"/>
                <w:color w:val="212121"/>
                <w:sz w:val="19"/>
              </w:rPr>
              <w:t>Repeated friction and trauma provoke depigmentation at pressure and contact sites through the Koebner phenomenon — for example along waistbands and bra straps, over bony prominences, and at sites of tight footwear, ornaments or bindi adhesive.</w:t>
            </w:r>
          </w:p>
          <w:p>
            <w:pPr>
              <w:spacing w:after="40" w:before="60" w:line="259" w:lineRule="auto"/>
            </w:pPr>
            <w:r>
              <w:rPr>
                <w:rFonts w:ascii="Calibri" w:hAnsi="Calibri"/>
                <w:b w:val="0"/>
                <w:i w:val="0"/>
                <w:color w:val="212121"/>
                <w:sz w:val="19"/>
              </w:rPr>
              <w:t>Physical trauma was a precipitating factor in 17.5% of north-Indian patients; the Koebner phenomenon is reported in roughly 20–60% of vitiligo overall.</w:t>
            </w:r>
          </w:p>
          <w:p>
            <w:pPr>
              <w:spacing w:after="40" w:line="252" w:lineRule="auto"/>
            </w:pPr>
            <w:hyperlink r:id="rId9">
              <w:r>
                <w:rPr>
                  <w:rFonts w:ascii="Calibri" w:hAnsi="Calibri" w:cs="Calibri"/>
                  <w:sz w:val="18"/>
                  <w:color w:val="1155CC"/>
                  <w:u w:val="single"/>
                </w:rPr>
                <w:t xml:space="preserve">japsonline.com — trauma as a precipitating factor</w:t>
              </w:r>
            </w:hyperlink>
          </w:p>
          <w:p>
            <w:pPr>
              <w:spacing w:before="60" w:after="40"/>
            </w:pPr>
            <w:r>
              <w:rPr>
                <w:rFonts w:ascii="Calibri" w:hAnsi="Calibri"/>
                <w:b w:val="0"/>
                <w:i w:val="0"/>
                <w:color w:val="5A5A5A"/>
                <w:sz w:val="18"/>
              </w:rPr>
              <w:t>#koebner  #friction  #trauma  #pressuresites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Tobacco users</w:t>
            </w:r>
          </w:p>
        </w:tc>
        <w:tc>
          <w:tcPr>
            <w:tcW w:type="dxa" w:w="4276"/>
            <w:vAlign w:val="top"/>
          </w:tcPr>
          <w:p>
            <w:pPr>
              <w:spacing w:after="60" w:line="259" w:lineRule="auto"/>
            </w:pPr>
            <w:r>
              <w:rPr>
                <w:rFonts w:ascii="Calibri" w:hAnsi="Calibri"/>
                <w:b w:val="0"/>
                <w:i w:val="0"/>
                <w:color w:val="212121"/>
                <w:sz w:val="19"/>
              </w:rPr>
              <w:t>The relationship between smoking and vitiligo is uncertain and, unusually, some studies suggest nicotine may be inversely associated; smoking is not an established driver, though tobacco's overall oxidative and health harms remain relevant.</w:t>
            </w:r>
          </w:p>
          <w:p>
            <w:pPr>
              <w:spacing w:after="40" w:before="60" w:line="259" w:lineRule="auto"/>
            </w:pPr>
            <w:r>
              <w:rPr>
                <w:rFonts w:ascii="Calibri" w:hAnsi="Calibri"/>
                <w:b w:val="0"/>
                <w:i w:val="0"/>
                <w:color w:val="212121"/>
                <w:sz w:val="19"/>
              </w:rPr>
              <w:t>Evidence on smoking in vitiligo is inconsistent, with no clear causal association established.</w:t>
            </w:r>
          </w:p>
          <w:p>
            <w:pPr>
              <w:spacing w:before="60" w:after="40"/>
            </w:pPr>
            <w:r>
              <w:rPr>
                <w:rFonts w:ascii="Calibri" w:hAnsi="Calibri"/>
                <w:b w:val="0"/>
                <w:i w:val="0"/>
                <w:color w:val="5A5A5A"/>
                <w:sz w:val="18"/>
              </w:rPr>
              <w:t>#smoking  #uncertain  #oxidativestress</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Vitamin D status</w:t>
            </w:r>
          </w:p>
        </w:tc>
        <w:tc>
          <w:tcPr>
            <w:tcW w:type="dxa" w:w="2160"/>
            <w:vAlign w:val="top"/>
          </w:tcPr>
          <w:p>
            <w:pPr>
              <w:spacing w:after="40" w:before="0" w:line="259" w:lineRule="auto"/>
            </w:pPr>
            <w:r>
              <w:rPr>
                <w:rFonts w:ascii="Calibri" w:hAnsi="Calibri"/>
                <w:b w:val="0"/>
                <w:i w:val="0"/>
                <w:color w:val="212121"/>
                <w:sz w:val="19"/>
              </w:rPr>
              <w:t>Vitamin-D-deficient individuals</w:t>
            </w:r>
          </w:p>
        </w:tc>
        <w:tc>
          <w:tcPr>
            <w:tcW w:type="dxa" w:w="4276"/>
            <w:vAlign w:val="top"/>
          </w:tcPr>
          <w:p>
            <w:pPr>
              <w:spacing w:after="60" w:line="259" w:lineRule="auto"/>
            </w:pPr>
            <w:r>
              <w:rPr>
                <w:rFonts w:ascii="Calibri" w:hAnsi="Calibri"/>
                <w:b w:val="0"/>
                <w:i w:val="0"/>
                <w:color w:val="212121"/>
                <w:sz w:val="19"/>
              </w:rPr>
              <w:t>Lower serum vitamin D is observed in some vitiligo cohorts, and vitamin D influences melanocyte survival and local immune regulation, although a causal role is unproven.</w:t>
            </w:r>
          </w:p>
          <w:p>
            <w:pPr>
              <w:spacing w:after="40" w:before="60" w:line="259" w:lineRule="auto"/>
            </w:pPr>
            <w:r>
              <w:rPr>
                <w:rFonts w:ascii="Calibri" w:hAnsi="Calibri"/>
                <w:b w:val="0"/>
                <w:i w:val="0"/>
                <w:color w:val="212121"/>
                <w:sz w:val="19"/>
              </w:rPr>
              <w:t>In a case–control study median serum vitamin D was lower in vitiligo patients (37 nmol/L) than controls (49 nmol/L), though the difference did not reach statistical significance.</w:t>
            </w:r>
          </w:p>
          <w:p>
            <w:pPr>
              <w:spacing w:after="40" w:line="252" w:lineRule="auto"/>
            </w:pPr>
            <w:hyperlink r:id="rId14">
              <w:r>
                <w:rPr>
                  <w:rFonts w:ascii="Calibri" w:hAnsi="Calibri" w:cs="Calibri"/>
                  <w:sz w:val="18"/>
                  <w:color w:val="1155CC"/>
                  <w:u w:val="single"/>
                </w:rPr>
                <w:t xml:space="preserve">austinpublishinggroup.com — vitiligo and vitamin D case-control study</w:t>
              </w:r>
            </w:hyperlink>
          </w:p>
          <w:p>
            <w:pPr>
              <w:spacing w:before="60" w:after="40"/>
            </w:pPr>
            <w:r>
              <w:rPr>
                <w:rFonts w:ascii="Calibri" w:hAnsi="Calibri"/>
                <w:b w:val="0"/>
                <w:i w:val="0"/>
                <w:color w:val="5A5A5A"/>
                <w:sz w:val="18"/>
              </w:rPr>
              <w:t>#vitaminD  #micronutrient  #melanocyte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Antioxidant-poor diet</w:t>
            </w:r>
          </w:p>
        </w:tc>
        <w:tc>
          <w:tcPr>
            <w:tcW w:type="dxa" w:w="2160"/>
            <w:vAlign w:val="top"/>
          </w:tcPr>
          <w:p>
            <w:pPr>
              <w:spacing w:after="40" w:before="0" w:line="259" w:lineRule="auto"/>
            </w:pPr>
            <w:r>
              <w:rPr>
                <w:rFonts w:ascii="Calibri" w:hAnsi="Calibri"/>
                <w:b w:val="0"/>
                <w:i w:val="0"/>
                <w:color w:val="212121"/>
                <w:sz w:val="19"/>
              </w:rPr>
              <w:t>Low fruit/vegetable, high processed-food intake</w:t>
            </w:r>
          </w:p>
        </w:tc>
        <w:tc>
          <w:tcPr>
            <w:tcW w:type="dxa" w:w="4276"/>
            <w:vAlign w:val="top"/>
          </w:tcPr>
          <w:p>
            <w:pPr>
              <w:spacing w:after="60" w:line="259" w:lineRule="auto"/>
            </w:pPr>
            <w:r>
              <w:rPr>
                <w:rFonts w:ascii="Calibri" w:hAnsi="Calibri"/>
                <w:b w:val="0"/>
                <w:i w:val="0"/>
                <w:color w:val="212121"/>
                <w:sz w:val="19"/>
              </w:rPr>
              <w:t>Because oxidative stress is a core mechanism of melanocyte loss, diets poor in antioxidants (vitamins C and E, carotenoids, polyphenols) may theoretically reduce the skin's defence against reactive-oxygen-species damage, though dietary causation is not established.</w:t>
            </w:r>
          </w:p>
          <w:p>
            <w:pPr>
              <w:spacing w:after="40" w:before="60" w:line="259" w:lineRule="auto"/>
            </w:pPr>
            <w:r>
              <w:rPr>
                <w:rFonts w:ascii="Calibri" w:hAnsi="Calibri"/>
                <w:b w:val="0"/>
                <w:i w:val="0"/>
                <w:color w:val="212121"/>
                <w:sz w:val="19"/>
              </w:rPr>
              <w:t>Oxidative stress with impaired antioxidant defences is a recognised contributor to melanocyte destruction in vitiligo.</w:t>
            </w:r>
          </w:p>
          <w:p>
            <w:pPr>
              <w:spacing w:after="40" w:line="252" w:lineRule="auto"/>
            </w:pPr>
            <w:hyperlink r:id="rId10">
              <w:r>
                <w:rPr>
                  <w:rFonts w:ascii="Calibri" w:hAnsi="Calibri" w:cs="Calibri"/>
                  <w:sz w:val="18"/>
                  <w:color w:val="1155CC"/>
                  <w:u w:val="single"/>
                </w:rPr>
                <w:t xml:space="preserve">ncbi.nlm.nih.gov — StatPearls: oxidative-stress mechanism</w:t>
              </w:r>
            </w:hyperlink>
          </w:p>
          <w:p>
            <w:pPr>
              <w:spacing w:before="60" w:after="40"/>
            </w:pPr>
            <w:r>
              <w:rPr>
                <w:rFonts w:ascii="Calibri" w:hAnsi="Calibri"/>
                <w:b w:val="0"/>
                <w:i w:val="0"/>
                <w:color w:val="5A5A5A"/>
                <w:sz w:val="18"/>
              </w:rPr>
              <w:t>#antioxidants  #oxidativestress  #diet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Vitamin B12 / homocysteine status</w:t>
            </w:r>
          </w:p>
        </w:tc>
        <w:tc>
          <w:tcPr>
            <w:tcW w:type="dxa" w:w="2160"/>
            <w:vAlign w:val="top"/>
          </w:tcPr>
          <w:p>
            <w:pPr>
              <w:spacing w:after="40" w:before="0" w:line="259" w:lineRule="auto"/>
            </w:pPr>
            <w:r>
              <w:rPr>
                <w:rFonts w:ascii="Calibri" w:hAnsi="Calibri"/>
                <w:b w:val="0"/>
                <w:i w:val="0"/>
                <w:color w:val="212121"/>
                <w:sz w:val="19"/>
              </w:rPr>
              <w:t>B12-deficient / vegetarian individuals</w:t>
            </w:r>
          </w:p>
        </w:tc>
        <w:tc>
          <w:tcPr>
            <w:tcW w:type="dxa" w:w="4276"/>
            <w:vAlign w:val="top"/>
          </w:tcPr>
          <w:p>
            <w:pPr>
              <w:spacing w:after="60" w:line="259" w:lineRule="auto"/>
            </w:pPr>
            <w:r>
              <w:rPr>
                <w:rFonts w:ascii="Calibri" w:hAnsi="Calibri"/>
                <w:b w:val="0"/>
                <w:i w:val="0"/>
                <w:color w:val="212121"/>
                <w:sz w:val="19"/>
              </w:rPr>
              <w:t>Vitamin B12 and folate deficiency (common in Indian vegetarian diets) and the associated autoimmune pernicious anaemia are over-represented in vitiligo; deficiency may aggravate oxidative stress via raised homocysteine.</w:t>
            </w:r>
          </w:p>
          <w:p>
            <w:pPr>
              <w:spacing w:after="40" w:before="60" w:line="259" w:lineRule="auto"/>
            </w:pPr>
            <w:r>
              <w:rPr>
                <w:rFonts w:ascii="Calibri" w:hAnsi="Calibri"/>
                <w:b w:val="0"/>
                <w:i w:val="0"/>
                <w:color w:val="212121"/>
                <w:sz w:val="19"/>
              </w:rPr>
              <w:t>Pernicious anaemia is found in about 1.7% of adults with vitiligo — several-fold higher than the general population.</w:t>
            </w:r>
          </w:p>
          <w:p>
            <w:pPr>
              <w:spacing w:after="40" w:line="252" w:lineRule="auto"/>
            </w:pPr>
            <w:hyperlink r:id="rId15">
              <w:r>
                <w:rPr>
                  <w:rFonts w:ascii="Calibri" w:hAnsi="Calibri" w:cs="Calibri"/>
                  <w:sz w:val="18"/>
                  <w:color w:val="1155CC"/>
                  <w:u w:val="single"/>
                </w:rPr>
                <w:t xml:space="preserve">link.springer.com — autoimmune comorbidities in vitiligo (meta-analysis)</w:t>
              </w:r>
            </w:hyperlink>
          </w:p>
          <w:p>
            <w:pPr>
              <w:spacing w:before="60" w:after="40"/>
            </w:pPr>
            <w:r>
              <w:rPr>
                <w:rFonts w:ascii="Calibri" w:hAnsi="Calibri"/>
                <w:b w:val="0"/>
                <w:i w:val="0"/>
                <w:color w:val="5A5A5A"/>
                <w:sz w:val="18"/>
              </w:rPr>
              <w:t>#vitaminB12  #perniciousanaemia  #vegetarian  #homocysteine</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vitiligo</w:t>
            </w:r>
          </w:p>
        </w:tc>
        <w:tc>
          <w:tcPr>
            <w:tcW w:type="dxa" w:w="4276"/>
            <w:vAlign w:val="top"/>
          </w:tcPr>
          <w:p>
            <w:pPr>
              <w:spacing w:after="60" w:line="259" w:lineRule="auto"/>
            </w:pPr>
            <w:r>
              <w:rPr>
                <w:rFonts w:ascii="Calibri" w:hAnsi="Calibri"/>
                <w:b w:val="0"/>
                <w:i w:val="0"/>
                <w:color w:val="212121"/>
                <w:sz w:val="19"/>
              </w:rPr>
              <w:t>Vitiligo clusters strongly in families through shared polygenic autoimmune susceptibility; a positive family history both raises risk and tends to predict earlier, more extensive disease.</w:t>
            </w:r>
          </w:p>
          <w:p>
            <w:pPr>
              <w:spacing w:after="40" w:before="60" w:line="259" w:lineRule="auto"/>
            </w:pPr>
            <w:r>
              <w:rPr>
                <w:rFonts w:ascii="Calibri" w:hAnsi="Calibri"/>
                <w:b w:val="0"/>
                <w:i w:val="0"/>
                <w:color w:val="212121"/>
                <w:sz w:val="19"/>
              </w:rPr>
              <w:t>22% of north-Indian patients had a positive family history (13% in first-degree relatives); across studies familial rates range from 7.7% to over 50%.</w:t>
            </w:r>
          </w:p>
          <w:p>
            <w:pPr>
              <w:spacing w:after="40" w:line="252" w:lineRule="auto"/>
            </w:pPr>
            <w:hyperlink r:id="rId9">
              <w:r>
                <w:rPr>
                  <w:rFonts w:ascii="Calibri" w:hAnsi="Calibri" w:cs="Calibri"/>
                  <w:sz w:val="18"/>
                  <w:color w:val="1155CC"/>
                  <w:u w:val="single"/>
                </w:rPr>
                <w:t xml:space="preserve">japsonline.com — family history in Indian vitiligo</w:t>
              </w:r>
            </w:hyperlink>
          </w:p>
          <w:p>
            <w:pPr>
              <w:spacing w:before="60" w:after="40"/>
            </w:pPr>
            <w:r>
              <w:rPr>
                <w:rFonts w:ascii="Calibri" w:hAnsi="Calibri"/>
                <w:b w:val="0"/>
                <w:i w:val="0"/>
                <w:color w:val="5A5A5A"/>
                <w:sz w:val="18"/>
              </w:rPr>
              <w:t>#familyhistory  #genetics  #heredity  #autoimmunediathesis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Autoimmune diathesis</w:t>
            </w:r>
          </w:p>
        </w:tc>
        <w:tc>
          <w:tcPr>
            <w:tcW w:type="dxa" w:w="2160"/>
            <w:vAlign w:val="top"/>
          </w:tcPr>
          <w:p>
            <w:pPr>
              <w:spacing w:after="40" w:before="0" w:line="259" w:lineRule="auto"/>
            </w:pPr>
            <w:r>
              <w:rPr>
                <w:rFonts w:ascii="Calibri" w:hAnsi="Calibri"/>
                <w:b w:val="0"/>
                <w:i w:val="0"/>
                <w:color w:val="212121"/>
                <w:sz w:val="19"/>
              </w:rPr>
              <w:t>Personal/family history of autoimmune disease</w:t>
            </w:r>
          </w:p>
        </w:tc>
        <w:tc>
          <w:tcPr>
            <w:tcW w:type="dxa" w:w="4276"/>
            <w:vAlign w:val="top"/>
          </w:tcPr>
          <w:p>
            <w:pPr>
              <w:spacing w:after="60" w:line="259" w:lineRule="auto"/>
            </w:pPr>
            <w:r>
              <w:rPr>
                <w:rFonts w:ascii="Calibri" w:hAnsi="Calibri"/>
                <w:b w:val="0"/>
                <w:i w:val="0"/>
                <w:color w:val="212121"/>
                <w:sz w:val="19"/>
              </w:rPr>
              <w:t>Susceptibility genes (HLA, NLRP1, PTPN22) predispose simultaneously to vitiligo and to other organ-specific autoimmune diseases, so a personal or family background of autoimmunity markedly raises vitiligo risk.</w:t>
            </w:r>
          </w:p>
          <w:p>
            <w:pPr>
              <w:spacing w:after="40" w:before="60" w:line="259" w:lineRule="auto"/>
            </w:pPr>
            <w:r>
              <w:rPr>
                <w:rFonts w:ascii="Calibri" w:hAnsi="Calibri"/>
                <w:b w:val="0"/>
                <w:i w:val="0"/>
                <w:color w:val="212121"/>
                <w:sz w:val="19"/>
              </w:rPr>
              <w:t>Adults with vitiligo carry a high burden of autoimmune comorbidity, most prominently thyroid disease (around 13–14%).</w:t>
            </w:r>
          </w:p>
          <w:p>
            <w:pPr>
              <w:spacing w:after="40" w:line="252" w:lineRule="auto"/>
            </w:pPr>
            <w:hyperlink r:id="rId15">
              <w:r>
                <w:rPr>
                  <w:rFonts w:ascii="Calibri" w:hAnsi="Calibri" w:cs="Calibri"/>
                  <w:sz w:val="18"/>
                  <w:color w:val="1155CC"/>
                  <w:u w:val="single"/>
                </w:rPr>
                <w:t xml:space="preserve">link.springer.com — autoimmune comorbidity burden in vitiligo</w:t>
              </w:r>
            </w:hyperlink>
          </w:p>
          <w:p>
            <w:pPr>
              <w:spacing w:before="60" w:after="40"/>
            </w:pPr>
            <w:r>
              <w:rPr>
                <w:rFonts w:ascii="Calibri" w:hAnsi="Calibri"/>
                <w:b w:val="0"/>
                <w:i w:val="0"/>
                <w:color w:val="5A5A5A"/>
                <w:sz w:val="18"/>
              </w:rPr>
              <w:t>#HLA  #PTPN22  #autoimmunity  #polygenic</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Autoimmune thyroid disease</w:t>
            </w:r>
          </w:p>
        </w:tc>
        <w:tc>
          <w:tcPr>
            <w:tcW w:type="dxa" w:w="2160"/>
            <w:vAlign w:val="top"/>
          </w:tcPr>
          <w:p>
            <w:pPr>
              <w:spacing w:after="40" w:before="0" w:line="259" w:lineRule="auto"/>
            </w:pPr>
            <w:r>
              <w:rPr>
                <w:rFonts w:ascii="Calibri" w:hAnsi="Calibri"/>
                <w:b w:val="0"/>
                <w:i w:val="0"/>
                <w:color w:val="212121"/>
                <w:sz w:val="19"/>
              </w:rPr>
              <w:t>Patients with Hashimoto's / Graves' disease</w:t>
            </w:r>
          </w:p>
        </w:tc>
        <w:tc>
          <w:tcPr>
            <w:tcW w:type="dxa" w:w="4276"/>
            <w:vAlign w:val="top"/>
          </w:tcPr>
          <w:p>
            <w:pPr>
              <w:spacing w:after="60" w:line="259" w:lineRule="auto"/>
            </w:pPr>
            <w:r>
              <w:rPr>
                <w:rFonts w:ascii="Calibri" w:hAnsi="Calibri"/>
                <w:b w:val="0"/>
                <w:i w:val="0"/>
                <w:color w:val="212121"/>
                <w:sz w:val="19"/>
              </w:rPr>
              <w:t>Autoimmune thyroid disease is the single commonest comorbidity of vitiligo, sharing susceptibility genes and an organ-specific autoimmune mechanism; each condition raises the likelihood of the other.</w:t>
            </w:r>
          </w:p>
          <w:p>
            <w:pPr>
              <w:spacing w:after="40" w:before="60" w:line="259" w:lineRule="auto"/>
            </w:pPr>
            <w:r>
              <w:rPr>
                <w:rFonts w:ascii="Calibri" w:hAnsi="Calibri"/>
                <w:b w:val="0"/>
                <w:i w:val="0"/>
                <w:color w:val="212121"/>
                <w:sz w:val="19"/>
              </w:rPr>
              <w:t>Thyroid disease affects about 13.6–14.2% of adults with vitiligo (hypothyroidism ~9.9%; odds ratio for hypothyroidism ~4.0); Indian series report thyroid disease in ~12%.</w:t>
            </w:r>
          </w:p>
          <w:p>
            <w:pPr>
              <w:spacing w:after="40" w:line="252" w:lineRule="auto"/>
            </w:pPr>
            <w:hyperlink r:id="rId15">
              <w:r>
                <w:rPr>
                  <w:rFonts w:ascii="Calibri" w:hAnsi="Calibri" w:cs="Calibri"/>
                  <w:sz w:val="18"/>
                  <w:color w:val="1155CC"/>
                  <w:u w:val="single"/>
                </w:rPr>
                <w:t xml:space="preserve">link.springer.com — thyroid disease in vitiligo (meta-analysis)</w:t>
              </w:r>
            </w:hyperlink>
          </w:p>
          <w:p>
            <w:pPr>
              <w:spacing w:before="60" w:after="40"/>
            </w:pPr>
            <w:r>
              <w:rPr>
                <w:rFonts w:ascii="Calibri" w:hAnsi="Calibri"/>
                <w:b w:val="0"/>
                <w:i w:val="0"/>
                <w:color w:val="5A5A5A"/>
                <w:sz w:val="18"/>
              </w:rPr>
              <w:t>#thyroid  #hashimoto  #antiTPO  #autoimmune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Type 1 diabetes mellitus</w:t>
            </w:r>
          </w:p>
        </w:tc>
        <w:tc>
          <w:tcPr>
            <w:tcW w:type="dxa" w:w="2160"/>
            <w:vAlign w:val="top"/>
          </w:tcPr>
          <w:p>
            <w:pPr>
              <w:spacing w:after="40" w:before="0" w:line="259" w:lineRule="auto"/>
            </w:pPr>
            <w:r>
              <w:rPr>
                <w:rFonts w:ascii="Calibri" w:hAnsi="Calibri"/>
                <w:b w:val="0"/>
                <w:i w:val="0"/>
                <w:color w:val="212121"/>
                <w:sz w:val="19"/>
              </w:rPr>
              <w:t>Patients with type 1 diabetes</w:t>
            </w:r>
          </w:p>
        </w:tc>
        <w:tc>
          <w:tcPr>
            <w:tcW w:type="dxa" w:w="4276"/>
            <w:vAlign w:val="top"/>
          </w:tcPr>
          <w:p>
            <w:pPr>
              <w:spacing w:after="60" w:line="259" w:lineRule="auto"/>
            </w:pPr>
            <w:r>
              <w:rPr>
                <w:rFonts w:ascii="Calibri" w:hAnsi="Calibri"/>
                <w:b w:val="0"/>
                <w:i w:val="0"/>
                <w:color w:val="212121"/>
                <w:sz w:val="19"/>
              </w:rPr>
              <w:t>Type 1 diabetes shares the organ-specific autoimmune pathway of vitiligo and is a component of autoimmune polyglandular syndromes; its presence should prompt screening for coexisting vitiligo and vice versa.</w:t>
            </w:r>
          </w:p>
          <w:p>
            <w:pPr>
              <w:spacing w:after="40" w:before="60" w:line="259" w:lineRule="auto"/>
            </w:pPr>
            <w:r>
              <w:rPr>
                <w:rFonts w:ascii="Calibri" w:hAnsi="Calibri"/>
                <w:b w:val="0"/>
                <w:i w:val="0"/>
                <w:color w:val="212121"/>
                <w:sz w:val="19"/>
              </w:rPr>
              <w:t>Type 1 diabetes is found in about 1.8% of adults with vitiligo, exceeding general-population rates.</w:t>
            </w:r>
          </w:p>
          <w:p>
            <w:pPr>
              <w:spacing w:after="40" w:line="252" w:lineRule="auto"/>
            </w:pPr>
            <w:hyperlink r:id="rId15">
              <w:r>
                <w:rPr>
                  <w:rFonts w:ascii="Calibri" w:hAnsi="Calibri" w:cs="Calibri"/>
                  <w:sz w:val="18"/>
                  <w:color w:val="1155CC"/>
                  <w:u w:val="single"/>
                </w:rPr>
                <w:t xml:space="preserve">link.springer.com — type 1 diabetes in vitiligo</w:t>
              </w:r>
            </w:hyperlink>
          </w:p>
          <w:p>
            <w:pPr>
              <w:spacing w:before="60" w:after="40"/>
            </w:pPr>
            <w:r>
              <w:rPr>
                <w:rFonts w:ascii="Calibri" w:hAnsi="Calibri"/>
                <w:b w:val="0"/>
                <w:i w:val="0"/>
                <w:color w:val="5A5A5A"/>
                <w:sz w:val="18"/>
              </w:rPr>
              <w:t>#type1diabetes  #autoimmune  #polyglandular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Alopecia areata</w:t>
            </w:r>
          </w:p>
        </w:tc>
        <w:tc>
          <w:tcPr>
            <w:tcW w:type="dxa" w:w="2160"/>
            <w:vAlign w:val="top"/>
          </w:tcPr>
          <w:p>
            <w:pPr>
              <w:spacing w:after="40" w:before="0" w:line="259" w:lineRule="auto"/>
            </w:pPr>
            <w:r>
              <w:rPr>
                <w:rFonts w:ascii="Calibri" w:hAnsi="Calibri"/>
                <w:b w:val="0"/>
                <w:i w:val="0"/>
                <w:color w:val="212121"/>
                <w:sz w:val="19"/>
              </w:rPr>
              <w:t>Patients with alopecia areata</w:t>
            </w:r>
          </w:p>
        </w:tc>
        <w:tc>
          <w:tcPr>
            <w:tcW w:type="dxa" w:w="4276"/>
            <w:vAlign w:val="top"/>
          </w:tcPr>
          <w:p>
            <w:pPr>
              <w:spacing w:after="60" w:line="259" w:lineRule="auto"/>
            </w:pPr>
            <w:r>
              <w:rPr>
                <w:rFonts w:ascii="Calibri" w:hAnsi="Calibri"/>
                <w:b w:val="0"/>
                <w:i w:val="0"/>
                <w:color w:val="212121"/>
                <w:sz w:val="19"/>
              </w:rPr>
              <w:t>Alopecia areata and vitiligo are both interferon-γ-driven, organ-specific autoimmune diseases and frequently coexist, reflecting shared immunogenetic pathways.</w:t>
            </w:r>
          </w:p>
          <w:p>
            <w:pPr>
              <w:spacing w:after="40" w:before="60" w:line="259" w:lineRule="auto"/>
            </w:pPr>
            <w:r>
              <w:rPr>
                <w:rFonts w:ascii="Calibri" w:hAnsi="Calibri"/>
                <w:b w:val="0"/>
                <w:i w:val="0"/>
                <w:color w:val="212121"/>
                <w:sz w:val="19"/>
              </w:rPr>
              <w:t>Alopecia areata occurs in about 2.7% of adults with vitiligo, with roughly a threefold increased hazard of developing it.</w:t>
            </w:r>
          </w:p>
          <w:p>
            <w:pPr>
              <w:spacing w:after="40" w:line="252" w:lineRule="auto"/>
            </w:pPr>
            <w:hyperlink r:id="rId15">
              <w:r>
                <w:rPr>
                  <w:rFonts w:ascii="Calibri" w:hAnsi="Calibri" w:cs="Calibri"/>
                  <w:sz w:val="18"/>
                  <w:color w:val="1155CC"/>
                  <w:u w:val="single"/>
                </w:rPr>
                <w:t xml:space="preserve">link.springer.com — alopecia areata in vitiligo</w:t>
              </w:r>
            </w:hyperlink>
          </w:p>
          <w:p>
            <w:pPr>
              <w:spacing w:before="60" w:after="40"/>
            </w:pPr>
            <w:r>
              <w:rPr>
                <w:rFonts w:ascii="Calibri" w:hAnsi="Calibri"/>
                <w:b w:val="0"/>
                <w:i w:val="0"/>
                <w:color w:val="5A5A5A"/>
                <w:sz w:val="18"/>
              </w:rPr>
              <w:t>#alopeciaareata  #autoimmune  #interferongamma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Psychological morbidity</w:t>
            </w:r>
          </w:p>
        </w:tc>
        <w:tc>
          <w:tcPr>
            <w:tcW w:type="dxa" w:w="2160"/>
            <w:vAlign w:val="top"/>
          </w:tcPr>
          <w:p>
            <w:pPr>
              <w:spacing w:after="40" w:before="0" w:line="259" w:lineRule="auto"/>
            </w:pPr>
            <w:r>
              <w:rPr>
                <w:rFonts w:ascii="Calibri" w:hAnsi="Calibri"/>
                <w:b w:val="0"/>
                <w:i w:val="0"/>
                <w:color w:val="212121"/>
                <w:sz w:val="19"/>
              </w:rPr>
              <w:t>Patients with depression / anxiety</w:t>
            </w:r>
          </w:p>
        </w:tc>
        <w:tc>
          <w:tcPr>
            <w:tcW w:type="dxa" w:w="4276"/>
            <w:vAlign w:val="top"/>
          </w:tcPr>
          <w:p>
            <w:pPr>
              <w:spacing w:after="60" w:line="259" w:lineRule="auto"/>
            </w:pPr>
            <w:r>
              <w:rPr>
                <w:rFonts w:ascii="Calibri" w:hAnsi="Calibri"/>
                <w:b w:val="0"/>
                <w:i w:val="0"/>
                <w:color w:val="212121"/>
                <w:sz w:val="19"/>
              </w:rPr>
              <w:t>Vitiligo has a bidirectional relationship with mental health: the visible, stigmatising disease causes marked distress, while emotional stress is itself a frequently reported trigger of onset and flares.</w:t>
            </w:r>
          </w:p>
          <w:p>
            <w:pPr>
              <w:spacing w:after="40" w:before="60" w:line="259" w:lineRule="auto"/>
            </w:pPr>
            <w:r>
              <w:rPr>
                <w:rFonts w:ascii="Calibri" w:hAnsi="Calibri"/>
                <w:b w:val="0"/>
                <w:i w:val="0"/>
                <w:color w:val="212121"/>
                <w:sz w:val="19"/>
              </w:rPr>
              <w:t>Psychiatric morbidity — depressive episodes, adjustment disorders and anxiety — has been reported in around 25% of vitiligo patients.</w:t>
            </w:r>
          </w:p>
          <w:p>
            <w:pPr>
              <w:spacing w:after="40" w:line="252" w:lineRule="auto"/>
            </w:pPr>
            <w:hyperlink r:id="rId11">
              <w:r>
                <w:rPr>
                  <w:rFonts w:ascii="Calibri" w:hAnsi="Calibri" w:cs="Calibri"/>
                  <w:sz w:val="18"/>
                  <w:color w:val="1155CC"/>
                  <w:u w:val="single"/>
                </w:rPr>
                <w:t xml:space="preserve">ijdvl.com — psychiatric morbidity in vitiligo</w:t>
              </w:r>
            </w:hyperlink>
          </w:p>
          <w:p>
            <w:pPr>
              <w:spacing w:before="60" w:after="40"/>
            </w:pPr>
            <w:r>
              <w:rPr>
                <w:rFonts w:ascii="Calibri" w:hAnsi="Calibri"/>
                <w:b w:val="0"/>
                <w:i w:val="0"/>
                <w:color w:val="5A5A5A"/>
                <w:sz w:val="18"/>
              </w:rPr>
              <w:t>#depression  #anxiety  #psychosocial  #stigma</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link with vitiligo onset. Regular activity benefits general and mental health, but repetitive friction or trauma during contact sports can provoke Koebnerisation at affected or pressure-bearing sites.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Oxidative stress is central to melanocyte loss, so antioxidant-rich diets and correction of vitamin D and B12 deficiency are plausibly supportive; however, dietary causation and 'cure diets' are unproven, and food-avoidance myths should be dispelled.</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or insufficient sleep raises cortisol and systemic oxidative load that may indirectly aggravate autoimmune activity; direct evidence in vitiligo is limited.</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The association is inconsistent and, unusually, some studies suggest an inverse relationship with nicotine; smoking is not an established driver, though its overall harms remain relevant.</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direct role in vitiligo; heavy alcohol use increases oxidative stress and can worsen coexisting mood disturbance.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Strongly bidirectional: vitiligo causes major stigma, depression and anxiety (reported in ~25% of patients), while acute emotional stress is one of the commonest reported triggers of onset and flares.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general skin health but has no established direct role in vitiligo.</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association between caffeine intake and vitiligo.</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Gentle skin care is advisable; vigorous scrubbing, harsh cleansers and irritants can trigger micro-Koebnerisation, and poor foot care raises the risk of trauma-induced lesions.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dominant modifiable drivers: mechanical trauma (Koebner phenomenon), depigmenting phenolic/catechol chemicals (para-tertiary butylphenol, monobenzyl ether of hydroquinone), sunburn of depigmented skin, and acute emotional or physical stress all provoke and spread disease.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Mechanical trauma / Koebner exposure</w:t>
            </w:r>
          </w:p>
        </w:tc>
        <w:tc>
          <w:tcPr>
            <w:tcW w:type="dxa" w:w="1655"/>
            <w:vAlign w:val="top"/>
          </w:tcPr>
          <w:p>
            <w:pPr>
              <w:spacing w:after="40" w:before="0" w:line="259" w:lineRule="auto"/>
            </w:pPr>
            <w:r>
              <w:rPr>
                <w:rFonts w:ascii="Calibri" w:hAnsi="Calibri"/>
                <w:b w:val="0"/>
                <w:i w:val="0"/>
                <w:color w:val="212121"/>
                <w:sz w:val="19"/>
              </w:rPr>
              <w:t>Manual workers, athletes, ornament/footwear users</w:t>
            </w:r>
          </w:p>
        </w:tc>
        <w:tc>
          <w:tcPr>
            <w:tcW w:type="dxa" w:w="1512"/>
            <w:vAlign w:val="top"/>
          </w:tcPr>
          <w:p>
            <w:pPr>
              <w:spacing w:after="40" w:before="0" w:line="259" w:lineRule="auto"/>
            </w:pPr>
            <w:r>
              <w:rPr>
                <w:rFonts w:ascii="Calibri" w:hAnsi="Calibri"/>
                <w:b w:val="0"/>
                <w:i w:val="0"/>
                <w:color w:val="212121"/>
                <w:sz w:val="19"/>
              </w:rPr>
              <w:t>Minimise friction and injury to skin; loose clothing/footwear</w:t>
            </w:r>
          </w:p>
        </w:tc>
        <w:tc>
          <w:tcPr>
            <w:tcW w:type="dxa" w:w="1512"/>
            <w:vAlign w:val="top"/>
          </w:tcPr>
          <w:p>
            <w:pPr>
              <w:spacing w:after="40" w:before="0" w:line="259" w:lineRule="auto"/>
            </w:pPr>
            <w:r>
              <w:rPr>
                <w:rFonts w:ascii="Calibri" w:hAnsi="Calibri"/>
                <w:b w:val="0"/>
                <w:i w:val="0"/>
                <w:color w:val="212121"/>
                <w:sz w:val="19"/>
              </w:rPr>
              <w:t>Repeated trauma, tight footwear/belts, ornaments, scrubbing</w:t>
            </w:r>
          </w:p>
        </w:tc>
        <w:tc>
          <w:tcPr>
            <w:tcW w:type="dxa" w:w="1468"/>
            <w:vAlign w:val="top"/>
          </w:tcPr>
          <w:p>
            <w:pPr>
              <w:spacing w:after="60" w:line="259" w:lineRule="auto"/>
            </w:pPr>
            <w:r>
              <w:rPr>
                <w:rFonts w:ascii="Calibri" w:hAnsi="Calibri"/>
                <w:b w:val="0"/>
                <w:i w:val="0"/>
                <w:color w:val="212121"/>
                <w:sz w:val="19"/>
              </w:rPr>
              <w:t>Trauma precipitated disease in 17.5% of Indian patients</w:t>
            </w:r>
          </w:p>
          <w:p>
            <w:pPr>
              <w:spacing w:after="40" w:line="252" w:lineRule="auto"/>
            </w:pPr>
            <w:hyperlink r:id="rId9">
              <w:r>
                <w:rPr>
                  <w:rFonts w:ascii="Calibri" w:hAnsi="Calibri" w:cs="Calibri"/>
                  <w:sz w:val="18"/>
                  <w:color w:val="1155CC"/>
                  <w:u w:val="single"/>
                </w:rPr>
                <w:t xml:space="preserve">https://japsonline.com/admin/php/uploads/330_pdf.pdf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Depigmenting chemical exposure</w:t>
            </w:r>
          </w:p>
        </w:tc>
        <w:tc>
          <w:tcPr>
            <w:tcW w:type="dxa" w:w="1655"/>
            <w:vAlign w:val="top"/>
          </w:tcPr>
          <w:p>
            <w:pPr>
              <w:spacing w:after="40" w:before="0" w:line="259" w:lineRule="auto"/>
            </w:pPr>
            <w:r>
              <w:rPr>
                <w:rFonts w:ascii="Calibri" w:hAnsi="Calibri"/>
                <w:b w:val="0"/>
                <w:i w:val="0"/>
                <w:color w:val="212121"/>
                <w:sz w:val="19"/>
              </w:rPr>
              <w:t>Rubber, adhesive, dye &amp; detergent workers</w:t>
            </w:r>
          </w:p>
        </w:tc>
        <w:tc>
          <w:tcPr>
            <w:tcW w:type="dxa" w:w="1512"/>
            <w:vAlign w:val="top"/>
          </w:tcPr>
          <w:p>
            <w:pPr>
              <w:spacing w:after="40" w:before="0" w:line="259" w:lineRule="auto"/>
            </w:pPr>
            <w:r>
              <w:rPr>
                <w:rFonts w:ascii="Calibri" w:hAnsi="Calibri"/>
                <w:b w:val="0"/>
                <w:i w:val="0"/>
                <w:color w:val="212121"/>
                <w:sz w:val="19"/>
              </w:rPr>
              <w:t>Avoid para-tertiary butylphenol / MBEH-containing products</w:t>
            </w:r>
          </w:p>
        </w:tc>
        <w:tc>
          <w:tcPr>
            <w:tcW w:type="dxa" w:w="1512"/>
            <w:vAlign w:val="top"/>
          </w:tcPr>
          <w:p>
            <w:pPr>
              <w:spacing w:after="40" w:before="0" w:line="259" w:lineRule="auto"/>
            </w:pPr>
            <w:r>
              <w:rPr>
                <w:rFonts w:ascii="Calibri" w:hAnsi="Calibri"/>
                <w:b w:val="0"/>
                <w:i w:val="0"/>
                <w:color w:val="212121"/>
                <w:sz w:val="19"/>
              </w:rPr>
              <w:t>Occupational or cosmetic phenol/catechol contact</w:t>
            </w:r>
          </w:p>
        </w:tc>
        <w:tc>
          <w:tcPr>
            <w:tcW w:type="dxa" w:w="1468"/>
            <w:vAlign w:val="top"/>
          </w:tcPr>
          <w:p>
            <w:pPr>
              <w:spacing w:after="60" w:line="259" w:lineRule="auto"/>
            </w:pPr>
            <w:r>
              <w:rPr>
                <w:rFonts w:ascii="Calibri" w:hAnsi="Calibri"/>
                <w:b w:val="0"/>
                <w:i w:val="0"/>
                <w:color w:val="212121"/>
                <w:sz w:val="19"/>
              </w:rPr>
              <w:t>Cause of contact/occupational vitiligo</w:t>
            </w:r>
          </w:p>
          <w:p>
            <w:pPr>
              <w:spacing w:after="40" w:line="252" w:lineRule="auto"/>
            </w:pPr>
            <w:hyperlink r:id="rId13">
              <w:r>
                <w:rPr>
                  <w:rFonts w:ascii="Calibri" w:hAnsi="Calibri" w:cs="Calibri"/>
                  <w:sz w:val="18"/>
                  <w:color w:val="1155CC"/>
                  <w:u w:val="single"/>
                </w:rPr>
                <w:t xml:space="preserve">https://pubmed.ncbi.nlm.nih.gov/2969045/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VIDA (Vitiligo Disease Activity) score</w:t>
            </w:r>
          </w:p>
        </w:tc>
        <w:tc>
          <w:tcPr>
            <w:tcW w:type="dxa" w:w="1655"/>
            <w:vAlign w:val="top"/>
          </w:tcPr>
          <w:p>
            <w:pPr>
              <w:spacing w:after="40" w:before="0" w:line="259" w:lineRule="auto"/>
            </w:pPr>
            <w:r>
              <w:rPr>
                <w:rFonts w:ascii="Calibri" w:hAnsi="Calibri"/>
                <w:b w:val="0"/>
                <w:i w:val="0"/>
                <w:color w:val="212121"/>
                <w:sz w:val="19"/>
              </w:rPr>
              <w:t>All vitiligo patients</w:t>
            </w:r>
          </w:p>
        </w:tc>
        <w:tc>
          <w:tcPr>
            <w:tcW w:type="dxa" w:w="1512"/>
            <w:vAlign w:val="top"/>
          </w:tcPr>
          <w:p>
            <w:pPr>
              <w:spacing w:after="40" w:before="0" w:line="259" w:lineRule="auto"/>
            </w:pPr>
            <w:r>
              <w:rPr>
                <w:rFonts w:ascii="Calibri" w:hAnsi="Calibri"/>
                <w:b w:val="0"/>
                <w:i w:val="0"/>
                <w:color w:val="212121"/>
                <w:sz w:val="19"/>
              </w:rPr>
              <w:t>VIDA -1 to 0 (stable / regressing)</w:t>
            </w:r>
          </w:p>
        </w:tc>
        <w:tc>
          <w:tcPr>
            <w:tcW w:type="dxa" w:w="1512"/>
            <w:vAlign w:val="top"/>
          </w:tcPr>
          <w:p>
            <w:pPr>
              <w:spacing w:after="40" w:before="0" w:line="259" w:lineRule="auto"/>
            </w:pPr>
            <w:r>
              <w:rPr>
                <w:rFonts w:ascii="Calibri" w:hAnsi="Calibri"/>
                <w:b w:val="0"/>
                <w:i w:val="0"/>
                <w:color w:val="212121"/>
                <w:sz w:val="19"/>
              </w:rPr>
              <w:t>VIDA +3 to +4 (active spread within 6 weeks–3 months)</w:t>
            </w:r>
          </w:p>
        </w:tc>
        <w:tc>
          <w:tcPr>
            <w:tcW w:type="dxa" w:w="1468"/>
            <w:vAlign w:val="top"/>
          </w:tcPr>
          <w:p>
            <w:pPr>
              <w:spacing w:after="60" w:line="259" w:lineRule="auto"/>
            </w:pPr>
            <w:r>
              <w:rPr>
                <w:rFonts w:ascii="Calibri" w:hAnsi="Calibri"/>
                <w:b w:val="0"/>
                <w:i w:val="0"/>
                <w:color w:val="212121"/>
                <w:sz w:val="19"/>
              </w:rPr>
              <w:t>Guides urgency and choice of therapy</w:t>
            </w:r>
          </w:p>
          <w:p>
            <w:pPr>
              <w:spacing w:after="40" w:line="252" w:lineRule="auto"/>
            </w:pPr>
            <w:hyperlink r:id="rId10">
              <w:r>
                <w:rPr>
                  <w:rFonts w:ascii="Calibri" w:hAnsi="Calibri" w:cs="Calibri"/>
                  <w:sz w:val="18"/>
                  <w:color w:val="1155CC"/>
                  <w:u w:val="single"/>
                </w:rPr>
                <w:t xml:space="preserve">https://www.ncbi.nlm.nih.gov/books/NBK559149/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VASI / body surface area involved</w:t>
            </w:r>
          </w:p>
        </w:tc>
        <w:tc>
          <w:tcPr>
            <w:tcW w:type="dxa" w:w="1655"/>
            <w:vAlign w:val="top"/>
          </w:tcPr>
          <w:p>
            <w:pPr>
              <w:spacing w:after="40" w:before="0" w:line="259" w:lineRule="auto"/>
            </w:pPr>
            <w:r>
              <w:rPr>
                <w:rFonts w:ascii="Calibri" w:hAnsi="Calibri"/>
                <w:b w:val="0"/>
                <w:i w:val="0"/>
                <w:color w:val="212121"/>
                <w:sz w:val="19"/>
              </w:rPr>
              <w:t>Vitiligo under treatment</w:t>
            </w:r>
          </w:p>
        </w:tc>
        <w:tc>
          <w:tcPr>
            <w:tcW w:type="dxa" w:w="1512"/>
            <w:vAlign w:val="top"/>
          </w:tcPr>
          <w:p>
            <w:pPr>
              <w:spacing w:after="40" w:before="0" w:line="259" w:lineRule="auto"/>
            </w:pPr>
            <w:r>
              <w:rPr>
                <w:rFonts w:ascii="Calibri" w:hAnsi="Calibri"/>
                <w:b w:val="0"/>
                <w:i w:val="0"/>
                <w:color w:val="212121"/>
                <w:sz w:val="19"/>
              </w:rPr>
              <w:t>0 (no depigmentation)</w:t>
            </w:r>
          </w:p>
        </w:tc>
        <w:tc>
          <w:tcPr>
            <w:tcW w:type="dxa" w:w="1512"/>
            <w:vAlign w:val="top"/>
          </w:tcPr>
          <w:p>
            <w:pPr>
              <w:spacing w:after="40" w:before="0" w:line="259" w:lineRule="auto"/>
            </w:pPr>
            <w:r>
              <w:rPr>
                <w:rFonts w:ascii="Calibri" w:hAnsi="Calibri"/>
                <w:b w:val="0"/>
                <w:i w:val="0"/>
                <w:color w:val="212121"/>
                <w:sz w:val="19"/>
              </w:rPr>
              <w:t>Rising VASI / increasing % BSA</w:t>
            </w:r>
          </w:p>
        </w:tc>
        <w:tc>
          <w:tcPr>
            <w:tcW w:type="dxa" w:w="1468"/>
            <w:vAlign w:val="top"/>
          </w:tcPr>
          <w:p>
            <w:pPr>
              <w:spacing w:after="60" w:line="259" w:lineRule="auto"/>
            </w:pPr>
            <w:r>
              <w:rPr>
                <w:rFonts w:ascii="Calibri" w:hAnsi="Calibri"/>
                <w:b w:val="0"/>
                <w:i w:val="0"/>
                <w:color w:val="212121"/>
                <w:sz w:val="19"/>
              </w:rPr>
              <w:t>Objective extent grading for monitoring response</w:t>
            </w:r>
          </w:p>
          <w:p>
            <w:pPr>
              <w:spacing w:after="40" w:line="252" w:lineRule="auto"/>
            </w:pPr>
            <w:hyperlink r:id="rId10">
              <w:r>
                <w:rPr>
                  <w:rFonts w:ascii="Calibri" w:hAnsi="Calibri" w:cs="Calibri"/>
                  <w:sz w:val="18"/>
                  <w:color w:val="1155CC"/>
                  <w:u w:val="single"/>
                </w:rPr>
                <w:t xml:space="preserve">https://www.ncbi.nlm.nih.gov/books/NBK559149/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Sunburn of depigmented skin</w:t>
            </w:r>
          </w:p>
        </w:tc>
        <w:tc>
          <w:tcPr>
            <w:tcW w:type="dxa" w:w="1655"/>
            <w:vAlign w:val="top"/>
          </w:tcPr>
          <w:p>
            <w:pPr>
              <w:spacing w:after="40" w:before="0" w:line="259" w:lineRule="auto"/>
            </w:pPr>
            <w:r>
              <w:rPr>
                <w:rFonts w:ascii="Calibri" w:hAnsi="Calibri"/>
                <w:b w:val="0"/>
                <w:i w:val="0"/>
                <w:color w:val="212121"/>
                <w:sz w:val="19"/>
              </w:rPr>
              <w:t>Patients with exposed lesions</w:t>
            </w:r>
          </w:p>
        </w:tc>
        <w:tc>
          <w:tcPr>
            <w:tcW w:type="dxa" w:w="1512"/>
            <w:vAlign w:val="top"/>
          </w:tcPr>
          <w:p>
            <w:pPr>
              <w:spacing w:after="40" w:before="0" w:line="259" w:lineRule="auto"/>
            </w:pPr>
            <w:r>
              <w:rPr>
                <w:rFonts w:ascii="Calibri" w:hAnsi="Calibri"/>
                <w:b w:val="0"/>
                <w:i w:val="0"/>
                <w:color w:val="212121"/>
                <w:sz w:val="19"/>
              </w:rPr>
              <w:t>No burns; broad-spectrum SPF ≥ 30 on white macules</w:t>
            </w:r>
          </w:p>
        </w:tc>
        <w:tc>
          <w:tcPr>
            <w:tcW w:type="dxa" w:w="1512"/>
            <w:vAlign w:val="top"/>
          </w:tcPr>
          <w:p>
            <w:pPr>
              <w:spacing w:after="40" w:before="0" w:line="259" w:lineRule="auto"/>
            </w:pPr>
            <w:r>
              <w:rPr>
                <w:rFonts w:ascii="Calibri" w:hAnsi="Calibri"/>
                <w:b w:val="0"/>
                <w:i w:val="0"/>
                <w:color w:val="212121"/>
                <w:sz w:val="19"/>
              </w:rPr>
              <w:t>Unprotected sun exposure and sunburn</w:t>
            </w:r>
          </w:p>
        </w:tc>
        <w:tc>
          <w:tcPr>
            <w:tcW w:type="dxa" w:w="1468"/>
            <w:vAlign w:val="top"/>
          </w:tcPr>
          <w:p>
            <w:pPr>
              <w:spacing w:after="60" w:line="259" w:lineRule="auto"/>
            </w:pPr>
            <w:r>
              <w:rPr>
                <w:rFonts w:ascii="Calibri" w:hAnsi="Calibri"/>
                <w:b w:val="0"/>
                <w:i w:val="0"/>
                <w:color w:val="212121"/>
                <w:sz w:val="19"/>
              </w:rPr>
              <w:t>Depigmented skin lacks melanin photoprotection and can Koebnerise</w:t>
            </w:r>
          </w:p>
          <w:p>
            <w:pPr>
              <w:spacing w:after="40" w:line="252" w:lineRule="auto"/>
            </w:pPr>
            <w:hyperlink r:id="rId10">
              <w:r>
                <w:rPr>
                  <w:rFonts w:ascii="Calibri" w:hAnsi="Calibri" w:cs="Calibri"/>
                  <w:sz w:val="18"/>
                  <w:color w:val="1155CC"/>
                  <w:u w:val="single"/>
                </w:rPr>
                <w:t xml:space="preserve">https://www.ncbi.nlm.nih.gov/books/NBK559149/</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25-hydroxy vitamin D (ng/mL)</w:t>
            </w:r>
          </w:p>
        </w:tc>
        <w:tc>
          <w:tcPr>
            <w:tcW w:type="dxa" w:w="1655"/>
            <w:vAlign w:val="top"/>
          </w:tcPr>
          <w:p>
            <w:pPr>
              <w:spacing w:after="40" w:before="0" w:line="259" w:lineRule="auto"/>
            </w:pPr>
            <w:r>
              <w:rPr>
                <w:rFonts w:ascii="Calibri" w:hAnsi="Calibri"/>
                <w:b w:val="0"/>
                <w:i w:val="0"/>
                <w:color w:val="212121"/>
                <w:sz w:val="19"/>
              </w:rPr>
              <w:t>Vitiligo patients</w:t>
            </w:r>
          </w:p>
        </w:tc>
        <w:tc>
          <w:tcPr>
            <w:tcW w:type="dxa" w:w="1512"/>
            <w:vAlign w:val="top"/>
          </w:tcPr>
          <w:p>
            <w:pPr>
              <w:spacing w:after="40" w:before="0" w:line="259" w:lineRule="auto"/>
            </w:pPr>
            <w:r>
              <w:rPr>
                <w:rFonts w:ascii="Calibri" w:hAnsi="Calibri"/>
                <w:b w:val="0"/>
                <w:i w:val="0"/>
                <w:color w:val="212121"/>
                <w:sz w:val="19"/>
              </w:rPr>
              <w:t>≥ 30 ng/mL</w:t>
            </w:r>
          </w:p>
        </w:tc>
        <w:tc>
          <w:tcPr>
            <w:tcW w:type="dxa" w:w="1512"/>
            <w:vAlign w:val="top"/>
          </w:tcPr>
          <w:p>
            <w:pPr>
              <w:spacing w:after="40" w:before="0" w:line="259" w:lineRule="auto"/>
            </w:pPr>
            <w:r>
              <w:rPr>
                <w:rFonts w:ascii="Calibri" w:hAnsi="Calibri"/>
                <w:b w:val="0"/>
                <w:i w:val="0"/>
                <w:color w:val="212121"/>
                <w:sz w:val="19"/>
              </w:rPr>
              <w:t>&lt; 20 ng/mL (deficient)</w:t>
            </w:r>
          </w:p>
        </w:tc>
        <w:tc>
          <w:tcPr>
            <w:tcW w:type="dxa" w:w="1468"/>
            <w:vAlign w:val="top"/>
          </w:tcPr>
          <w:p>
            <w:pPr>
              <w:spacing w:after="60" w:line="259" w:lineRule="auto"/>
            </w:pPr>
            <w:r>
              <w:rPr>
                <w:rFonts w:ascii="Calibri" w:hAnsi="Calibri"/>
                <w:b w:val="0"/>
                <w:i w:val="0"/>
                <w:color w:val="212121"/>
                <w:sz w:val="19"/>
              </w:rPr>
              <w:t>Lower vitamin D observed in vitiligo; correct deficiency</w:t>
            </w:r>
          </w:p>
          <w:p>
            <w:pPr>
              <w:spacing w:after="40" w:line="252" w:lineRule="auto"/>
            </w:pPr>
            <w:hyperlink r:id="rId14">
              <w:r>
                <w:rPr>
                  <w:rFonts w:ascii="Calibri" w:hAnsi="Calibri" w:cs="Calibri"/>
                  <w:sz w:val="18"/>
                  <w:color w:val="1155CC"/>
                  <w:u w:val="single"/>
                </w:rPr>
                <w:t xml:space="preserve">https://austinpublishinggroup.com/dermatology/fulltext/ajd-v11-id1111.pdf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vitamin B12</w:t>
            </w:r>
          </w:p>
        </w:tc>
        <w:tc>
          <w:tcPr>
            <w:tcW w:type="dxa" w:w="1655"/>
            <w:vAlign w:val="top"/>
          </w:tcPr>
          <w:p>
            <w:pPr>
              <w:spacing w:after="40" w:before="0" w:line="259" w:lineRule="auto"/>
            </w:pPr>
            <w:r>
              <w:rPr>
                <w:rFonts w:ascii="Calibri" w:hAnsi="Calibri"/>
                <w:b w:val="0"/>
                <w:i w:val="0"/>
                <w:color w:val="212121"/>
                <w:sz w:val="19"/>
              </w:rPr>
              <w:t>Vitiligo patients, vegetarians</w:t>
            </w:r>
          </w:p>
        </w:tc>
        <w:tc>
          <w:tcPr>
            <w:tcW w:type="dxa" w:w="1512"/>
            <w:vAlign w:val="top"/>
          </w:tcPr>
          <w:p>
            <w:pPr>
              <w:spacing w:after="40" w:before="0" w:line="259" w:lineRule="auto"/>
            </w:pPr>
            <w:r>
              <w:rPr>
                <w:rFonts w:ascii="Calibri" w:hAnsi="Calibri"/>
                <w:b w:val="0"/>
                <w:i w:val="0"/>
                <w:color w:val="212121"/>
                <w:sz w:val="19"/>
              </w:rPr>
              <w:t>&gt; 200–300 pg/mL</w:t>
            </w:r>
          </w:p>
        </w:tc>
        <w:tc>
          <w:tcPr>
            <w:tcW w:type="dxa" w:w="1512"/>
            <w:vAlign w:val="top"/>
          </w:tcPr>
          <w:p>
            <w:pPr>
              <w:spacing w:after="40" w:before="0" w:line="259" w:lineRule="auto"/>
            </w:pPr>
            <w:r>
              <w:rPr>
                <w:rFonts w:ascii="Calibri" w:hAnsi="Calibri"/>
                <w:b w:val="0"/>
                <w:i w:val="0"/>
                <w:color w:val="212121"/>
                <w:sz w:val="19"/>
              </w:rPr>
              <w:t>Low B12 (screen for pernicious anaemia)</w:t>
            </w:r>
          </w:p>
        </w:tc>
        <w:tc>
          <w:tcPr>
            <w:tcW w:type="dxa" w:w="1468"/>
            <w:vAlign w:val="top"/>
          </w:tcPr>
          <w:p>
            <w:pPr>
              <w:spacing w:after="60" w:line="259" w:lineRule="auto"/>
            </w:pPr>
            <w:r>
              <w:rPr>
                <w:rFonts w:ascii="Calibri" w:hAnsi="Calibri"/>
                <w:b w:val="0"/>
                <w:i w:val="0"/>
                <w:color w:val="212121"/>
                <w:sz w:val="19"/>
              </w:rPr>
              <w:t>Autoimmune pernicious anaemia over-represented in vitiligo</w:t>
            </w:r>
          </w:p>
          <w:p>
            <w:pPr>
              <w:spacing w:after="40" w:line="252" w:lineRule="auto"/>
            </w:pPr>
            <w:hyperlink r:id="rId15">
              <w:r>
                <w:rPr>
                  <w:rFonts w:ascii="Calibri" w:hAnsi="Calibri" w:cs="Calibri"/>
                  <w:sz w:val="18"/>
                  <w:color w:val="1155CC"/>
                  <w:u w:val="single"/>
                </w:rPr>
                <w:t xml:space="preserve">https://link.springer.com/article/10.1007/s13555-025-01506-y</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TSH &amp; anti-TPO antibodies</w:t>
            </w:r>
          </w:p>
        </w:tc>
        <w:tc>
          <w:tcPr>
            <w:tcW w:type="dxa" w:w="1655"/>
            <w:vAlign w:val="top"/>
          </w:tcPr>
          <w:p>
            <w:pPr>
              <w:spacing w:after="40" w:before="0" w:line="259" w:lineRule="auto"/>
            </w:pPr>
            <w:r>
              <w:rPr>
                <w:rFonts w:ascii="Calibri" w:hAnsi="Calibri"/>
                <w:b w:val="0"/>
                <w:i w:val="0"/>
                <w:color w:val="212121"/>
                <w:sz w:val="19"/>
              </w:rPr>
              <w:t>All vitiligo patients (esp. women)</w:t>
            </w:r>
          </w:p>
        </w:tc>
        <w:tc>
          <w:tcPr>
            <w:tcW w:type="dxa" w:w="1512"/>
            <w:vAlign w:val="top"/>
          </w:tcPr>
          <w:p>
            <w:pPr>
              <w:spacing w:after="40" w:before="0" w:line="259" w:lineRule="auto"/>
            </w:pPr>
            <w:r>
              <w:rPr>
                <w:rFonts w:ascii="Calibri" w:hAnsi="Calibri"/>
                <w:b w:val="0"/>
                <w:i w:val="0"/>
                <w:color w:val="212121"/>
                <w:sz w:val="19"/>
              </w:rPr>
              <w:t>TSH 0.4–4.0 mIU/L; anti-TPO negative</w:t>
            </w:r>
          </w:p>
        </w:tc>
        <w:tc>
          <w:tcPr>
            <w:tcW w:type="dxa" w:w="1512"/>
            <w:vAlign w:val="top"/>
          </w:tcPr>
          <w:p>
            <w:pPr>
              <w:spacing w:after="40" w:before="0" w:line="259" w:lineRule="auto"/>
            </w:pPr>
            <w:r>
              <w:rPr>
                <w:rFonts w:ascii="Calibri" w:hAnsi="Calibri"/>
                <w:b w:val="0"/>
                <w:i w:val="0"/>
                <w:color w:val="212121"/>
                <w:sz w:val="19"/>
              </w:rPr>
              <w:t>Elevated TSH and/or positive anti-TPO</w:t>
            </w:r>
          </w:p>
        </w:tc>
        <w:tc>
          <w:tcPr>
            <w:tcW w:type="dxa" w:w="1468"/>
            <w:vAlign w:val="top"/>
          </w:tcPr>
          <w:p>
            <w:pPr>
              <w:spacing w:after="60" w:line="259" w:lineRule="auto"/>
            </w:pPr>
            <w:r>
              <w:rPr>
                <w:rFonts w:ascii="Calibri" w:hAnsi="Calibri"/>
                <w:b w:val="0"/>
                <w:i w:val="0"/>
                <w:color w:val="212121"/>
                <w:sz w:val="19"/>
              </w:rPr>
              <w:t>Screens for the commonest (thyroid) autoimmune comorbidity</w:t>
            </w:r>
          </w:p>
          <w:p>
            <w:pPr>
              <w:spacing w:after="40" w:line="252" w:lineRule="auto"/>
            </w:pPr>
            <w:hyperlink r:id="rId15">
              <w:r>
                <w:rPr>
                  <w:rFonts w:ascii="Calibri" w:hAnsi="Calibri" w:cs="Calibri"/>
                  <w:sz w:val="18"/>
                  <w:color w:val="1155CC"/>
                  <w:u w:val="single"/>
                </w:rPr>
                <w:t xml:space="preserve">https://link.springer.com/article/10.1007/s13555-025-01506-y</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Dermatology Life Quality Index (DLQI)</w:t>
            </w:r>
          </w:p>
        </w:tc>
        <w:tc>
          <w:tcPr>
            <w:tcW w:type="dxa" w:w="1655"/>
            <w:vAlign w:val="top"/>
          </w:tcPr>
          <w:p>
            <w:pPr>
              <w:spacing w:after="40" w:before="0" w:line="259" w:lineRule="auto"/>
            </w:pPr>
            <w:r>
              <w:rPr>
                <w:rFonts w:ascii="Calibri" w:hAnsi="Calibri"/>
                <w:b w:val="0"/>
                <w:i w:val="0"/>
                <w:color w:val="212121"/>
                <w:sz w:val="19"/>
              </w:rPr>
              <w:t>Vitiligo patients</w:t>
            </w:r>
          </w:p>
        </w:tc>
        <w:tc>
          <w:tcPr>
            <w:tcW w:type="dxa" w:w="1512"/>
            <w:vAlign w:val="top"/>
          </w:tcPr>
          <w:p>
            <w:pPr>
              <w:spacing w:after="40" w:before="0" w:line="259" w:lineRule="auto"/>
            </w:pPr>
            <w:r>
              <w:rPr>
                <w:rFonts w:ascii="Calibri" w:hAnsi="Calibri"/>
                <w:b w:val="0"/>
                <w:i w:val="0"/>
                <w:color w:val="212121"/>
                <w:sz w:val="19"/>
              </w:rPr>
              <w:t>0–1 (no effect on life)</w:t>
            </w:r>
          </w:p>
        </w:tc>
        <w:tc>
          <w:tcPr>
            <w:tcW w:type="dxa" w:w="1512"/>
            <w:vAlign w:val="top"/>
          </w:tcPr>
          <w:p>
            <w:pPr>
              <w:spacing w:after="40" w:before="0" w:line="259" w:lineRule="auto"/>
            </w:pPr>
            <w:r>
              <w:rPr>
                <w:rFonts w:ascii="Calibri" w:hAnsi="Calibri"/>
                <w:b w:val="0"/>
                <w:i w:val="0"/>
                <w:color w:val="212121"/>
                <w:sz w:val="19"/>
              </w:rPr>
              <w:t>&gt; 10 (very large effect on quality of life)</w:t>
            </w:r>
          </w:p>
        </w:tc>
        <w:tc>
          <w:tcPr>
            <w:tcW w:type="dxa" w:w="1468"/>
            <w:vAlign w:val="top"/>
          </w:tcPr>
          <w:p>
            <w:pPr>
              <w:spacing w:after="60" w:line="259" w:lineRule="auto"/>
            </w:pPr>
            <w:r>
              <w:rPr>
                <w:rFonts w:ascii="Calibri" w:hAnsi="Calibri"/>
                <w:b w:val="0"/>
                <w:i w:val="0"/>
                <w:color w:val="212121"/>
                <w:sz w:val="19"/>
              </w:rPr>
              <w:t>High psychosocial burden, greater in women and visible-site disease</w:t>
            </w:r>
          </w:p>
          <w:p>
            <w:pPr>
              <w:spacing w:after="40" w:line="252" w:lineRule="auto"/>
            </w:pPr>
            <w:hyperlink r:id="rId11">
              <w:r>
                <w:rPr>
                  <w:rFonts w:ascii="Calibri" w:hAnsi="Calibri" w:cs="Calibri"/>
                  <w:sz w:val="18"/>
                  <w:color w:val="1155CC"/>
                  <w:u w:val="single"/>
                </w:rPr>
                <w:t xml:space="preserve">https://ijdvl.com/the-psychosocial-impact-of-vitiligo-in-indian-patients/</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Bedside</w:t>
            </w:r>
          </w:p>
        </w:tc>
        <w:tc>
          <w:tcPr>
            <w:tcW w:type="dxa" w:w="1036"/>
            <w:vAlign w:val="top"/>
          </w:tcPr>
          <w:p>
            <w:pPr>
              <w:spacing w:after="40" w:before="0" w:line="259" w:lineRule="auto"/>
            </w:pPr>
            <w:r>
              <w:rPr>
                <w:rFonts w:ascii="Calibri" w:hAnsi="Calibri"/>
                <w:b w:val="0"/>
                <w:i w:val="0"/>
                <w:color w:val="212121"/>
                <w:sz w:val="16"/>
              </w:rPr>
              <w:t>True depigmentation vs hypopigmentation</w:t>
            </w:r>
          </w:p>
        </w:tc>
        <w:tc>
          <w:tcPr>
            <w:tcW w:type="dxa" w:w="892"/>
            <w:vAlign w:val="top"/>
          </w:tcPr>
          <w:p>
            <w:pPr>
              <w:spacing w:after="40" w:before="0" w:line="259" w:lineRule="auto"/>
            </w:pPr>
            <w:r>
              <w:rPr>
                <w:rFonts w:ascii="Calibri" w:hAnsi="Calibri"/>
                <w:b w:val="0"/>
                <w:i w:val="0"/>
                <w:color w:val="212121"/>
                <w:sz w:val="16"/>
              </w:rPr>
              <w:t>Wood's lamp examination (365 nm)</w:t>
            </w:r>
          </w:p>
        </w:tc>
        <w:tc>
          <w:tcPr>
            <w:tcW w:type="dxa" w:w="950"/>
            <w:vAlign w:val="top"/>
          </w:tcPr>
          <w:p>
            <w:pPr>
              <w:spacing w:after="40" w:before="0" w:line="259" w:lineRule="auto"/>
            </w:pPr>
            <w:r>
              <w:rPr>
                <w:rFonts w:ascii="Calibri" w:hAnsi="Calibri"/>
                <w:b w:val="0"/>
                <w:i w:val="0"/>
                <w:color w:val="212121"/>
                <w:sz w:val="16"/>
              </w:rPr>
              <w:t>No accentuation; uniform skin</w:t>
            </w:r>
          </w:p>
        </w:tc>
        <w:tc>
          <w:tcPr>
            <w:tcW w:type="dxa" w:w="950"/>
            <w:vAlign w:val="top"/>
          </w:tcPr>
          <w:p>
            <w:pPr>
              <w:spacing w:after="40" w:before="0" w:line="259" w:lineRule="auto"/>
            </w:pPr>
            <w:r>
              <w:rPr>
                <w:rFonts w:ascii="Calibri" w:hAnsi="Calibri"/>
                <w:b w:val="0"/>
                <w:i w:val="0"/>
                <w:color w:val="212121"/>
                <w:sz w:val="16"/>
              </w:rPr>
              <w:t>Bright blue-white, sharply marginated fluorescence of lesions</w:t>
            </w:r>
          </w:p>
        </w:tc>
        <w:tc>
          <w:tcPr>
            <w:tcW w:type="dxa" w:w="1036"/>
            <w:vAlign w:val="top"/>
          </w:tcPr>
          <w:p>
            <w:pPr>
              <w:spacing w:after="40" w:before="0" w:line="259" w:lineRule="auto"/>
            </w:pPr>
            <w:r>
              <w:rPr>
                <w:rFonts w:ascii="Calibri" w:hAnsi="Calibri"/>
                <w:b w:val="0"/>
                <w:i w:val="0"/>
                <w:color w:val="212121"/>
                <w:sz w:val="16"/>
              </w:rPr>
              <w:t>Confirms melanocyte loss; distinguishes vitiligo from hypopigmented mimics and reveals subclinical lesions</w:t>
            </w:r>
          </w:p>
        </w:tc>
        <w:tc>
          <w:tcPr>
            <w:tcW w:type="dxa" w:w="1036"/>
            <w:vAlign w:val="top"/>
          </w:tcPr>
          <w:p>
            <w:pPr>
              <w:spacing w:after="40" w:before="0" w:line="259" w:lineRule="auto"/>
            </w:pPr>
            <w:r>
              <w:rPr>
                <w:rFonts w:ascii="Calibri" w:hAnsi="Calibri"/>
                <w:b w:val="0"/>
                <w:i w:val="0"/>
                <w:color w:val="212121"/>
                <w:sz w:val="16"/>
              </w:rPr>
              <w:t>All suspected vitiligo, fair-skinned or early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Especially useful to exclude hypopigmented leprosy and PIH in Indian skin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Bedside</w:t>
            </w:r>
          </w:p>
        </w:tc>
        <w:tc>
          <w:tcPr>
            <w:tcW w:type="dxa" w:w="1036"/>
            <w:vAlign w:val="top"/>
          </w:tcPr>
          <w:p>
            <w:pPr>
              <w:spacing w:after="40" w:before="0" w:line="259" w:lineRule="auto"/>
            </w:pPr>
            <w:r>
              <w:rPr>
                <w:rFonts w:ascii="Calibri" w:hAnsi="Calibri"/>
                <w:b w:val="0"/>
                <w:i w:val="0"/>
                <w:color w:val="212121"/>
                <w:sz w:val="16"/>
              </w:rPr>
              <w:t>Perifollicular pigment &amp; activity signs</w:t>
            </w:r>
          </w:p>
        </w:tc>
        <w:tc>
          <w:tcPr>
            <w:tcW w:type="dxa" w:w="892"/>
            <w:vAlign w:val="top"/>
          </w:tcPr>
          <w:p>
            <w:pPr>
              <w:spacing w:after="40" w:before="0" w:line="259" w:lineRule="auto"/>
            </w:pPr>
            <w:r>
              <w:rPr>
                <w:rFonts w:ascii="Calibri" w:hAnsi="Calibri"/>
                <w:b w:val="0"/>
                <w:i w:val="0"/>
                <w:color w:val="212121"/>
                <w:sz w:val="16"/>
              </w:rPr>
              <w:t>Dermoscopy</w:t>
            </w:r>
          </w:p>
        </w:tc>
        <w:tc>
          <w:tcPr>
            <w:tcW w:type="dxa" w:w="950"/>
            <w:vAlign w:val="top"/>
          </w:tcPr>
          <w:p>
            <w:pPr>
              <w:spacing w:after="40" w:before="0" w:line="259" w:lineRule="auto"/>
            </w:pPr>
            <w:r>
              <w:rPr>
                <w:rFonts w:ascii="Calibri" w:hAnsi="Calibri"/>
                <w:b w:val="0"/>
                <w:i w:val="0"/>
                <w:color w:val="212121"/>
                <w:sz w:val="16"/>
              </w:rPr>
              <w:t>Regular pigment network</w:t>
            </w:r>
          </w:p>
        </w:tc>
        <w:tc>
          <w:tcPr>
            <w:tcW w:type="dxa" w:w="950"/>
            <w:vAlign w:val="top"/>
          </w:tcPr>
          <w:p>
            <w:pPr>
              <w:spacing w:after="40" w:before="0" w:line="259" w:lineRule="auto"/>
            </w:pPr>
            <w:r>
              <w:rPr>
                <w:rFonts w:ascii="Calibri" w:hAnsi="Calibri"/>
                <w:b w:val="0"/>
                <w:i w:val="0"/>
                <w:color w:val="212121"/>
                <w:sz w:val="16"/>
              </w:rPr>
              <w:t>Perifollicular/perilesional pigment (stable); comet-tail, starburst, micro-Koebner, trichrome (active)</w:t>
            </w:r>
          </w:p>
        </w:tc>
        <w:tc>
          <w:tcPr>
            <w:tcW w:type="dxa" w:w="1036"/>
            <w:vAlign w:val="top"/>
          </w:tcPr>
          <w:p>
            <w:pPr>
              <w:spacing w:after="40" w:before="0" w:line="259" w:lineRule="auto"/>
            </w:pPr>
            <w:r>
              <w:rPr>
                <w:rFonts w:ascii="Calibri" w:hAnsi="Calibri"/>
                <w:b w:val="0"/>
                <w:i w:val="0"/>
                <w:color w:val="212121"/>
                <w:sz w:val="16"/>
              </w:rPr>
              <w:t>Assesses activity and repigmentation potential; guides therapy and prognosis</w:t>
            </w:r>
          </w:p>
        </w:tc>
        <w:tc>
          <w:tcPr>
            <w:tcW w:type="dxa" w:w="1036"/>
            <w:vAlign w:val="top"/>
          </w:tcPr>
          <w:p>
            <w:pPr>
              <w:spacing w:after="40" w:before="0" w:line="259" w:lineRule="auto"/>
            </w:pPr>
            <w:r>
              <w:rPr>
                <w:rFonts w:ascii="Calibri" w:hAnsi="Calibri"/>
                <w:b w:val="0"/>
                <w:i w:val="0"/>
                <w:color w:val="212121"/>
                <w:sz w:val="16"/>
              </w:rPr>
              <w:t>Diagnosed vitiligo, monitoring activity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Perifollicular pigment predicts better repigmentation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TSH, free T4, anti-TPO antibodies</w:t>
            </w:r>
          </w:p>
        </w:tc>
        <w:tc>
          <w:tcPr>
            <w:tcW w:type="dxa" w:w="892"/>
            <w:vAlign w:val="top"/>
          </w:tcPr>
          <w:p>
            <w:pPr>
              <w:spacing w:after="40" w:before="0" w:line="259" w:lineRule="auto"/>
            </w:pPr>
            <w:r>
              <w:rPr>
                <w:rFonts w:ascii="Calibri" w:hAnsi="Calibri"/>
                <w:b w:val="0"/>
                <w:i w:val="0"/>
                <w:color w:val="212121"/>
                <w:sz w:val="16"/>
              </w:rPr>
              <w:t>Thyroid function &amp; autoantibodies</w:t>
            </w:r>
          </w:p>
        </w:tc>
        <w:tc>
          <w:tcPr>
            <w:tcW w:type="dxa" w:w="950"/>
            <w:vAlign w:val="top"/>
          </w:tcPr>
          <w:p>
            <w:pPr>
              <w:spacing w:after="40" w:before="0" w:line="259" w:lineRule="auto"/>
            </w:pPr>
            <w:r>
              <w:rPr>
                <w:rFonts w:ascii="Calibri" w:hAnsi="Calibri"/>
                <w:b w:val="0"/>
                <w:i w:val="0"/>
                <w:color w:val="212121"/>
                <w:sz w:val="16"/>
              </w:rPr>
              <w:t>TSH 0.4–4.0 mIU/L; anti-TPO negative</w:t>
            </w:r>
          </w:p>
        </w:tc>
        <w:tc>
          <w:tcPr>
            <w:tcW w:type="dxa" w:w="950"/>
            <w:vAlign w:val="top"/>
          </w:tcPr>
          <w:p>
            <w:pPr>
              <w:spacing w:after="40" w:before="0" w:line="259" w:lineRule="auto"/>
            </w:pPr>
            <w:r>
              <w:rPr>
                <w:rFonts w:ascii="Calibri" w:hAnsi="Calibri"/>
                <w:b w:val="0"/>
                <w:i w:val="0"/>
                <w:color w:val="212121"/>
                <w:sz w:val="16"/>
              </w:rPr>
              <w:t>Elevated TSH and/or positive anti-TPO</w:t>
            </w:r>
          </w:p>
        </w:tc>
        <w:tc>
          <w:tcPr>
            <w:tcW w:type="dxa" w:w="1036"/>
            <w:vAlign w:val="top"/>
          </w:tcPr>
          <w:p>
            <w:pPr>
              <w:spacing w:after="40" w:before="0" w:line="259" w:lineRule="auto"/>
            </w:pPr>
            <w:r>
              <w:rPr>
                <w:rFonts w:ascii="Calibri" w:hAnsi="Calibri"/>
                <w:b w:val="0"/>
                <w:i w:val="0"/>
                <w:color w:val="212121"/>
                <w:sz w:val="16"/>
              </w:rPr>
              <w:t>Screens for autoimmune thyroid disease, the commonest comorbidity</w:t>
            </w:r>
          </w:p>
        </w:tc>
        <w:tc>
          <w:tcPr>
            <w:tcW w:type="dxa" w:w="1036"/>
            <w:vAlign w:val="top"/>
          </w:tcPr>
          <w:p>
            <w:pPr>
              <w:spacing w:after="40" w:before="0" w:line="259" w:lineRule="auto"/>
            </w:pPr>
            <w:r>
              <w:rPr>
                <w:rFonts w:ascii="Calibri" w:hAnsi="Calibri"/>
                <w:b w:val="0"/>
                <w:i w:val="0"/>
                <w:color w:val="212121"/>
                <w:sz w:val="16"/>
              </w:rPr>
              <w:t>All vitiligo, especially women and NSV</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Thyroid disease affects ~13–14% of patients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Glycaemic screen</w:t>
            </w:r>
          </w:p>
        </w:tc>
        <w:tc>
          <w:tcPr>
            <w:tcW w:type="dxa" w:w="950"/>
            <w:vAlign w:val="top"/>
          </w:tcPr>
          <w:p>
            <w:pPr>
              <w:spacing w:after="40" w:before="0" w:line="259" w:lineRule="auto"/>
            </w:pPr>
            <w:r>
              <w:rPr>
                <w:rFonts w:ascii="Calibri" w:hAnsi="Calibri"/>
                <w:b w:val="0"/>
                <w:i w:val="0"/>
                <w:color w:val="212121"/>
                <w:sz w:val="16"/>
              </w:rPr>
              <w:t>FPG &lt; 100 mg/dL; HbA1c &lt; 5.7%</w:t>
            </w:r>
          </w:p>
        </w:tc>
        <w:tc>
          <w:tcPr>
            <w:tcW w:type="dxa" w:w="950"/>
            <w:vAlign w:val="top"/>
          </w:tcPr>
          <w:p>
            <w:pPr>
              <w:spacing w:after="40" w:before="0" w:line="259" w:lineRule="auto"/>
            </w:pPr>
            <w:r>
              <w:rPr>
                <w:rFonts w:ascii="Calibri" w:hAnsi="Calibri"/>
                <w:b w:val="0"/>
                <w:i w:val="0"/>
                <w:color w:val="212121"/>
                <w:sz w:val="16"/>
              </w:rPr>
              <w:t>FPG ≥ 126 mg/dL; HbA1c ≥ 6.5%</w:t>
            </w:r>
          </w:p>
        </w:tc>
        <w:tc>
          <w:tcPr>
            <w:tcW w:type="dxa" w:w="1036"/>
            <w:vAlign w:val="top"/>
          </w:tcPr>
          <w:p>
            <w:pPr>
              <w:spacing w:after="40" w:before="0" w:line="259" w:lineRule="auto"/>
            </w:pPr>
            <w:r>
              <w:rPr>
                <w:rFonts w:ascii="Calibri" w:hAnsi="Calibri"/>
                <w:b w:val="0"/>
                <w:i w:val="0"/>
                <w:color w:val="212121"/>
                <w:sz w:val="16"/>
              </w:rPr>
              <w:t>Screens for associated autoimmune (type 1) and type 2 diabetes</w:t>
            </w:r>
          </w:p>
        </w:tc>
        <w:tc>
          <w:tcPr>
            <w:tcW w:type="dxa" w:w="1036"/>
            <w:vAlign w:val="top"/>
          </w:tcPr>
          <w:p>
            <w:pPr>
              <w:spacing w:after="40" w:before="0" w:line="259" w:lineRule="auto"/>
            </w:pPr>
            <w:r>
              <w:rPr>
                <w:rFonts w:ascii="Calibri" w:hAnsi="Calibri"/>
                <w:b w:val="0"/>
                <w:i w:val="0"/>
                <w:color w:val="212121"/>
                <w:sz w:val="16"/>
              </w:rPr>
              <w:t>Vitiligo with autoimmune diathesis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Type 1 diabetes found in ~1.8%</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CBC &amp; serum vitamin B12</w:t>
            </w:r>
          </w:p>
        </w:tc>
        <w:tc>
          <w:tcPr>
            <w:tcW w:type="dxa" w:w="892"/>
            <w:vAlign w:val="top"/>
          </w:tcPr>
          <w:p>
            <w:pPr>
              <w:spacing w:after="40" w:before="0" w:line="259" w:lineRule="auto"/>
            </w:pPr>
            <w:r>
              <w:rPr>
                <w:rFonts w:ascii="Calibri" w:hAnsi="Calibri"/>
                <w:b w:val="0"/>
                <w:i w:val="0"/>
                <w:color w:val="212121"/>
                <w:sz w:val="16"/>
              </w:rPr>
              <w:t>Anaemia / B12 assay</w:t>
            </w:r>
          </w:p>
        </w:tc>
        <w:tc>
          <w:tcPr>
            <w:tcW w:type="dxa" w:w="950"/>
            <w:vAlign w:val="top"/>
          </w:tcPr>
          <w:p>
            <w:pPr>
              <w:spacing w:after="40" w:before="0" w:line="259" w:lineRule="auto"/>
            </w:pPr>
            <w:r>
              <w:rPr>
                <w:rFonts w:ascii="Calibri" w:hAnsi="Calibri"/>
                <w:b w:val="0"/>
                <w:i w:val="0"/>
                <w:color w:val="212121"/>
                <w:sz w:val="16"/>
              </w:rPr>
              <w:t>Normal indices; B12 &gt; 200–300 pg/mL</w:t>
            </w:r>
          </w:p>
        </w:tc>
        <w:tc>
          <w:tcPr>
            <w:tcW w:type="dxa" w:w="950"/>
            <w:vAlign w:val="top"/>
          </w:tcPr>
          <w:p>
            <w:pPr>
              <w:spacing w:after="40" w:before="0" w:line="259" w:lineRule="auto"/>
            </w:pPr>
            <w:r>
              <w:rPr>
                <w:rFonts w:ascii="Calibri" w:hAnsi="Calibri"/>
                <w:b w:val="0"/>
                <w:i w:val="0"/>
                <w:color w:val="212121"/>
                <w:sz w:val="16"/>
              </w:rPr>
              <w:t>Macrocytosis; low B12 (± anti-parietal/intrinsic-factor antibodies)</w:t>
            </w:r>
          </w:p>
        </w:tc>
        <w:tc>
          <w:tcPr>
            <w:tcW w:type="dxa" w:w="1036"/>
            <w:vAlign w:val="top"/>
          </w:tcPr>
          <w:p>
            <w:pPr>
              <w:spacing w:after="40" w:before="0" w:line="259" w:lineRule="auto"/>
            </w:pPr>
            <w:r>
              <w:rPr>
                <w:rFonts w:ascii="Calibri" w:hAnsi="Calibri"/>
                <w:b w:val="0"/>
                <w:i w:val="0"/>
                <w:color w:val="212121"/>
                <w:sz w:val="16"/>
              </w:rPr>
              <w:t>Screens for autoimmune pernicious anaemia and correctable B12 deficiency</w:t>
            </w:r>
          </w:p>
        </w:tc>
        <w:tc>
          <w:tcPr>
            <w:tcW w:type="dxa" w:w="1036"/>
            <w:vAlign w:val="top"/>
          </w:tcPr>
          <w:p>
            <w:pPr>
              <w:spacing w:after="40" w:before="0" w:line="259" w:lineRule="auto"/>
            </w:pPr>
            <w:r>
              <w:rPr>
                <w:rFonts w:ascii="Calibri" w:hAnsi="Calibri"/>
                <w:b w:val="0"/>
                <w:i w:val="0"/>
                <w:color w:val="212121"/>
                <w:sz w:val="16"/>
              </w:rPr>
              <w:t>Vegetarians, patients with autoimmune features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Pernicious anaemia over-represented (~1.7%)</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25-hydroxy vitamin D</w:t>
            </w:r>
          </w:p>
        </w:tc>
        <w:tc>
          <w:tcPr>
            <w:tcW w:type="dxa" w:w="892"/>
            <w:vAlign w:val="top"/>
          </w:tcPr>
          <w:p>
            <w:pPr>
              <w:spacing w:after="40" w:before="0" w:line="259" w:lineRule="auto"/>
            </w:pPr>
            <w:r>
              <w:rPr>
                <w:rFonts w:ascii="Calibri" w:hAnsi="Calibri"/>
                <w:b w:val="0"/>
                <w:i w:val="0"/>
                <w:color w:val="212121"/>
                <w:sz w:val="16"/>
              </w:rPr>
              <w:t>Vitamin D assay</w:t>
            </w:r>
          </w:p>
        </w:tc>
        <w:tc>
          <w:tcPr>
            <w:tcW w:type="dxa" w:w="950"/>
            <w:vAlign w:val="top"/>
          </w:tcPr>
          <w:p>
            <w:pPr>
              <w:spacing w:after="40" w:before="0" w:line="259" w:lineRule="auto"/>
            </w:pPr>
            <w:r>
              <w:rPr>
                <w:rFonts w:ascii="Calibri" w:hAnsi="Calibri"/>
                <w:b w:val="0"/>
                <w:i w:val="0"/>
                <w:color w:val="212121"/>
                <w:sz w:val="16"/>
              </w:rPr>
              <w:t>≥ 30 ng/mL</w:t>
            </w:r>
          </w:p>
        </w:tc>
        <w:tc>
          <w:tcPr>
            <w:tcW w:type="dxa" w:w="950"/>
            <w:vAlign w:val="top"/>
          </w:tcPr>
          <w:p>
            <w:pPr>
              <w:spacing w:after="40" w:before="0" w:line="259" w:lineRule="auto"/>
            </w:pPr>
            <w:r>
              <w:rPr>
                <w:rFonts w:ascii="Calibri" w:hAnsi="Calibri"/>
                <w:b w:val="0"/>
                <w:i w:val="0"/>
                <w:color w:val="212121"/>
                <w:sz w:val="16"/>
              </w:rPr>
              <w:t>&lt; 20 ng/mL (deficient)</w:t>
            </w:r>
          </w:p>
        </w:tc>
        <w:tc>
          <w:tcPr>
            <w:tcW w:type="dxa" w:w="1036"/>
            <w:vAlign w:val="top"/>
          </w:tcPr>
          <w:p>
            <w:pPr>
              <w:spacing w:after="40" w:before="0" w:line="259" w:lineRule="auto"/>
            </w:pPr>
            <w:r>
              <w:rPr>
                <w:rFonts w:ascii="Calibri" w:hAnsi="Calibri"/>
                <w:b w:val="0"/>
                <w:i w:val="0"/>
                <w:color w:val="212121"/>
                <w:sz w:val="16"/>
              </w:rPr>
              <w:t>Frequently low in vitiligo; correction supports melanocyte survival and immune balance</w:t>
            </w:r>
          </w:p>
        </w:tc>
        <w:tc>
          <w:tcPr>
            <w:tcW w:type="dxa" w:w="1036"/>
            <w:vAlign w:val="top"/>
          </w:tcPr>
          <w:p>
            <w:pPr>
              <w:spacing w:after="40" w:before="0" w:line="259" w:lineRule="auto"/>
            </w:pPr>
            <w:r>
              <w:rPr>
                <w:rFonts w:ascii="Calibri" w:hAnsi="Calibri"/>
                <w:b w:val="0"/>
                <w:i w:val="0"/>
                <w:color w:val="212121"/>
                <w:sz w:val="16"/>
              </w:rPr>
              <w:t>Vitiligo patients, low-sun-exposure individuals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Low</w:t>
            </w:r>
          </w:p>
        </w:tc>
        <w:tc>
          <w:tcPr>
            <w:tcW w:type="dxa" w:w="720"/>
            <w:vAlign w:val="top"/>
          </w:tcPr>
          <w:p>
            <w:pPr>
              <w:spacing w:after="40" w:before="0" w:line="259" w:lineRule="auto"/>
            </w:pPr>
            <w:r>
              <w:rPr>
                <w:rFonts w:ascii="Calibri" w:hAnsi="Calibri"/>
                <w:b w:val="0"/>
                <w:i w:val="0"/>
                <w:color w:val="212121"/>
                <w:sz w:val="16"/>
              </w:rPr>
              <w:t>Association, not a proven cause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Absent epidermal melanocytes</w:t>
            </w:r>
          </w:p>
        </w:tc>
        <w:tc>
          <w:tcPr>
            <w:tcW w:type="dxa" w:w="892"/>
            <w:vAlign w:val="top"/>
          </w:tcPr>
          <w:p>
            <w:pPr>
              <w:spacing w:after="40" w:before="0" w:line="259" w:lineRule="auto"/>
            </w:pPr>
            <w:r>
              <w:rPr>
                <w:rFonts w:ascii="Calibri" w:hAnsi="Calibri"/>
                <w:b w:val="0"/>
                <w:i w:val="0"/>
                <w:color w:val="212121"/>
                <w:sz w:val="16"/>
              </w:rPr>
              <w:t>Skin biopsy + immunohistochemistry (Melan-A/HMB-45/S100)</w:t>
            </w:r>
          </w:p>
        </w:tc>
        <w:tc>
          <w:tcPr>
            <w:tcW w:type="dxa" w:w="950"/>
            <w:vAlign w:val="top"/>
          </w:tcPr>
          <w:p>
            <w:pPr>
              <w:spacing w:after="40" w:before="0" w:line="259" w:lineRule="auto"/>
            </w:pPr>
            <w:r>
              <w:rPr>
                <w:rFonts w:ascii="Calibri" w:hAnsi="Calibri"/>
                <w:b w:val="0"/>
                <w:i w:val="0"/>
                <w:color w:val="212121"/>
                <w:sz w:val="16"/>
              </w:rPr>
              <w:t>Melanocytes present with normal pigment</w:t>
            </w:r>
          </w:p>
        </w:tc>
        <w:tc>
          <w:tcPr>
            <w:tcW w:type="dxa" w:w="950"/>
            <w:vAlign w:val="top"/>
          </w:tcPr>
          <w:p>
            <w:pPr>
              <w:spacing w:after="40" w:before="0" w:line="259" w:lineRule="auto"/>
            </w:pPr>
            <w:r>
              <w:rPr>
                <w:rFonts w:ascii="Calibri" w:hAnsi="Calibri"/>
                <w:b w:val="0"/>
                <w:i w:val="0"/>
                <w:color w:val="212121"/>
                <w:sz w:val="16"/>
              </w:rPr>
              <w:t>Complete loss of melanocytes/melanin; marginal lymphocytic infiltrate if active</w:t>
            </w:r>
          </w:p>
        </w:tc>
        <w:tc>
          <w:tcPr>
            <w:tcW w:type="dxa" w:w="1036"/>
            <w:vAlign w:val="top"/>
          </w:tcPr>
          <w:p>
            <w:pPr>
              <w:spacing w:after="40" w:before="0" w:line="259" w:lineRule="auto"/>
            </w:pPr>
            <w:r>
              <w:rPr>
                <w:rFonts w:ascii="Calibri" w:hAnsi="Calibri"/>
                <w:b w:val="0"/>
                <w:i w:val="0"/>
                <w:color w:val="212121"/>
                <w:sz w:val="16"/>
              </w:rPr>
              <w:t>Confirms diagnosis in atypical, segmental or amelanotic-doubt cases</w:t>
            </w:r>
          </w:p>
        </w:tc>
        <w:tc>
          <w:tcPr>
            <w:tcW w:type="dxa" w:w="1036"/>
            <w:vAlign w:val="top"/>
          </w:tcPr>
          <w:p>
            <w:pPr>
              <w:spacing w:after="40" w:before="0" w:line="259" w:lineRule="auto"/>
            </w:pPr>
            <w:r>
              <w:rPr>
                <w:rFonts w:ascii="Calibri" w:hAnsi="Calibri"/>
                <w:b w:val="0"/>
                <w:i w:val="0"/>
                <w:color w:val="212121"/>
                <w:sz w:val="16"/>
              </w:rPr>
              <w:t>Atypical or diagnostically uncertain lesions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Low</w:t>
            </w:r>
          </w:p>
        </w:tc>
        <w:tc>
          <w:tcPr>
            <w:tcW w:type="dxa" w:w="720"/>
            <w:vAlign w:val="top"/>
          </w:tcPr>
          <w:p>
            <w:pPr>
              <w:spacing w:after="40" w:before="0" w:line="259" w:lineRule="auto"/>
            </w:pPr>
            <w:r>
              <w:rPr>
                <w:rFonts w:ascii="Calibri" w:hAnsi="Calibri"/>
                <w:b w:val="0"/>
                <w:i w:val="0"/>
                <w:color w:val="212121"/>
                <w:sz w:val="16"/>
              </w:rPr>
              <w:t>Rarely needed; diagnosis is usually clinical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Scoring</w:t>
            </w:r>
          </w:p>
        </w:tc>
        <w:tc>
          <w:tcPr>
            <w:tcW w:type="dxa" w:w="1036"/>
            <w:vAlign w:val="top"/>
          </w:tcPr>
          <w:p>
            <w:pPr>
              <w:spacing w:after="40" w:before="0" w:line="259" w:lineRule="auto"/>
            </w:pPr>
            <w:r>
              <w:rPr>
                <w:rFonts w:ascii="Calibri" w:hAnsi="Calibri"/>
                <w:b w:val="0"/>
                <w:i w:val="0"/>
                <w:color w:val="212121"/>
                <w:sz w:val="16"/>
              </w:rPr>
              <w:t>VASI / VIDA</w:t>
            </w:r>
          </w:p>
        </w:tc>
        <w:tc>
          <w:tcPr>
            <w:tcW w:type="dxa" w:w="892"/>
            <w:vAlign w:val="top"/>
          </w:tcPr>
          <w:p>
            <w:pPr>
              <w:spacing w:after="40" w:before="0" w:line="259" w:lineRule="auto"/>
            </w:pPr>
            <w:r>
              <w:rPr>
                <w:rFonts w:ascii="Calibri" w:hAnsi="Calibri"/>
                <w:b w:val="0"/>
                <w:i w:val="0"/>
                <w:color w:val="212121"/>
                <w:sz w:val="16"/>
              </w:rPr>
              <w:t>Severity &amp; activity indices</w:t>
            </w:r>
          </w:p>
        </w:tc>
        <w:tc>
          <w:tcPr>
            <w:tcW w:type="dxa" w:w="950"/>
            <w:vAlign w:val="top"/>
          </w:tcPr>
          <w:p>
            <w:pPr>
              <w:spacing w:after="40" w:before="0" w:line="259" w:lineRule="auto"/>
            </w:pPr>
            <w:r>
              <w:rPr>
                <w:rFonts w:ascii="Calibri" w:hAnsi="Calibri"/>
                <w:b w:val="0"/>
                <w:i w:val="0"/>
                <w:color w:val="212121"/>
                <w:sz w:val="16"/>
              </w:rPr>
              <w:t>VASI 0; VIDA -1 to 0</w:t>
            </w:r>
          </w:p>
        </w:tc>
        <w:tc>
          <w:tcPr>
            <w:tcW w:type="dxa" w:w="950"/>
            <w:vAlign w:val="top"/>
          </w:tcPr>
          <w:p>
            <w:pPr>
              <w:spacing w:after="40" w:before="0" w:line="259" w:lineRule="auto"/>
            </w:pPr>
            <w:r>
              <w:rPr>
                <w:rFonts w:ascii="Calibri" w:hAnsi="Calibri"/>
                <w:b w:val="0"/>
                <w:i w:val="0"/>
                <w:color w:val="212121"/>
                <w:sz w:val="16"/>
              </w:rPr>
              <w:t>Higher VASI (greater area); VIDA +3/+4 (active)</w:t>
            </w:r>
          </w:p>
        </w:tc>
        <w:tc>
          <w:tcPr>
            <w:tcW w:type="dxa" w:w="1036"/>
            <w:vAlign w:val="top"/>
          </w:tcPr>
          <w:p>
            <w:pPr>
              <w:spacing w:after="40" w:before="0" w:line="259" w:lineRule="auto"/>
            </w:pPr>
            <w:r>
              <w:rPr>
                <w:rFonts w:ascii="Calibri" w:hAnsi="Calibri"/>
                <w:b w:val="0"/>
                <w:i w:val="0"/>
                <w:color w:val="212121"/>
                <w:sz w:val="16"/>
              </w:rPr>
              <w:t>Objective grading of extent and activity for baseline and follow-up</w:t>
            </w:r>
          </w:p>
        </w:tc>
        <w:tc>
          <w:tcPr>
            <w:tcW w:type="dxa" w:w="1036"/>
            <w:vAlign w:val="top"/>
          </w:tcPr>
          <w:p>
            <w:pPr>
              <w:spacing w:after="40" w:before="0" w:line="259" w:lineRule="auto"/>
            </w:pPr>
            <w:r>
              <w:rPr>
                <w:rFonts w:ascii="Calibri" w:hAnsi="Calibri"/>
                <w:b w:val="0"/>
                <w:i w:val="0"/>
                <w:color w:val="212121"/>
                <w:sz w:val="16"/>
              </w:rPr>
              <w:t>All vitiligo under treatment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Standard tools for monitoring treatment response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 &amp; onset</w:t>
            </w:r>
          </w:p>
        </w:tc>
        <w:tc>
          <w:tcPr>
            <w:tcW w:type="dxa" w:w="979"/>
            <w:vAlign w:val="top"/>
          </w:tcPr>
          <w:p>
            <w:pPr>
              <w:spacing w:after="40" w:before="0" w:line="259" w:lineRule="auto"/>
            </w:pPr>
            <w:r>
              <w:rPr>
                <w:rFonts w:ascii="Calibri" w:hAnsi="Calibri"/>
                <w:b w:val="0"/>
                <w:i w:val="0"/>
                <w:color w:val="212121"/>
                <w:sz w:val="16"/>
              </w:rPr>
              <w:t>White patches — site, duration, progression</w:t>
            </w:r>
          </w:p>
        </w:tc>
        <w:tc>
          <w:tcPr>
            <w:tcW w:type="dxa" w:w="950"/>
            <w:vAlign w:val="top"/>
          </w:tcPr>
          <w:p>
            <w:pPr>
              <w:spacing w:after="40" w:before="0" w:line="259" w:lineRule="auto"/>
            </w:pPr>
            <w:r>
              <w:rPr>
                <w:rFonts w:ascii="Calibri" w:hAnsi="Calibri"/>
                <w:b w:val="0"/>
                <w:i w:val="0"/>
                <w:color w:val="212121"/>
                <w:sz w:val="16"/>
              </w:rPr>
              <w:t>No depigmentation</w:t>
            </w:r>
          </w:p>
        </w:tc>
        <w:tc>
          <w:tcPr>
            <w:tcW w:type="dxa" w:w="950"/>
            <w:vAlign w:val="top"/>
          </w:tcPr>
          <w:p>
            <w:pPr>
              <w:spacing w:after="40" w:before="0" w:line="259" w:lineRule="auto"/>
            </w:pPr>
            <w:r>
              <w:rPr>
                <w:rFonts w:ascii="Calibri" w:hAnsi="Calibri"/>
                <w:b w:val="0"/>
                <w:i w:val="0"/>
                <w:color w:val="212121"/>
                <w:sz w:val="16"/>
              </w:rPr>
              <w:t>Acquired, enlarging white macules/patches</w:t>
            </w:r>
          </w:p>
        </w:tc>
        <w:tc>
          <w:tcPr>
            <w:tcW w:type="dxa" w:w="1036"/>
            <w:vAlign w:val="top"/>
          </w:tcPr>
          <w:p>
            <w:pPr>
              <w:spacing w:after="40" w:before="0" w:line="259" w:lineRule="auto"/>
            </w:pPr>
            <w:r>
              <w:rPr>
                <w:rFonts w:ascii="Calibri" w:hAnsi="Calibri"/>
                <w:b w:val="0"/>
                <w:i w:val="0"/>
                <w:color w:val="212121"/>
                <w:sz w:val="16"/>
              </w:rPr>
              <w:t>Establishes the diagnosis, chronicity and rate of spread</w:t>
            </w:r>
          </w:p>
        </w:tc>
        <w:tc>
          <w:tcPr>
            <w:tcW w:type="dxa" w:w="1036"/>
            <w:vAlign w:val="top"/>
          </w:tcPr>
          <w:p>
            <w:pPr>
              <w:spacing w:after="40" w:before="0" w:line="259" w:lineRule="auto"/>
            </w:pPr>
            <w:r>
              <w:rPr>
                <w:rFonts w:ascii="Calibri" w:hAnsi="Calibri"/>
                <w:b w:val="0"/>
                <w:i w:val="0"/>
                <w:color w:val="212121"/>
                <w:sz w:val="16"/>
              </w:rPr>
              <w:t>Children, young adults, women presenting early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Note whether stable or actively spreading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Disease activity &amp; Koebner</w:t>
            </w:r>
          </w:p>
        </w:tc>
        <w:tc>
          <w:tcPr>
            <w:tcW w:type="dxa" w:w="979"/>
            <w:vAlign w:val="top"/>
          </w:tcPr>
          <w:p>
            <w:pPr>
              <w:spacing w:after="40" w:before="0" w:line="259" w:lineRule="auto"/>
            </w:pPr>
            <w:r>
              <w:rPr>
                <w:rFonts w:ascii="Calibri" w:hAnsi="Calibri"/>
                <w:b w:val="0"/>
                <w:i w:val="0"/>
                <w:color w:val="212121"/>
                <w:sz w:val="16"/>
              </w:rPr>
              <w:t>New lesions at trauma sites; recent spread</w:t>
            </w:r>
          </w:p>
        </w:tc>
        <w:tc>
          <w:tcPr>
            <w:tcW w:type="dxa" w:w="950"/>
            <w:vAlign w:val="top"/>
          </w:tcPr>
          <w:p>
            <w:pPr>
              <w:spacing w:after="40" w:before="0" w:line="259" w:lineRule="auto"/>
            </w:pPr>
            <w:r>
              <w:rPr>
                <w:rFonts w:ascii="Calibri" w:hAnsi="Calibri"/>
                <w:b w:val="0"/>
                <w:i w:val="0"/>
                <w:color w:val="212121"/>
                <w:sz w:val="16"/>
              </w:rPr>
              <w:t>No new lesions; stable</w:t>
            </w:r>
          </w:p>
        </w:tc>
        <w:tc>
          <w:tcPr>
            <w:tcW w:type="dxa" w:w="950"/>
            <w:vAlign w:val="top"/>
          </w:tcPr>
          <w:p>
            <w:pPr>
              <w:spacing w:after="40" w:before="0" w:line="259" w:lineRule="auto"/>
            </w:pPr>
            <w:r>
              <w:rPr>
                <w:rFonts w:ascii="Calibri" w:hAnsi="Calibri"/>
                <w:b w:val="0"/>
                <w:i w:val="0"/>
                <w:color w:val="212121"/>
                <w:sz w:val="16"/>
              </w:rPr>
              <w:t>Fresh macules at scratches/pressure sites; rapid spread</w:t>
            </w:r>
          </w:p>
        </w:tc>
        <w:tc>
          <w:tcPr>
            <w:tcW w:type="dxa" w:w="1036"/>
            <w:vAlign w:val="top"/>
          </w:tcPr>
          <w:p>
            <w:pPr>
              <w:spacing w:after="40" w:before="0" w:line="259" w:lineRule="auto"/>
            </w:pPr>
            <w:r>
              <w:rPr>
                <w:rFonts w:ascii="Calibri" w:hAnsi="Calibri"/>
                <w:b w:val="0"/>
                <w:i w:val="0"/>
                <w:color w:val="212121"/>
                <w:sz w:val="16"/>
              </w:rPr>
              <w:t>Identifies active, unstable disease requiring prompt immunomodulation</w:t>
            </w:r>
          </w:p>
        </w:tc>
        <w:tc>
          <w:tcPr>
            <w:tcW w:type="dxa" w:w="1036"/>
            <w:vAlign w:val="top"/>
          </w:tcPr>
          <w:p>
            <w:pPr>
              <w:spacing w:after="40" w:before="0" w:line="259" w:lineRule="auto"/>
            </w:pPr>
            <w:r>
              <w:rPr>
                <w:rFonts w:ascii="Calibri" w:hAnsi="Calibri"/>
                <w:b w:val="0"/>
                <w:i w:val="0"/>
                <w:color w:val="212121"/>
                <w:sz w:val="16"/>
              </w:rPr>
              <w:t>Active/unstable vitiligo</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Active disease contraindicates surgical grafting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Precipitating &amp; exposure history</w:t>
            </w:r>
          </w:p>
        </w:tc>
        <w:tc>
          <w:tcPr>
            <w:tcW w:type="dxa" w:w="979"/>
            <w:vAlign w:val="top"/>
          </w:tcPr>
          <w:p>
            <w:pPr>
              <w:spacing w:after="40" w:before="0" w:line="259" w:lineRule="auto"/>
            </w:pPr>
            <w:r>
              <w:rPr>
                <w:rFonts w:ascii="Calibri" w:hAnsi="Calibri"/>
                <w:b w:val="0"/>
                <w:i w:val="0"/>
                <w:color w:val="212121"/>
                <w:sz w:val="16"/>
              </w:rPr>
              <w:t>Trauma, chemical/cosmetic contact, sunburn, stress, illness</w:t>
            </w:r>
          </w:p>
        </w:tc>
        <w:tc>
          <w:tcPr>
            <w:tcW w:type="dxa" w:w="950"/>
            <w:vAlign w:val="top"/>
          </w:tcPr>
          <w:p>
            <w:pPr>
              <w:spacing w:after="40" w:before="0" w:line="259" w:lineRule="auto"/>
            </w:pPr>
            <w:r>
              <w:rPr>
                <w:rFonts w:ascii="Calibri" w:hAnsi="Calibri"/>
                <w:b w:val="0"/>
                <w:i w:val="0"/>
                <w:color w:val="212121"/>
                <w:sz w:val="16"/>
              </w:rPr>
              <w:t>No identifiable trigger</w:t>
            </w:r>
          </w:p>
        </w:tc>
        <w:tc>
          <w:tcPr>
            <w:tcW w:type="dxa" w:w="950"/>
            <w:vAlign w:val="top"/>
          </w:tcPr>
          <w:p>
            <w:pPr>
              <w:spacing w:after="40" w:before="0" w:line="259" w:lineRule="auto"/>
            </w:pPr>
            <w:r>
              <w:rPr>
                <w:rFonts w:ascii="Calibri" w:hAnsi="Calibri"/>
                <w:b w:val="0"/>
                <w:i w:val="0"/>
                <w:color w:val="212121"/>
                <w:sz w:val="16"/>
              </w:rPr>
              <w:t>Phenol/catechol exposure, injury, sunburn or major stress before onset/flare</w:t>
            </w:r>
          </w:p>
        </w:tc>
        <w:tc>
          <w:tcPr>
            <w:tcW w:type="dxa" w:w="1036"/>
            <w:vAlign w:val="top"/>
          </w:tcPr>
          <w:p>
            <w:pPr>
              <w:spacing w:after="40" w:before="0" w:line="259" w:lineRule="auto"/>
            </w:pPr>
            <w:r>
              <w:rPr>
                <w:rFonts w:ascii="Calibri" w:hAnsi="Calibri"/>
                <w:b w:val="0"/>
                <w:i w:val="0"/>
                <w:color w:val="212121"/>
                <w:sz w:val="16"/>
              </w:rPr>
              <w:t>Uncovers avoidable triggers (occupational chemicals, friction, stress)</w:t>
            </w:r>
          </w:p>
        </w:tc>
        <w:tc>
          <w:tcPr>
            <w:tcW w:type="dxa" w:w="1036"/>
            <w:vAlign w:val="top"/>
          </w:tcPr>
          <w:p>
            <w:pPr>
              <w:spacing w:after="40" w:before="0" w:line="259" w:lineRule="auto"/>
            </w:pPr>
            <w:r>
              <w:rPr>
                <w:rFonts w:ascii="Calibri" w:hAnsi="Calibri"/>
                <w:b w:val="0"/>
                <w:i w:val="0"/>
                <w:color w:val="212121"/>
                <w:sz w:val="16"/>
              </w:rPr>
              <w:t>Occupational exposure, cosmetic users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Ask specifically about rubber, adhesives, hair dye and bindi adhesives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autoimmune history</w:t>
            </w:r>
          </w:p>
        </w:tc>
        <w:tc>
          <w:tcPr>
            <w:tcW w:type="dxa" w:w="979"/>
            <w:vAlign w:val="top"/>
          </w:tcPr>
          <w:p>
            <w:pPr>
              <w:spacing w:after="40" w:before="0" w:line="259" w:lineRule="auto"/>
            </w:pPr>
            <w:r>
              <w:rPr>
                <w:rFonts w:ascii="Calibri" w:hAnsi="Calibri"/>
                <w:b w:val="0"/>
                <w:i w:val="0"/>
                <w:color w:val="212121"/>
                <w:sz w:val="16"/>
              </w:rPr>
              <w:t>Relatives with vitiligo; personal/family autoimmune disease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 1 affected relative or autoimmune background</w:t>
            </w:r>
          </w:p>
        </w:tc>
        <w:tc>
          <w:tcPr>
            <w:tcW w:type="dxa" w:w="1036"/>
            <w:vAlign w:val="top"/>
          </w:tcPr>
          <w:p>
            <w:pPr>
              <w:spacing w:after="40" w:before="0" w:line="259" w:lineRule="auto"/>
            </w:pPr>
            <w:r>
              <w:rPr>
                <w:rFonts w:ascii="Calibri" w:hAnsi="Calibri"/>
                <w:b w:val="0"/>
                <w:i w:val="0"/>
                <w:color w:val="212121"/>
                <w:sz w:val="16"/>
              </w:rPr>
              <w:t>Confirms hereditary/autoimmune predisposition and prompts comorbidity screening</w:t>
            </w:r>
          </w:p>
        </w:tc>
        <w:tc>
          <w:tcPr>
            <w:tcW w:type="dxa" w:w="1036"/>
            <w:vAlign w:val="top"/>
          </w:tcPr>
          <w:p>
            <w:pPr>
              <w:spacing w:after="40" w:before="0" w:line="259" w:lineRule="auto"/>
            </w:pPr>
            <w:r>
              <w:rPr>
                <w:rFonts w:ascii="Calibri" w:hAnsi="Calibri"/>
                <w:b w:val="0"/>
                <w:i w:val="0"/>
                <w:color w:val="212121"/>
                <w:sz w:val="16"/>
              </w:rPr>
              <w:t>First-degree relatives, autoimmune diathesis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Family history in ~22% of Indian patients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Associated autoimmune symptoms</w:t>
            </w:r>
          </w:p>
        </w:tc>
        <w:tc>
          <w:tcPr>
            <w:tcW w:type="dxa" w:w="979"/>
            <w:vAlign w:val="top"/>
          </w:tcPr>
          <w:p>
            <w:pPr>
              <w:spacing w:after="40" w:before="0" w:line="259" w:lineRule="auto"/>
            </w:pPr>
            <w:r>
              <w:rPr>
                <w:rFonts w:ascii="Calibri" w:hAnsi="Calibri"/>
                <w:b w:val="0"/>
                <w:i w:val="0"/>
                <w:color w:val="212121"/>
                <w:sz w:val="16"/>
              </w:rPr>
              <w:t>Thyroid, diabetic, anaemia symptoms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Fatigue, weight change, cold intolerance, polyuria, glossitis</w:t>
            </w:r>
          </w:p>
        </w:tc>
        <w:tc>
          <w:tcPr>
            <w:tcW w:type="dxa" w:w="1036"/>
            <w:vAlign w:val="top"/>
          </w:tcPr>
          <w:p>
            <w:pPr>
              <w:spacing w:after="40" w:before="0" w:line="259" w:lineRule="auto"/>
            </w:pPr>
            <w:r>
              <w:rPr>
                <w:rFonts w:ascii="Calibri" w:hAnsi="Calibri"/>
                <w:b w:val="0"/>
                <w:i w:val="0"/>
                <w:color w:val="212121"/>
                <w:sz w:val="16"/>
              </w:rPr>
              <w:t>Flags coexisting thyroid disease, diabetes or pernicious anaemia</w:t>
            </w:r>
          </w:p>
        </w:tc>
        <w:tc>
          <w:tcPr>
            <w:tcW w:type="dxa" w:w="1036"/>
            <w:vAlign w:val="top"/>
          </w:tcPr>
          <w:p>
            <w:pPr>
              <w:spacing w:after="40" w:before="0" w:line="259" w:lineRule="auto"/>
            </w:pPr>
            <w:r>
              <w:rPr>
                <w:rFonts w:ascii="Calibri" w:hAnsi="Calibri"/>
                <w:b w:val="0"/>
                <w:i w:val="0"/>
                <w:color w:val="212121"/>
                <w:sz w:val="16"/>
              </w:rPr>
              <w:t>Women, NSV, autoimmune diathesis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Directs targeted laboratory screening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Psychosocial impact</w:t>
            </w:r>
          </w:p>
        </w:tc>
        <w:tc>
          <w:tcPr>
            <w:tcW w:type="dxa" w:w="979"/>
            <w:vAlign w:val="top"/>
          </w:tcPr>
          <w:p>
            <w:pPr>
              <w:spacing w:after="40" w:before="0" w:line="259" w:lineRule="auto"/>
            </w:pPr>
            <w:r>
              <w:rPr>
                <w:rFonts w:ascii="Calibri" w:hAnsi="Calibri"/>
                <w:b w:val="0"/>
                <w:i w:val="0"/>
                <w:color w:val="212121"/>
                <w:sz w:val="16"/>
              </w:rPr>
              <w:t>Distress, stigma, marital/occupational concern, mood</w:t>
            </w:r>
          </w:p>
        </w:tc>
        <w:tc>
          <w:tcPr>
            <w:tcW w:type="dxa" w:w="950"/>
            <w:vAlign w:val="top"/>
          </w:tcPr>
          <w:p>
            <w:pPr>
              <w:spacing w:after="40" w:before="0" w:line="259" w:lineRule="auto"/>
            </w:pPr>
            <w:r>
              <w:rPr>
                <w:rFonts w:ascii="Calibri" w:hAnsi="Calibri"/>
                <w:b w:val="0"/>
                <w:i w:val="0"/>
                <w:color w:val="212121"/>
                <w:sz w:val="16"/>
              </w:rPr>
              <w:t>Minimal impact</w:t>
            </w:r>
          </w:p>
        </w:tc>
        <w:tc>
          <w:tcPr>
            <w:tcW w:type="dxa" w:w="950"/>
            <w:vAlign w:val="top"/>
          </w:tcPr>
          <w:p>
            <w:pPr>
              <w:spacing w:after="40" w:before="0" w:line="259" w:lineRule="auto"/>
            </w:pPr>
            <w:r>
              <w:rPr>
                <w:rFonts w:ascii="Calibri" w:hAnsi="Calibri"/>
                <w:b w:val="0"/>
                <w:i w:val="0"/>
                <w:color w:val="212121"/>
                <w:sz w:val="16"/>
              </w:rPr>
              <w:t>Significant distress, depression, social withdrawal, suicidal ideation</w:t>
            </w:r>
          </w:p>
        </w:tc>
        <w:tc>
          <w:tcPr>
            <w:tcW w:type="dxa" w:w="1036"/>
            <w:vAlign w:val="top"/>
          </w:tcPr>
          <w:p>
            <w:pPr>
              <w:spacing w:after="40" w:before="0" w:line="259" w:lineRule="auto"/>
            </w:pPr>
            <w:r>
              <w:rPr>
                <w:rFonts w:ascii="Calibri" w:hAnsi="Calibri"/>
                <w:b w:val="0"/>
                <w:i w:val="0"/>
                <w:color w:val="212121"/>
                <w:sz w:val="16"/>
              </w:rPr>
              <w:t>Assesses the substantial quality-of-life and psychiatric burden</w:t>
            </w:r>
          </w:p>
        </w:tc>
        <w:tc>
          <w:tcPr>
            <w:tcW w:type="dxa" w:w="1036"/>
            <w:vAlign w:val="top"/>
          </w:tcPr>
          <w:p>
            <w:pPr>
              <w:spacing w:after="40" w:before="0" w:line="259" w:lineRule="auto"/>
            </w:pPr>
            <w:r>
              <w:rPr>
                <w:rFonts w:ascii="Calibri" w:hAnsi="Calibri"/>
                <w:b w:val="0"/>
                <w:i w:val="0"/>
                <w:color w:val="212121"/>
                <w:sz w:val="16"/>
              </w:rPr>
              <w:t>Women, visible-site disease, adolescents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Screen for depression/anxiety and offer support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Morphology &amp; distribution</w:t>
            </w:r>
          </w:p>
        </w:tc>
        <w:tc>
          <w:tcPr>
            <w:tcW w:type="dxa" w:w="979"/>
            <w:vAlign w:val="top"/>
          </w:tcPr>
          <w:p>
            <w:pPr>
              <w:spacing w:after="40" w:before="0" w:line="259" w:lineRule="auto"/>
            </w:pPr>
            <w:r>
              <w:rPr>
                <w:rFonts w:ascii="Calibri" w:hAnsi="Calibri"/>
                <w:b w:val="0"/>
                <w:i w:val="0"/>
                <w:color w:val="212121"/>
                <w:sz w:val="16"/>
              </w:rPr>
              <w:t>Segmental vs non-segmental; symmetry; % BSA; predilection sites</w:t>
            </w:r>
          </w:p>
        </w:tc>
        <w:tc>
          <w:tcPr>
            <w:tcW w:type="dxa" w:w="950"/>
            <w:vAlign w:val="top"/>
          </w:tcPr>
          <w:p>
            <w:pPr>
              <w:spacing w:after="40" w:before="0" w:line="259" w:lineRule="auto"/>
            </w:pPr>
            <w:r>
              <w:rPr>
                <w:rFonts w:ascii="Calibri" w:hAnsi="Calibri"/>
                <w:b w:val="0"/>
                <w:i w:val="0"/>
                <w:color w:val="212121"/>
                <w:sz w:val="16"/>
              </w:rPr>
              <w:t>No lesions</w:t>
            </w:r>
          </w:p>
        </w:tc>
        <w:tc>
          <w:tcPr>
            <w:tcW w:type="dxa" w:w="950"/>
            <w:vAlign w:val="top"/>
          </w:tcPr>
          <w:p>
            <w:pPr>
              <w:spacing w:after="40" w:before="0" w:line="259" w:lineRule="auto"/>
            </w:pPr>
            <w:r>
              <w:rPr>
                <w:rFonts w:ascii="Calibri" w:hAnsi="Calibri"/>
                <w:b w:val="0"/>
                <w:i w:val="0"/>
                <w:color w:val="212121"/>
                <w:sz w:val="16"/>
              </w:rPr>
              <w:t>Milky-white, well-demarcated macules in a defined pattern</w:t>
            </w:r>
          </w:p>
        </w:tc>
        <w:tc>
          <w:tcPr>
            <w:tcW w:type="dxa" w:w="1036"/>
            <w:vAlign w:val="top"/>
          </w:tcPr>
          <w:p>
            <w:pPr>
              <w:spacing w:after="40" w:before="0" w:line="259" w:lineRule="auto"/>
            </w:pPr>
            <w:r>
              <w:rPr>
                <w:rFonts w:ascii="Calibri" w:hAnsi="Calibri"/>
                <w:b w:val="0"/>
                <w:i w:val="0"/>
                <w:color w:val="212121"/>
                <w:sz w:val="16"/>
              </w:rPr>
              <w:t>Classifies type (guides prognosis and treatment) and quantifies extent</w:t>
            </w:r>
          </w:p>
        </w:tc>
        <w:tc>
          <w:tcPr>
            <w:tcW w:type="dxa" w:w="1036"/>
            <w:vAlign w:val="top"/>
          </w:tcPr>
          <w:p>
            <w:pPr>
              <w:spacing w:after="40" w:before="0" w:line="259" w:lineRule="auto"/>
            </w:pPr>
            <w:r>
              <w:rPr>
                <w:rFonts w:ascii="Calibri" w:hAnsi="Calibri"/>
                <w:b w:val="0"/>
                <w:i w:val="0"/>
                <w:color w:val="212121"/>
                <w:sz w:val="16"/>
              </w:rPr>
              <w:t>All vitiligo</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Photograph under standard/Wood's light for follow-up</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Leukotrichia &amp; mucosal/acral involvement</w:t>
            </w:r>
          </w:p>
        </w:tc>
        <w:tc>
          <w:tcPr>
            <w:tcW w:type="dxa" w:w="979"/>
            <w:vAlign w:val="top"/>
          </w:tcPr>
          <w:p>
            <w:pPr>
              <w:spacing w:after="40" w:before="0" w:line="259" w:lineRule="auto"/>
            </w:pPr>
            <w:r>
              <w:rPr>
                <w:rFonts w:ascii="Calibri" w:hAnsi="Calibri"/>
                <w:b w:val="0"/>
                <w:i w:val="0"/>
                <w:color w:val="212121"/>
                <w:sz w:val="16"/>
              </w:rPr>
              <w:t>White hair within patches; lip-tip, acral, mucosal disease</w:t>
            </w:r>
          </w:p>
        </w:tc>
        <w:tc>
          <w:tcPr>
            <w:tcW w:type="dxa" w:w="950"/>
            <w:vAlign w:val="top"/>
          </w:tcPr>
          <w:p>
            <w:pPr>
              <w:spacing w:after="40" w:before="0" w:line="259" w:lineRule="auto"/>
            </w:pPr>
            <w:r>
              <w:rPr>
                <w:rFonts w:ascii="Calibri" w:hAnsi="Calibri"/>
                <w:b w:val="0"/>
                <w:i w:val="0"/>
                <w:color w:val="212121"/>
                <w:sz w:val="16"/>
              </w:rPr>
              <w:t>Pigmented hair; no mucosal disease</w:t>
            </w:r>
          </w:p>
        </w:tc>
        <w:tc>
          <w:tcPr>
            <w:tcW w:type="dxa" w:w="950"/>
            <w:vAlign w:val="top"/>
          </w:tcPr>
          <w:p>
            <w:pPr>
              <w:spacing w:after="40" w:before="0" w:line="259" w:lineRule="auto"/>
            </w:pPr>
            <w:r>
              <w:rPr>
                <w:rFonts w:ascii="Calibri" w:hAnsi="Calibri"/>
                <w:b w:val="0"/>
                <w:i w:val="0"/>
                <w:color w:val="212121"/>
                <w:sz w:val="16"/>
              </w:rPr>
              <w:t>Leukotrichia; acrofacial or mucosal depigmentation</w:t>
            </w:r>
          </w:p>
        </w:tc>
        <w:tc>
          <w:tcPr>
            <w:tcW w:type="dxa" w:w="1036"/>
            <w:vAlign w:val="top"/>
          </w:tcPr>
          <w:p>
            <w:pPr>
              <w:spacing w:after="40" w:before="0" w:line="259" w:lineRule="auto"/>
            </w:pPr>
            <w:r>
              <w:rPr>
                <w:rFonts w:ascii="Calibri" w:hAnsi="Calibri"/>
                <w:b w:val="0"/>
                <w:i w:val="0"/>
                <w:color w:val="212121"/>
                <w:sz w:val="16"/>
              </w:rPr>
              <w:t>Poor prognostic markers indicating follicular melanocyte reservoir loss</w:t>
            </w:r>
          </w:p>
        </w:tc>
        <w:tc>
          <w:tcPr>
            <w:tcW w:type="dxa" w:w="1036"/>
            <w:vAlign w:val="top"/>
          </w:tcPr>
          <w:p>
            <w:pPr>
              <w:spacing w:after="40" w:before="0" w:line="259" w:lineRule="auto"/>
            </w:pPr>
            <w:r>
              <w:rPr>
                <w:rFonts w:ascii="Calibri" w:hAnsi="Calibri"/>
                <w:b w:val="0"/>
                <w:i w:val="0"/>
                <w:color w:val="212121"/>
                <w:sz w:val="16"/>
              </w:rPr>
              <w:t>Segmental disease, long-standing/acral vitiligo</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Leukotrichia predicts poorer repigmentation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White (depigmented) patches on the skin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defining, usually first-noticed complaint — chalk-white, well-demarcated macules and patches, most often on the face, hands and feet.</w:t>
            </w:r>
          </w:p>
        </w:tc>
      </w:tr>
      <w:tr>
        <w:trPr>
          <w:cantSplit/>
        </w:trPr>
        <w:tc>
          <w:tcPr>
            <w:tcW w:type="dxa" w:w="2304"/>
            <w:vAlign w:val="top"/>
          </w:tcPr>
          <w:p>
            <w:pPr>
              <w:spacing w:after="40" w:before="0" w:line="259" w:lineRule="auto"/>
            </w:pPr>
            <w:r>
              <w:rPr>
                <w:rFonts w:ascii="Calibri" w:hAnsi="Calibri"/>
                <w:b/>
                <w:i w:val="0"/>
                <w:color w:val="212121"/>
                <w:sz w:val="19"/>
              </w:rPr>
              <w:t>Progressive enlargement / spread of patches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Existing lesions slowly enlarge and new ones appear, frequently in a symmetrical pattern in non-segmental disease.</w:t>
            </w:r>
          </w:p>
        </w:tc>
      </w:tr>
      <w:tr>
        <w:trPr>
          <w:cantSplit/>
        </w:trPr>
        <w:tc>
          <w:tcPr>
            <w:tcW w:type="dxa" w:w="2304"/>
            <w:vAlign w:val="top"/>
          </w:tcPr>
          <w:p>
            <w:pPr>
              <w:spacing w:after="40" w:before="0" w:line="259" w:lineRule="auto"/>
            </w:pPr>
            <w:r>
              <w:rPr>
                <w:rFonts w:ascii="Calibri" w:hAnsi="Calibri"/>
                <w:b/>
                <w:i w:val="0"/>
                <w:color w:val="212121"/>
                <w:sz w:val="19"/>
              </w:rPr>
              <w:t>New patches at sites of injury or friction (Koebner)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Depigmentation appearing at cuts, scratches, burns and pressure/contact points signals active disease.</w:t>
            </w:r>
          </w:p>
        </w:tc>
      </w:tr>
      <w:tr>
        <w:trPr>
          <w:cantSplit/>
        </w:trPr>
        <w:tc>
          <w:tcPr>
            <w:tcW w:type="dxa" w:w="2304"/>
            <w:vAlign w:val="top"/>
          </w:tcPr>
          <w:p>
            <w:pPr>
              <w:spacing w:after="40" w:before="0" w:line="259" w:lineRule="auto"/>
            </w:pPr>
            <w:r>
              <w:rPr>
                <w:rFonts w:ascii="Calibri" w:hAnsi="Calibri"/>
                <w:b/>
                <w:i w:val="0"/>
                <w:color w:val="212121"/>
                <w:sz w:val="19"/>
              </w:rPr>
              <w:t>Symmetrical involvement of face, hands and around eyes/mouth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Periorificial and acral distribution is characteristic and cosmetically prominent.</w:t>
            </w:r>
          </w:p>
        </w:tc>
      </w:tr>
      <w:tr>
        <w:trPr>
          <w:cantSplit/>
        </w:trPr>
        <w:tc>
          <w:tcPr>
            <w:tcW w:type="dxa" w:w="2304"/>
            <w:vAlign w:val="top"/>
          </w:tcPr>
          <w:p>
            <w:pPr>
              <w:spacing w:after="40" w:before="0" w:line="259" w:lineRule="auto"/>
            </w:pPr>
            <w:r>
              <w:rPr>
                <w:rFonts w:ascii="Calibri" w:hAnsi="Calibri"/>
                <w:b/>
                <w:i w:val="0"/>
                <w:color w:val="212121"/>
                <w:sz w:val="19"/>
              </w:rPr>
              <w:t>Cosmetic disfigurement &amp; self-consciousness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Highly visible against darker Indian skin, and frequently the main reason for seeking care.</w:t>
            </w:r>
          </w:p>
        </w:tc>
      </w:tr>
      <w:tr>
        <w:trPr>
          <w:cantSplit/>
        </w:trPr>
        <w:tc>
          <w:tcPr>
            <w:tcW w:type="dxa" w:w="2304"/>
            <w:vAlign w:val="top"/>
          </w:tcPr>
          <w:p>
            <w:pPr>
              <w:spacing w:after="40" w:before="0" w:line="259" w:lineRule="auto"/>
            </w:pPr>
            <w:r>
              <w:rPr>
                <w:rFonts w:ascii="Calibri" w:hAnsi="Calibri"/>
                <w:b/>
                <w:i w:val="0"/>
                <w:color w:val="212121"/>
                <w:sz w:val="19"/>
              </w:rPr>
              <w:t>Social stigma, marital &amp; occupational concern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major India-specific burden — vitiligo is still confused with leprosy and can affect marriage prospects and employment.</w:t>
            </w:r>
          </w:p>
        </w:tc>
      </w:tr>
      <w:tr>
        <w:trPr>
          <w:cantSplit/>
        </w:trPr>
        <w:tc>
          <w:tcPr>
            <w:tcW w:type="dxa" w:w="2304"/>
            <w:vAlign w:val="top"/>
          </w:tcPr>
          <w:p>
            <w:pPr>
              <w:spacing w:after="40" w:before="0" w:line="259" w:lineRule="auto"/>
            </w:pPr>
            <w:r>
              <w:rPr>
                <w:rFonts w:ascii="Calibri" w:hAnsi="Calibri"/>
                <w:b/>
                <w:i w:val="0"/>
                <w:color w:val="212121"/>
                <w:sz w:val="19"/>
              </w:rPr>
              <w:t>Low self-esteem, anxiety or depression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Psychological distress is common and can be severe; a minority report suicidal thoughts.</w:t>
            </w:r>
          </w:p>
        </w:tc>
      </w:tr>
      <w:tr>
        <w:trPr>
          <w:cantSplit/>
        </w:trPr>
        <w:tc>
          <w:tcPr>
            <w:tcW w:type="dxa" w:w="2304"/>
            <w:vAlign w:val="top"/>
          </w:tcPr>
          <w:p>
            <w:pPr>
              <w:spacing w:after="40" w:before="0" w:line="259" w:lineRule="auto"/>
            </w:pPr>
            <w:r>
              <w:rPr>
                <w:rFonts w:ascii="Calibri" w:hAnsi="Calibri"/>
                <w:b/>
                <w:i w:val="0"/>
                <w:color w:val="212121"/>
                <w:sz w:val="19"/>
              </w:rPr>
              <w:t>Usually no itch or pain (asymptomatic)</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Vitiligo itself does not itch, scale or hurt; such features suggest an alternative or added diagnosis.</w:t>
            </w:r>
          </w:p>
        </w:tc>
      </w:tr>
      <w:tr>
        <w:trPr>
          <w:cantSplit/>
        </w:trPr>
        <w:tc>
          <w:tcPr>
            <w:tcW w:type="dxa" w:w="2304"/>
            <w:vAlign w:val="top"/>
          </w:tcPr>
          <w:p>
            <w:pPr>
              <w:spacing w:after="40" w:before="0" w:line="259" w:lineRule="auto"/>
            </w:pPr>
            <w:r>
              <w:rPr>
                <w:rFonts w:ascii="Calibri" w:hAnsi="Calibri"/>
                <w:b/>
                <w:i w:val="0"/>
                <w:color w:val="212121"/>
                <w:sz w:val="19"/>
              </w:rPr>
              <w:t>Premature whitening of hair (leukotrichia)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Whitening of eyelashes, eyebrows, scalp or body hair within patches, indicating follicular melanocyte loss and poorer prognosis.</w:t>
            </w:r>
          </w:p>
        </w:tc>
      </w:tr>
      <w:tr>
        <w:trPr>
          <w:cantSplit/>
        </w:trPr>
        <w:tc>
          <w:tcPr>
            <w:tcW w:type="dxa" w:w="2304"/>
            <w:vAlign w:val="top"/>
          </w:tcPr>
          <w:p>
            <w:pPr>
              <w:spacing w:after="40" w:before="0" w:line="259" w:lineRule="auto"/>
            </w:pPr>
            <w:r>
              <w:rPr>
                <w:rFonts w:ascii="Calibri" w:hAnsi="Calibri"/>
                <w:b/>
                <w:i w:val="0"/>
                <w:color w:val="212121"/>
                <w:sz w:val="19"/>
              </w:rPr>
              <w:t>Mild pruritus or tingling at active margins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Occasionally precedes or accompanies actively spreading lesions.</w:t>
            </w:r>
          </w:p>
        </w:tc>
      </w:tr>
      <w:tr>
        <w:trPr>
          <w:cantSplit/>
        </w:trPr>
        <w:tc>
          <w:tcPr>
            <w:tcW w:type="dxa" w:w="2304"/>
            <w:vAlign w:val="top"/>
          </w:tcPr>
          <w:p>
            <w:pPr>
              <w:spacing w:after="40" w:before="0" w:line="259" w:lineRule="auto"/>
            </w:pPr>
            <w:r>
              <w:rPr>
                <w:rFonts w:ascii="Calibri" w:hAnsi="Calibri"/>
                <w:b/>
                <w:i w:val="0"/>
                <w:color w:val="212121"/>
                <w:sz w:val="19"/>
              </w:rPr>
              <w:t>Sunburn of depigmented skin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Loss of melanin removes natural photoprotection, so white patches burn easily on sun exposure.</w:t>
            </w:r>
          </w:p>
        </w:tc>
      </w:tr>
      <w:tr>
        <w:trPr>
          <w:cantSplit/>
        </w:trPr>
        <w:tc>
          <w:tcPr>
            <w:tcW w:type="dxa" w:w="2304"/>
            <w:vAlign w:val="top"/>
          </w:tcPr>
          <w:p>
            <w:pPr>
              <w:spacing w:after="40" w:before="0" w:line="259" w:lineRule="auto"/>
            </w:pPr>
            <w:r>
              <w:rPr>
                <w:rFonts w:ascii="Calibri" w:hAnsi="Calibri"/>
                <w:b/>
                <w:i w:val="0"/>
                <w:color w:val="212121"/>
                <w:sz w:val="19"/>
              </w:rPr>
              <w:t>Whitening of oral or genital mucosa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Mucosal depigmentation may occur alone or as part of non-segmental disease.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Well-demarcated milky-/chalk-white macules &amp; patches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Complete depigmentation with sharp margins — the cardinal sign of vitiligo.</w:t>
            </w:r>
          </w:p>
        </w:tc>
      </w:tr>
      <w:tr>
        <w:trPr>
          <w:cantSplit/>
        </w:trPr>
        <w:tc>
          <w:tcPr>
            <w:tcW w:type="dxa" w:w="3456"/>
            <w:vAlign w:val="top"/>
          </w:tcPr>
          <w:p>
            <w:pPr>
              <w:spacing w:after="40" w:before="0" w:line="259" w:lineRule="auto"/>
            </w:pPr>
            <w:r>
              <w:rPr>
                <w:rFonts w:ascii="Calibri" w:hAnsi="Calibri"/>
                <w:b/>
                <w:i w:val="0"/>
                <w:color w:val="212121"/>
                <w:sz w:val="19"/>
              </w:rPr>
              <w:t>Bright blue-white Wood's-lamp fluorescence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Sharply marginated accentuation under 365 nm light confirms true melanocyte loss and reveals subclinical lesions.</w:t>
            </w:r>
          </w:p>
        </w:tc>
      </w:tr>
      <w:tr>
        <w:trPr>
          <w:cantSplit/>
        </w:trPr>
        <w:tc>
          <w:tcPr>
            <w:tcW w:type="dxa" w:w="3456"/>
            <w:vAlign w:val="top"/>
          </w:tcPr>
          <w:p>
            <w:pPr>
              <w:spacing w:after="40" w:before="0" w:line="259" w:lineRule="auto"/>
            </w:pPr>
            <w:r>
              <w:rPr>
                <w:rFonts w:ascii="Calibri" w:hAnsi="Calibri"/>
                <w:b/>
                <w:i w:val="0"/>
                <w:color w:val="212121"/>
                <w:sz w:val="19"/>
              </w:rPr>
              <w:t>Bilateral, symmetrical distribution (non-segmental)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Mirror-image involvement of the face, hands, extensors and body folds is typical of NSV.</w:t>
            </w:r>
          </w:p>
        </w:tc>
      </w:tr>
      <w:tr>
        <w:trPr>
          <w:cantSplit/>
        </w:trPr>
        <w:tc>
          <w:tcPr>
            <w:tcW w:type="dxa" w:w="3456"/>
            <w:vAlign w:val="top"/>
          </w:tcPr>
          <w:p>
            <w:pPr>
              <w:spacing w:after="40" w:before="0" w:line="259" w:lineRule="auto"/>
            </w:pPr>
            <w:r>
              <w:rPr>
                <w:rFonts w:ascii="Calibri" w:hAnsi="Calibri"/>
                <w:b/>
                <w:i w:val="0"/>
                <w:color w:val="212121"/>
                <w:sz w:val="19"/>
              </w:rPr>
              <w:t>Predilection for periorificial face, dorsal hands, extensors &amp; folds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Characteristic anatomical patterning aids clinical recognition.</w:t>
            </w:r>
          </w:p>
        </w:tc>
      </w:tr>
      <w:tr>
        <w:trPr>
          <w:cantSplit/>
        </w:trPr>
        <w:tc>
          <w:tcPr>
            <w:tcW w:type="dxa" w:w="3456"/>
            <w:vAlign w:val="top"/>
          </w:tcPr>
          <w:p>
            <w:pPr>
              <w:spacing w:after="40" w:before="0" w:line="259" w:lineRule="auto"/>
            </w:pPr>
            <w:r>
              <w:rPr>
                <w:rFonts w:ascii="Calibri" w:hAnsi="Calibri"/>
                <w:b/>
                <w:i w:val="0"/>
                <w:color w:val="212121"/>
                <w:sz w:val="19"/>
              </w:rPr>
              <w:t>Perifollicular repigmentation (islands of pigment)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Pinpoint pigment around hair follicles within a patch indicates a follicular reservoir and a favourable response to therapy.</w:t>
            </w:r>
          </w:p>
        </w:tc>
      </w:tr>
      <w:tr>
        <w:trPr>
          <w:cantSplit/>
        </w:trPr>
        <w:tc>
          <w:tcPr>
            <w:tcW w:type="dxa" w:w="3456"/>
            <w:vAlign w:val="top"/>
          </w:tcPr>
          <w:p>
            <w:pPr>
              <w:spacing w:after="40" w:before="0" w:line="259" w:lineRule="auto"/>
            </w:pPr>
            <w:r>
              <w:rPr>
                <w:rFonts w:ascii="Calibri" w:hAnsi="Calibri"/>
                <w:b/>
                <w:i w:val="0"/>
                <w:color w:val="212121"/>
                <w:sz w:val="19"/>
              </w:rPr>
              <w:t>Koebner phenomenon (linear depigmentation along trauma)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Depigmentation following the line of a scratch, scar or pressure — a marker of active disease.</w:t>
            </w:r>
          </w:p>
        </w:tc>
      </w:tr>
      <w:tr>
        <w:trPr>
          <w:cantSplit/>
        </w:trPr>
        <w:tc>
          <w:tcPr>
            <w:tcW w:type="dxa" w:w="3456"/>
            <w:vAlign w:val="top"/>
          </w:tcPr>
          <w:p>
            <w:pPr>
              <w:spacing w:after="40" w:before="0" w:line="259" w:lineRule="auto"/>
            </w:pPr>
            <w:r>
              <w:rPr>
                <w:rFonts w:ascii="Calibri" w:hAnsi="Calibri"/>
                <w:b/>
                <w:i w:val="0"/>
                <w:color w:val="212121"/>
                <w:sz w:val="19"/>
              </w:rPr>
              <w:t>Leukotrichia (white hair within lesions)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Whitening of hair within a patch signals follicular melanocyte loss and predicts poorer repigmentation.</w:t>
            </w:r>
          </w:p>
        </w:tc>
      </w:tr>
      <w:tr>
        <w:trPr>
          <w:cantSplit/>
        </w:trPr>
        <w:tc>
          <w:tcPr>
            <w:tcW w:type="dxa" w:w="3456"/>
            <w:vAlign w:val="top"/>
          </w:tcPr>
          <w:p>
            <w:pPr>
              <w:spacing w:after="40" w:before="0" w:line="259" w:lineRule="auto"/>
            </w:pPr>
            <w:r>
              <w:rPr>
                <w:rFonts w:ascii="Calibri" w:hAnsi="Calibri"/>
                <w:b/>
                <w:i w:val="0"/>
                <w:color w:val="212121"/>
                <w:sz w:val="19"/>
              </w:rPr>
              <w:t>Segmental / dermatomal unilateral pattern not crossing midline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Band-like, one-sided depigmentation characteristic of segmental vitiligo, often with early leukotrichia.</w:t>
            </w:r>
          </w:p>
        </w:tc>
      </w:tr>
      <w:tr>
        <w:trPr>
          <w:cantSplit/>
        </w:trPr>
        <w:tc>
          <w:tcPr>
            <w:tcW w:type="dxa" w:w="3456"/>
            <w:vAlign w:val="top"/>
          </w:tcPr>
          <w:p>
            <w:pPr>
              <w:spacing w:after="40" w:before="0" w:line="259" w:lineRule="auto"/>
            </w:pPr>
            <w:r>
              <w:rPr>
                <w:rFonts w:ascii="Calibri" w:hAnsi="Calibri"/>
                <w:b/>
                <w:i w:val="0"/>
                <w:color w:val="212121"/>
                <w:sz w:val="19"/>
              </w:rPr>
              <w:t>Trichrome / marginal-inflammatory pattern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An intermediate tan zone or a raised erythematous rim between normal and depigmented skin denotes active, unstable disease.</w:t>
            </w:r>
          </w:p>
        </w:tc>
      </w:tr>
      <w:tr>
        <w:trPr>
          <w:cantSplit/>
        </w:trPr>
        <w:tc>
          <w:tcPr>
            <w:tcW w:type="dxa" w:w="3456"/>
            <w:vAlign w:val="top"/>
          </w:tcPr>
          <w:p>
            <w:pPr>
              <w:spacing w:after="40" w:before="0" w:line="259" w:lineRule="auto"/>
            </w:pPr>
            <w:r>
              <w:rPr>
                <w:rFonts w:ascii="Calibri" w:hAnsi="Calibri"/>
                <w:b/>
                <w:i w:val="0"/>
                <w:color w:val="212121"/>
                <w:sz w:val="19"/>
              </w:rPr>
              <w:t>Confetti-like macules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Numerous 1–5 mm depigmented macules indicate highly active, rapidly progressing vitiligo.</w:t>
            </w:r>
          </w:p>
        </w:tc>
      </w:tr>
      <w:tr>
        <w:trPr>
          <w:cantSplit/>
        </w:trPr>
        <w:tc>
          <w:tcPr>
            <w:tcW w:type="dxa" w:w="3456"/>
            <w:vAlign w:val="top"/>
          </w:tcPr>
          <w:p>
            <w:pPr>
              <w:spacing w:after="40" w:before="0" w:line="259" w:lineRule="auto"/>
            </w:pPr>
            <w:r>
              <w:rPr>
                <w:rFonts w:ascii="Calibri" w:hAnsi="Calibri"/>
                <w:b/>
                <w:i w:val="0"/>
                <w:color w:val="212121"/>
                <w:sz w:val="19"/>
              </w:rPr>
              <w:t>Halo naevi (leukoderma around melanocytic naevi)</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depigmented rim around moles reflects the same anti-melanocyte autoimmunity and may herald vitiligo.</w:t>
            </w:r>
          </w:p>
        </w:tc>
      </w:tr>
      <w:tr>
        <w:trPr>
          <w:cantSplit/>
        </w:trPr>
        <w:tc>
          <w:tcPr>
            <w:tcW w:type="dxa" w:w="3456"/>
            <w:vAlign w:val="top"/>
          </w:tcPr>
          <w:p>
            <w:pPr>
              <w:spacing w:after="40" w:before="0" w:line="259" w:lineRule="auto"/>
            </w:pPr>
            <w:r>
              <w:rPr>
                <w:rFonts w:ascii="Calibri" w:hAnsi="Calibri"/>
                <w:b/>
                <w:i w:val="0"/>
                <w:color w:val="212121"/>
                <w:sz w:val="19"/>
              </w:rPr>
              <w:t>Mucosal / genital depigmentation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White patches on the lips, oral or genital mucosa, alone or with cutaneous disease.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widespread depigmentation (up to vitiligo universalis)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Leukotrichia — depigmentation of scalp, brow, eyelash and body hair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Loss of natural melanin photoprotection in depigmented skin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unpredictable, relapsing–remitting course with treatment resistance</w:t>
            </w:r>
          </w:p>
        </w:tc>
        <w:tc>
          <w:tcPr>
            <w:tcW w:type="dxa" w:w="2980"/>
            <w:vAlign w:val="top"/>
          </w:tcPr>
          <w:p>
            <w:pPr>
              <w:spacing w:after="40" w:before="0" w:line="259" w:lineRule="auto"/>
            </w:pPr>
            <w:r>
              <w:rPr>
                <w:rFonts w:ascii="Calibri" w:hAnsi="Calibri"/>
                <w:b w:val="0"/>
                <w:i w:val="0"/>
                <w:color w:val="212121"/>
                <w:sz w:val="19"/>
              </w:rPr>
              <w:t>Direct consequences of progressive melanocyte destruction and the disease's chronic course.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Sunburn and heightened actinic/photodamage risk in depigmented areas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Koebnerisation from trauma, surgery or aggressive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Ocular and auditory involvement (uveitis, retinal changes, sensorineural hearing changes) from loss of melanocytes in eye and 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Associated autoimmune disease — thyroid disease, type 1 diabetes, alopecia areata, pernicious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Treatment-related effects — topical-steroid atrophy/telangiectasia, phototherapy burns, and graft-site complications after surgery</w:t>
            </w:r>
          </w:p>
        </w:tc>
        <w:tc>
          <w:tcPr>
            <w:tcW w:type="dxa" w:w="2980"/>
            <w:vAlign w:val="top"/>
          </w:tcPr>
          <w:p>
            <w:pPr>
              <w:spacing w:after="40" w:before="0" w:line="259" w:lineRule="auto"/>
            </w:pPr>
            <w:r>
              <w:rPr>
                <w:rFonts w:ascii="Calibri" w:hAnsi="Calibri"/>
                <w:b w:val="0"/>
                <w:i w:val="0"/>
                <w:color w:val="212121"/>
                <w:sz w:val="19"/>
              </w:rPr>
              <w:t>Arise from the loss of melanocyte-derived protection, from shared autoimmunity, and from therapy.</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Major psychosocial morbidity — depression, anxiety, low self-esteem, social stigma and withdrawal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marriage prospects, relationships and employment (a prominent burden in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Suicidal ideation in a distressed minority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Component of autoimmune polyglandular syndromes with multi-organ endocrine failure</w:t>
            </w:r>
          </w:p>
        </w:tc>
        <w:tc>
          <w:tcPr>
            <w:tcW w:type="dxa" w:w="2980"/>
            <w:vAlign w:val="top"/>
          </w:tcPr>
          <w:p>
            <w:pPr>
              <w:spacing w:after="40" w:before="0" w:line="259" w:lineRule="auto"/>
            </w:pPr>
            <w:r>
              <w:rPr>
                <w:rFonts w:ascii="Calibri" w:hAnsi="Calibri"/>
                <w:b w:val="0"/>
                <w:i w:val="0"/>
                <w:color w:val="212121"/>
                <w:sz w:val="19"/>
              </w:rPr>
              <w:t>Long-term disabling outcomes, dominated by the psychosocial burden and by clustered autoimmunity.</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Autoimmune thyroid disease (Hashimoto's / Graves')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commonest comorbidity; shares susceptibility genes and organ-specific autoimmunity. Screen all patients, especially women and NSV, with TSH and anti-TPO.</w:t>
            </w:r>
          </w:p>
          <w:p>
            <w:pPr>
              <w:spacing w:after="40" w:before="0" w:line="259" w:lineRule="auto"/>
            </w:pPr>
            <w:r>
              <w:rPr>
                <w:rFonts w:ascii="Calibri" w:hAnsi="Calibri"/>
                <w:b/>
                <w:i w:val="0"/>
                <w:color w:val="212121"/>
                <w:sz w:val="19"/>
              </w:rPr>
              <w:t>~13–14%</w:t>
            </w:r>
          </w:p>
        </w:tc>
      </w:tr>
      <w:tr>
        <w:trPr>
          <w:cantSplit/>
        </w:trPr>
        <w:tc>
          <w:tcPr>
            <w:tcW w:type="dxa" w:w="2232"/>
            <w:vAlign w:val="top"/>
          </w:tcPr>
          <w:p>
            <w:pPr>
              <w:spacing w:after="40" w:before="0" w:line="259" w:lineRule="auto"/>
            </w:pPr>
            <w:r>
              <w:rPr>
                <w:rFonts w:ascii="Calibri" w:hAnsi="Calibri"/>
                <w:b/>
                <w:i w:val="0"/>
                <w:color w:val="212121"/>
                <w:sz w:val="19"/>
              </w:rPr>
              <w:t>Psoriasis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Coexisting immune-mediated skin disease; each is over-represented in the other and may share inflammatory pathways.</w:t>
            </w:r>
          </w:p>
          <w:p>
            <w:pPr>
              <w:spacing w:after="40" w:before="0" w:line="259" w:lineRule="auto"/>
            </w:pPr>
            <w:r>
              <w:rPr>
                <w:rFonts w:ascii="Calibri" w:hAnsi="Calibri"/>
                <w:b/>
                <w:i w:val="0"/>
                <w:color w:val="212121"/>
                <w:sz w:val="19"/>
              </w:rPr>
              <w:t>~5.1%</w:t>
            </w:r>
          </w:p>
        </w:tc>
      </w:tr>
      <w:tr>
        <w:trPr>
          <w:cantSplit/>
        </w:trPr>
        <w:tc>
          <w:tcPr>
            <w:tcW w:type="dxa" w:w="2232"/>
            <w:vAlign w:val="top"/>
          </w:tcPr>
          <w:p>
            <w:pPr>
              <w:spacing w:after="40" w:before="0" w:line="259" w:lineRule="auto"/>
            </w:pPr>
            <w:r>
              <w:rPr>
                <w:rFonts w:ascii="Calibri" w:hAnsi="Calibri"/>
                <w:b/>
                <w:i w:val="0"/>
                <w:color w:val="212121"/>
                <w:sz w:val="19"/>
              </w:rPr>
              <w:t>Alopecia areata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An interferon-γ-driven, organ-specific autoimmune hair disorder that frequently coexists with vitiligo.</w:t>
            </w:r>
          </w:p>
          <w:p>
            <w:pPr>
              <w:spacing w:after="40" w:before="0" w:line="259" w:lineRule="auto"/>
            </w:pPr>
            <w:r>
              <w:rPr>
                <w:rFonts w:ascii="Calibri" w:hAnsi="Calibri"/>
                <w:b/>
                <w:i w:val="0"/>
                <w:color w:val="212121"/>
                <w:sz w:val="19"/>
              </w:rPr>
              <w:t>~2.7%</w:t>
            </w:r>
          </w:p>
        </w:tc>
      </w:tr>
      <w:tr>
        <w:trPr>
          <w:cantSplit/>
        </w:trPr>
        <w:tc>
          <w:tcPr>
            <w:tcW w:type="dxa" w:w="2232"/>
            <w:vAlign w:val="top"/>
          </w:tcPr>
          <w:p>
            <w:pPr>
              <w:spacing w:after="40" w:before="0" w:line="259" w:lineRule="auto"/>
            </w:pPr>
            <w:r>
              <w:rPr>
                <w:rFonts w:ascii="Calibri" w:hAnsi="Calibri"/>
                <w:b/>
                <w:i w:val="0"/>
                <w:color w:val="212121"/>
                <w:sz w:val="19"/>
              </w:rPr>
              <w:t>Type 1 diabetes mellitus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Shared autoimmune mechanism; may occur within autoimmune polyglandular syndromes. Screen glycaemia where autoimmune features cluster.</w:t>
            </w:r>
          </w:p>
          <w:p>
            <w:pPr>
              <w:spacing w:after="40" w:before="0" w:line="259" w:lineRule="auto"/>
            </w:pPr>
            <w:r>
              <w:rPr>
                <w:rFonts w:ascii="Calibri" w:hAnsi="Calibri"/>
                <w:b/>
                <w:i w:val="0"/>
                <w:color w:val="212121"/>
                <w:sz w:val="19"/>
              </w:rPr>
              <w:t>~1.8%</w:t>
            </w:r>
          </w:p>
        </w:tc>
      </w:tr>
      <w:tr>
        <w:trPr>
          <w:cantSplit/>
        </w:trPr>
        <w:tc>
          <w:tcPr>
            <w:tcW w:type="dxa" w:w="2232"/>
            <w:vAlign w:val="top"/>
          </w:tcPr>
          <w:p>
            <w:pPr>
              <w:spacing w:after="40" w:before="0" w:line="259" w:lineRule="auto"/>
            </w:pPr>
            <w:r>
              <w:rPr>
                <w:rFonts w:ascii="Calibri" w:hAnsi="Calibri"/>
                <w:b/>
                <w:i w:val="0"/>
                <w:color w:val="212121"/>
                <w:sz w:val="19"/>
              </w:rPr>
              <w:t>Pernicious anaemia / vitamin B12 deficiency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Autoimmune gastric disease reducing B12; important and correctable, particularly in Indian vegetarian patients.</w:t>
            </w:r>
          </w:p>
          <w:p>
            <w:pPr>
              <w:spacing w:after="40" w:before="0" w:line="259" w:lineRule="auto"/>
            </w:pPr>
            <w:r>
              <w:rPr>
                <w:rFonts w:ascii="Calibri" w:hAnsi="Calibri"/>
                <w:b/>
                <w:i w:val="0"/>
                <w:color w:val="212121"/>
                <w:sz w:val="19"/>
              </w:rPr>
              <w:t>~1.7%</w:t>
            </w:r>
          </w:p>
        </w:tc>
      </w:tr>
      <w:tr>
        <w:trPr>
          <w:cantSplit/>
        </w:trPr>
        <w:tc>
          <w:tcPr>
            <w:tcW w:type="dxa" w:w="2232"/>
            <w:vAlign w:val="top"/>
          </w:tcPr>
          <w:p>
            <w:pPr>
              <w:spacing w:after="40" w:before="0" w:line="259" w:lineRule="auto"/>
            </w:pPr>
            <w:r>
              <w:rPr>
                <w:rFonts w:ascii="Calibri" w:hAnsi="Calibri"/>
                <w:b/>
                <w:i w:val="0"/>
                <w:color w:val="212121"/>
                <w:sz w:val="19"/>
              </w:rPr>
              <w:t>Systemic lupus erythematosus / rheumatoid arthritis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Systemic autoimmune diseases over-represented in vitiligo, reflecting shared immunogenetic susceptibility.</w:t>
            </w:r>
          </w:p>
          <w:p>
            <w:pPr>
              <w:spacing w:after="40" w:before="0" w:line="259" w:lineRule="auto"/>
            </w:pPr>
            <w:r>
              <w:rPr>
                <w:rFonts w:ascii="Calibri" w:hAnsi="Calibri"/>
                <w:b/>
                <w:i w:val="0"/>
                <w:color w:val="212121"/>
                <w:sz w:val="19"/>
              </w:rPr>
              <w:t>~1.2–3.2%</w:t>
            </w:r>
          </w:p>
        </w:tc>
      </w:tr>
      <w:tr>
        <w:trPr>
          <w:cantSplit/>
        </w:trPr>
        <w:tc>
          <w:tcPr>
            <w:tcW w:type="dxa" w:w="2232"/>
            <w:vAlign w:val="top"/>
          </w:tcPr>
          <w:p>
            <w:pPr>
              <w:spacing w:after="40" w:before="0" w:line="259" w:lineRule="auto"/>
            </w:pPr>
            <w:r>
              <w:rPr>
                <w:rFonts w:ascii="Calibri" w:hAnsi="Calibri"/>
                <w:b/>
                <w:i w:val="0"/>
                <w:color w:val="212121"/>
                <w:sz w:val="19"/>
              </w:rPr>
              <w:t>Addison's disease (autoimmune adrenal insufficiency)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component of autoimmune polyglandular syndromes; uncommon but important to recognise when autoimmunity clusters.</w:t>
            </w:r>
          </w:p>
          <w:p>
            <w:pPr>
              <w:spacing w:after="40" w:before="0" w:line="259" w:lineRule="auto"/>
            </w:pPr>
            <w:r>
              <w:rPr>
                <w:rFonts w:ascii="Calibri" w:hAnsi="Calibri"/>
                <w:b/>
                <w:i w:val="0"/>
                <w:color w:val="212121"/>
                <w:sz w:val="19"/>
              </w:rPr>
              <w:t>~0.8%</w:t>
            </w:r>
          </w:p>
        </w:tc>
      </w:tr>
      <w:tr>
        <w:trPr>
          <w:cantSplit/>
        </w:trPr>
        <w:tc>
          <w:tcPr>
            <w:tcW w:type="dxa" w:w="2232"/>
            <w:vAlign w:val="top"/>
          </w:tcPr>
          <w:p>
            <w:pPr>
              <w:spacing w:after="40" w:before="0" w:line="259" w:lineRule="auto"/>
            </w:pPr>
            <w:r>
              <w:rPr>
                <w:rFonts w:ascii="Calibri" w:hAnsi="Calibri"/>
                <w:b/>
                <w:i w:val="0"/>
                <w:color w:val="212121"/>
                <w:sz w:val="19"/>
              </w:rPr>
              <w:t>Halo naevi</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A depigmented halo around melanocytic naevi reflects the same anti-melanocyte immunity and may precede or accompany vitiligo.</w:t>
            </w:r>
          </w:p>
        </w:tc>
      </w:tr>
      <w:tr>
        <w:trPr>
          <w:cantSplit/>
        </w:trPr>
        <w:tc>
          <w:tcPr>
            <w:tcW w:type="dxa" w:w="2232"/>
            <w:vAlign w:val="top"/>
          </w:tcPr>
          <w:p>
            <w:pPr>
              <w:spacing w:after="40" w:before="0" w:line="259" w:lineRule="auto"/>
            </w:pPr>
            <w:r>
              <w:rPr>
                <w:rFonts w:ascii="Calibri" w:hAnsi="Calibri"/>
                <w:b/>
                <w:i w:val="0"/>
                <w:color w:val="212121"/>
                <w:sz w:val="19"/>
              </w:rPr>
              <w:t>Depression &amp; anxiety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Bidirectional: the visible, stigmatising disease causes major distress, while stress triggers onset and flares; screen and manage actively.</w:t>
            </w:r>
          </w:p>
          <w:p>
            <w:pPr>
              <w:spacing w:after="40" w:before="0" w:line="259" w:lineRule="auto"/>
            </w:pPr>
            <w:r>
              <w:rPr>
                <w:rFonts w:ascii="Calibri" w:hAnsi="Calibri"/>
                <w:b/>
                <w:i w:val="0"/>
                <w:color w:val="212121"/>
                <w:sz w:val="19"/>
              </w:rPr>
              <w:t>~25%</w:t>
            </w:r>
          </w:p>
        </w:tc>
      </w:tr>
      <w:tr>
        <w:trPr>
          <w:cantSplit/>
        </w:trPr>
        <w:tc>
          <w:tcPr>
            <w:tcW w:type="dxa" w:w="2232"/>
            <w:vAlign w:val="top"/>
          </w:tcPr>
          <w:p>
            <w:pPr>
              <w:spacing w:after="40" w:before="0" w:line="259" w:lineRule="auto"/>
            </w:pPr>
            <w:r>
              <w:rPr>
                <w:rFonts w:ascii="Calibri" w:hAnsi="Calibri"/>
                <w:b/>
                <w:i w:val="0"/>
                <w:color w:val="212121"/>
                <w:sz w:val="19"/>
              </w:rPr>
              <w:t>Vitamin D deficiency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Lower serum vitamin D is observed in vitiligo and may influence melanocyte survival and immune regulation; correct where deficient.</w:t>
            </w:r>
          </w:p>
        </w:tc>
      </w:tr>
      <w:tr>
        <w:trPr>
          <w:cantSplit/>
        </w:trPr>
        <w:tc>
          <w:tcPr>
            <w:tcW w:type="dxa" w:w="2232"/>
            <w:vAlign w:val="top"/>
          </w:tcPr>
          <w:p>
            <w:pPr>
              <w:spacing w:after="40" w:before="0" w:line="259" w:lineRule="auto"/>
            </w:pPr>
            <w:r>
              <w:rPr>
                <w:rFonts w:ascii="Calibri" w:hAnsi="Calibri"/>
                <w:b/>
                <w:i w:val="0"/>
                <w:color w:val="212121"/>
                <w:sz w:val="19"/>
              </w:rPr>
              <w:t>Ocular / auditory abnormalities (uveitis, hearing changes)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Melanocytes in the eye and inner ear may be affected, occasionally within the Vogt–Koyanagi–Harada spectrum; enquire about visual and hearing symptoms.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vitiligo is a non-contagious autoimmune condition — it is NOT leprosy, not caused by 'wrong' food combinations, and cannot spread by touch, sharing food or living together.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the skin from trauma and friction (the Koebner phenomenon): avoid tight footwear, belts and ornaments over lesions, harsh scrubbing, and unnecessary skin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depigmenting chemicals — para-tertiary butylphenol and monobenzyl ether of hydroquinone in rubber, adhesives, detergents, hair dyes, some bindi adhesives and unregulated 'fairness'/bleaching creams.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Apply broad-spectrum sunscreen (SPF ≥ 30) to depigmented skin, which burns easily and can Koebnerise, and use shade and protective clothing.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dermatological care early — recent, active and limited disease responds best; do not rely on unproven cures or steroid misuse.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and report new patches, spread at injury sites, or symptoms of thyroid disease, diabetes or anaemia for timely screening.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of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and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Occupationally exposed workers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under dermatologist supervision; first-line medical options are topical corticosteroids and topical calcineurin inhibitors (tacrolimus/pimecrolimus), especially for the face and folds.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Narrow-band UVB phototherapy is the mainstay for extensive or actively spreading non-segmental vitiligo, often combined with topical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Topical JAK inhibitors (e.g., ruxolitinib cream) are an approved, effective newer option for non-segmental vitiligo where available.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Surgical melanocyte grafting is reserved for stable and segmental vitiligo unresponsive to medical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cosmetic camouflage and self-tanners (dihydroxyacetone) for immediate cosmetic and psychological benefit.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manage associated autoimmune disease (thyroid, diabetes, B12/pernicious anaemia) and correct vitamin D deficiency; set realistic expectations and plan maintenance, as relapse is common.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Diagnosed vitiligo</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Active / unstable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Stable or segmental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Cosmetically distressed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physically active for general and mental well-being, which helps buffer the stress associated with the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vitiligo-prone and existing patches from repetitive friction and trauma during contact sports and manual work (use padding and well-fitting footwear).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sunburn during outdoor activity — apply sunscreen to depigmented skin and prefer early-morning or evening exercise.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cuts and abrasions promptly and gently to limit Koebnerisation.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Outdoor-active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an antioxidant-rich diet — colourful fruits and vegetables, vitamin C and E, carotenoids and polyphenols — to counter the oxidative stress implicated in melanocyte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vitamin D and vitamin B12 (particularly for vegetarians), and correct any deficiency under medical advice.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follow myth-based restrictions (avoiding milk, citrus, 'sour' or 'white' foods, or specific food combinations) — these have no evidence and worsen nutrition and distress.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balanced, varied diet; there is no proven 'vitiligo diet' that cures the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Vitamin-D/B12-deficient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following restrictive fad diets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7–9 hours of good-quality sleep to help regulate stress hormones and oxidative load.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sleep–wake routine to support general immune and skin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insomnia linked to anxiety about the condition.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Stressed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or depressed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or quit tobacco for overall health, even though the specific association with vitiligo is uncertain.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and reduce overall oxidative-stress exposure.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other autoimmune disease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moderate limits to reduce systemic oxidative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or binge drinking, which can worsen mood and interact with medication.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depression/anxiety</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the significant psychosocial burden; actively screen for depression, anxiety and suicidal ideation, especially in women and those with visible-site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counselling, cognitive behavioural therapy and, where needed, referral to psychiatry.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cosmetic camouflage and connect patients with support groups and patient organisations to reduce isolation and stigma.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Educate family and community to counter the myth linking vitiligo with leprosy and to ease marital and social pressure.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stress, which patients frequently report as a trigger of onset and flares, through relaxation and stress-management techniques.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high quality-of-life impact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and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visible/facial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Socially or maritally stigmatised patients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japsonline.com/admin/php/uploads/330_pdf.pdf" TargetMode="External"/><Relationship Id="rId10" Type="http://schemas.openxmlformats.org/officeDocument/2006/relationships/hyperlink" Target="https://www.ncbi.nlm.nih.gov/books/NBK559149/" TargetMode="External"/><Relationship Id="rId11" Type="http://schemas.openxmlformats.org/officeDocument/2006/relationships/hyperlink" Target="https://ijdvl.com/the-psychosocial-impact-of-vitiligo-in-indian-patients/" TargetMode="External"/><Relationship Id="rId12" Type="http://schemas.openxmlformats.org/officeDocument/2006/relationships/hyperlink" Target="https://ijced.org/archive/volume/8/issue/1/article/7794" TargetMode="External"/><Relationship Id="rId13" Type="http://schemas.openxmlformats.org/officeDocument/2006/relationships/hyperlink" Target="https://pubmed.ncbi.nlm.nih.gov/2969045/" TargetMode="External"/><Relationship Id="rId14" Type="http://schemas.openxmlformats.org/officeDocument/2006/relationships/hyperlink" Target="https://austinpublishinggroup.com/dermatology/fulltext/ajd-v11-id1111.pdf" TargetMode="External"/><Relationship Id="rId15" Type="http://schemas.openxmlformats.org/officeDocument/2006/relationships/hyperlink" Target="https://link.springer.com/article/10.1007/s13555-025-01506-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