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Melasma / Chloasma</w:t>
      </w:r>
    </w:p>
    <w:p>
      <w:pPr>
        <w:spacing w:before="0" w:after="160"/>
      </w:pPr>
      <w:r>
        <w:rPr>
          <w:rFonts w:ascii="Calibri" w:hAnsi="Calibri"/>
          <w:b/>
          <w:i w:val="0"/>
          <w:color w:val="212121"/>
          <w:sz w:val="22"/>
        </w:rPr>
        <w:t xml:space="preserve">AKA </w:t>
      </w:r>
      <w:r>
        <w:rPr>
          <w:rFonts w:ascii="Calibri" w:hAnsi="Calibri"/>
          <w:b w:val="0"/>
          <w:i w:val="0"/>
          <w:color w:val="212121"/>
          <w:sz w:val="22"/>
        </w:rPr>
        <w:t>i.e., Chloasma, Chloasma gravidarum, “Mask of pregnancy”, Melasma faciei, Facial hyperpigmentation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Melasma is a common, acquired disorder of hypermelanosis characterised by symmetrical, light-to-dark brown or grey-brown macules and patches, typically over sun-exposed areas of the face (cheeks, forehead, upper lip, nose and chin). It arises from increased production and deposition of melanin driven by an interplay of ultraviolet and visible light, female sex hormones and genetic predisposition. Although entirely benign, it is chronic and relapsing and carries a substantial cosmetic and psychosocial burden, especially in women with darker (Fitzpatrick III–V) skin.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Melasma is among the commonest pigmentary disorders in Indian dermatology practice, accounting for roughly 4–10% of new dermatology outpatient visits. It overwhelmingly affects women of reproductive age (women make up over 90% of cases), with Indian hospital series reporting a mean age of onset in the early-to-mid thirties. Risk is highest in Indian women with Fitzpatrick skin types III–V and heavy sun exposure, rising to 40–46% among outdoor workers such as paddy-field labourers.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Melasma is primarily a clinical diagnosis, supported by simple bedside tools that establish the depth of pigment (which guides prognosis and treatment).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symmetrical light-to-dark brown or grey-brown macules and patches over sun-exposed facial skin in a malar, centrofacial or mandibular distribution, with irregular but fairly well-defined borders;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supportive history of triggers — chronic sun exposure, pregnancy, oral contraceptive or hormone use, positive family history, or use of photosensitising drugs or cosmetics;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(365 nm) examination to classify pigment depth — epidermal pigment is accentuated, dermal pigment is not, and mixed types show both (sensitivity is limited, ~46%, and further reduced in very dark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showing a pseudo-reticular pigment network with sparing of follicular openings and telangiectasia — superior to Wood’s lamp for subtyping and for monitoring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Melasma Area and Severity Index (MASI / modified MASI, 0–48) for objective severity scoring and treatment monitoring;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is rarely needed and is reserved for atypical or refractory pigmentation to exclude other disorders (e.g., lichen planus pigmentosus, drug-induced pigmentation, ochronosis).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Melasma is classified by the anatomical distribution of pigment on the face and by the histological depth of melanin, which together determine Wood’s-lamp behaviour and prognosis:</w:t>
      </w:r>
    </w:p>
    <w:p>
      <w:pPr>
        <w:spacing w:before="0" w:after="80"/>
      </w:pPr>
      <w:r>
        <w:rPr>
          <w:rFonts w:ascii="Calibri" w:hAnsi="Calibri"/>
          <w:b w:val="0"/>
          <w:i w:val="0"/>
          <w:color w:val="212121"/>
          <w:sz w:val="21"/>
        </w:rPr>
        <w:t>(1) By pattern — Centrofacial (forehead, nose, upper lip, chin and medial cheeks; the commonest pattern in Indian series), Malar (cheeks and nose), and Mandibular (along the jawline; least common);</w:t>
      </w:r>
    </w:p>
    <w:p>
      <w:pPr>
        <w:spacing w:before="0" w:after="80"/>
      </w:pPr>
      <w:r>
        <w:rPr>
          <w:rFonts w:ascii="Calibri" w:hAnsi="Calibri"/>
          <w:b w:val="0"/>
          <w:i w:val="0"/>
          <w:color w:val="212121"/>
          <w:sz w:val="21"/>
        </w:rPr>
        <w:t>(2) By depth — Epidermal (excess melanin in the basal and suprabasal epidermis; brown, accentuated on Wood’s lamp, best treatment response), Dermal (melanophages in the dermis; blue-grey, not accentuated, poor response), and Mixed (both components; the commonest type in practice);</w:t>
      </w:r>
    </w:p>
    <w:p>
      <w:pPr>
        <w:spacing w:before="0" w:after="80"/>
      </w:pPr>
      <w:r>
        <w:rPr>
          <w:rFonts w:ascii="Calibri" w:hAnsi="Calibri"/>
          <w:b w:val="0"/>
          <w:i w:val="0"/>
          <w:color w:val="212121"/>
          <w:sz w:val="21"/>
        </w:rPr>
        <w:t>(3) Extrafacial melasma — a less common variant affecting the neck, forearms, sternum and upper limbs, seen chiefly in older and peri-/post-menopausal individuals;</w:t>
      </w:r>
    </w:p>
    <w:p>
      <w:pPr>
        <w:spacing w:before="0" w:after="80"/>
      </w:pPr>
      <w:r>
        <w:rPr>
          <w:rFonts w:ascii="Calibri" w:hAnsi="Calibri"/>
          <w:b w:val="0"/>
          <w:i w:val="0"/>
          <w:color w:val="212121"/>
          <w:sz w:val="21"/>
        </w:rPr>
        <w:t>(4) By trigger context — chloasma gravidarum (the “mask of pregnancy”), which may fade postpartum but persists in up to ~30% of women a decade later, versus idiopathic, non-pregnancy-associated melasma.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Ultraviolet &amp; visible light: UVA/UVB and high-energy visible (blue) light generate oxidative stress and directly stimulate melanocytes; the strongest and most consistent aggravating factor.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sex hormones: Elevated estrogen, progesterone and melanocyte-stimulating hormone (pregnancy, oral contraceptives, hormone replacement) up-regulate melanogenesis, explaining the marked female and reproductive-age predominance.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33–50% of patients report a positive family history, and darker Fitzpatrick phototypes (III–V) carry constitutively larger, more reactive melanocytes.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Photosensitising drugs &amp; cosmetics: Anticonvulsants, NSAIDs, retinoids, some antibiotics and psychotropics, and irritant or fragranced cosmetics can precipitate or worsen pigmentation.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Thyroid &amp; endocrine dysfunction: Autoimmune thyroid disease and thyroid hormone abnormalities are over-represented in melasma and may amplify hormonal melanogenesis.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Vascular &amp; dermal factors: Increased dermal vascularity (VEGF, endothelin-1), mast-cell activity and basement-membrane disruption sustain and deepen pigment, driving chronicity and relapse.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20–40 yrs)</w:t>
            </w:r>
          </w:p>
        </w:tc>
        <w:tc>
          <w:tcPr>
            <w:tcW w:type="dxa" w:w="4276"/>
            <w:vAlign w:val="top"/>
          </w:tcPr>
          <w:p>
            <w:pPr>
              <w:spacing w:after="60" w:line="259" w:lineRule="auto"/>
            </w:pPr>
            <w:r>
              <w:rPr>
                <w:rFonts w:ascii="Calibri" w:hAnsi="Calibri"/>
                <w:b w:val="0"/>
                <w:i w:val="0"/>
                <w:color w:val="212121"/>
                <w:sz w:val="19"/>
              </w:rPr>
              <w:t>Melasma peaks in reproductive-age adults because circulating estrogen and progesterone up-regulate melanocyte activity, while cumulative sun exposure compounds pigment deposition. This group carries the highest melanogenic drive.</w:t>
            </w:r>
          </w:p>
          <w:p>
            <w:pPr>
              <w:spacing w:after="40" w:before="60" w:line="259" w:lineRule="auto"/>
            </w:pPr>
            <w:r>
              <w:rPr>
                <w:rFonts w:ascii="Calibri" w:hAnsi="Calibri"/>
                <w:b w:val="0"/>
                <w:i w:val="0"/>
                <w:color w:val="212121"/>
                <w:sz w:val="19"/>
              </w:rPr>
              <w:t>Indian multicentric data show a mean age of onset of 34.1 years, with most patients presenting in the 30–39 year band.</w:t>
            </w:r>
          </w:p>
          <w:p>
            <w:pPr>
              <w:spacing w:after="40" w:line="252" w:lineRule="auto"/>
            </w:pPr>
            <w:hyperlink r:id="rId9">
              <w:r>
                <w:rPr>
                  <w:rFonts w:ascii="Calibri" w:hAnsi="Calibri" w:cs="Calibri"/>
                  <w:sz w:val="18"/>
                  <w:color w:val="1155CC"/>
                  <w:u w:val="single"/>
                </w:rPr>
                <w:t xml:space="preserve">link.springer.com — multicentric Indian melasma study</w:t>
              </w:r>
            </w:hyperlink>
          </w:p>
          <w:p>
            <w:pPr>
              <w:spacing w:before="60" w:after="40"/>
            </w:pPr>
            <w:r>
              <w:rPr>
                <w:rFonts w:ascii="Calibri" w:hAnsi="Calibri"/>
                <w:b w:val="0"/>
                <w:i w:val="0"/>
                <w:color w:val="5A5A5A"/>
                <w:sz w:val="18"/>
              </w:rPr>
              <w:t>#melasma  #reproductiveage  #hormones  #estrogen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&amp; post-menopausal</w:t>
            </w:r>
          </w:p>
        </w:tc>
        <w:tc>
          <w:tcPr>
            <w:tcW w:type="dxa" w:w="4276"/>
            <w:vAlign w:val="top"/>
          </w:tcPr>
          <w:p>
            <w:pPr>
              <w:spacing w:after="60" w:line="259" w:lineRule="auto"/>
            </w:pPr>
            <w:r>
              <w:rPr>
                <w:rFonts w:ascii="Calibri" w:hAnsi="Calibri"/>
                <w:b w:val="0"/>
                <w:i w:val="0"/>
                <w:color w:val="212121"/>
                <w:sz w:val="19"/>
              </w:rPr>
              <w:t>Cumulative lifetime photodamage and dermal changes predispose older adults to more resistant, dermal-type and extrafacial melasma, even as new-onset facial cases decline after menopause.</w:t>
            </w:r>
          </w:p>
          <w:p>
            <w:pPr>
              <w:spacing w:after="40" w:before="60" w:line="259" w:lineRule="auto"/>
            </w:pPr>
            <w:r>
              <w:rPr>
                <w:rFonts w:ascii="Calibri" w:hAnsi="Calibri"/>
                <w:b w:val="0"/>
                <w:i w:val="0"/>
                <w:color w:val="212121"/>
                <w:sz w:val="19"/>
              </w:rPr>
              <w:t>Extrafacial melasma (neck, forearms, chest) is characteristically seen in older, peri- and post-menopausal individuals.</w:t>
            </w:r>
          </w:p>
          <w:p>
            <w:pPr>
              <w:spacing w:before="60" w:after="40"/>
            </w:pPr>
            <w:r>
              <w:rPr>
                <w:rFonts w:ascii="Calibri" w:hAnsi="Calibri"/>
                <w:b w:val="0"/>
                <w:i w:val="0"/>
                <w:color w:val="5A5A5A"/>
                <w:sz w:val="18"/>
              </w:rPr>
              <w:t>#photoaging  #extrafacial  #dermaltype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overwhelmingly affected because hormonal stimulation of melanogenesis (estrogen, progesterone, MSH) is superimposed on sun exposure.</w:t>
            </w:r>
          </w:p>
          <w:p>
            <w:pPr>
              <w:spacing w:after="40" w:before="60" w:line="259" w:lineRule="auto"/>
            </w:pPr>
            <w:r>
              <w:rPr>
                <w:rFonts w:ascii="Calibri" w:hAnsi="Calibri"/>
                <w:b w:val="0"/>
                <w:i w:val="0"/>
                <w:color w:val="212121"/>
                <w:sz w:val="19"/>
              </w:rPr>
              <w:t>Women constitute over 90% of melasma cases; a large global network study found 93% of 41,283 melasma patients were female.</w:t>
            </w:r>
          </w:p>
          <w:p>
            <w:pPr>
              <w:spacing w:after="40" w:line="252" w:lineRule="auto"/>
            </w:pPr>
            <w:hyperlink r:id="rId10">
              <w:r>
                <w:rPr>
                  <w:rFonts w:ascii="Calibri" w:hAnsi="Calibri" w:cs="Calibri"/>
                  <w:sz w:val="18"/>
                  <w:color w:val="1155CC"/>
                  <w:u w:val="single"/>
                </w:rPr>
                <w:t xml:space="preserve">ijpsjournal.com — global epidemiology of melasma</w:t>
              </w:r>
            </w:hyperlink>
          </w:p>
          <w:p>
            <w:pPr>
              <w:spacing w:before="60" w:after="40"/>
            </w:pPr>
            <w:r>
              <w:rPr>
                <w:rFonts w:ascii="Calibri" w:hAnsi="Calibri"/>
                <w:b w:val="0"/>
                <w:i w:val="0"/>
                <w:color w:val="5A5A5A"/>
                <w:sz w:val="18"/>
              </w:rPr>
              <w:t>#female  #hormonal  #chloasma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melasma chiefly through occupational sun exposure rather than hormones; presentation and histology are otherwise similar, and it is often under-recognised.</w:t>
            </w:r>
          </w:p>
          <w:p>
            <w:pPr>
              <w:spacing w:after="40" w:before="60" w:line="259" w:lineRule="auto"/>
            </w:pPr>
            <w:r>
              <w:rPr>
                <w:rFonts w:ascii="Calibri" w:hAnsi="Calibri"/>
                <w:b w:val="0"/>
                <w:i w:val="0"/>
                <w:color w:val="212121"/>
                <w:sz w:val="19"/>
              </w:rPr>
              <w:t>In a South Indian tertiary series melasma was found in 7.15% of male dermatology attendees, and 80.6% of affected men had significant occupational sun exposure.</w:t>
            </w:r>
          </w:p>
          <w:p>
            <w:pPr>
              <w:spacing w:after="40" w:line="252" w:lineRule="auto"/>
            </w:pPr>
            <w:hyperlink r:id="rId11">
              <w:r>
                <w:rPr>
                  <w:rFonts w:ascii="Calibri" w:hAnsi="Calibri" w:cs="Calibri"/>
                  <w:sz w:val="18"/>
                  <w:color w:val="1155CC"/>
                  <w:u w:val="single"/>
                </w:rPr>
                <w:t xml:space="preserve">ijss-sn.com — melasma in men, South India</w:t>
              </w:r>
            </w:hyperlink>
          </w:p>
          <w:p>
            <w:pPr>
              <w:spacing w:before="60" w:after="40"/>
            </w:pPr>
            <w:r>
              <w:rPr>
                <w:rFonts w:ascii="Calibri" w:hAnsi="Calibri"/>
                <w:b w:val="0"/>
                <w:i w:val="0"/>
                <w:color w:val="5A5A5A"/>
                <w:sz w:val="18"/>
              </w:rPr>
              <w:t>#male  #occupationalsun  #outdoorwork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Outdoor manual workers, lower-income groups</w:t>
            </w:r>
          </w:p>
        </w:tc>
        <w:tc>
          <w:tcPr>
            <w:tcW w:type="dxa" w:w="4276"/>
            <w:vAlign w:val="top"/>
          </w:tcPr>
          <w:p>
            <w:pPr>
              <w:spacing w:after="60" w:line="259" w:lineRule="auto"/>
            </w:pPr>
            <w:r>
              <w:rPr>
                <w:rFonts w:ascii="Calibri" w:hAnsi="Calibri"/>
                <w:b w:val="0"/>
                <w:i w:val="0"/>
                <w:color w:val="212121"/>
                <w:sz w:val="19"/>
              </w:rPr>
              <w:t>Occupations with prolonged unprotected outdoor sun exposure, combined with low access to and awareness of photoprotection, markedly raise both incidence and severity.</w:t>
            </w:r>
          </w:p>
          <w:p>
            <w:pPr>
              <w:spacing w:after="40" w:before="60" w:line="259" w:lineRule="auto"/>
            </w:pPr>
            <w:r>
              <w:rPr>
                <w:rFonts w:ascii="Calibri" w:hAnsi="Calibri"/>
                <w:b w:val="0"/>
                <w:i w:val="0"/>
                <w:color w:val="212121"/>
                <w:sz w:val="19"/>
              </w:rPr>
              <w:t>Prevalence rises to 40–46% among heavily sun-exposed Indian outdoor workers such as paddy-field labourers.</w:t>
            </w:r>
          </w:p>
          <w:p>
            <w:pPr>
              <w:spacing w:after="40" w:line="252" w:lineRule="auto"/>
            </w:pPr>
            <w:hyperlink r:id="rId10">
              <w:r>
                <w:rPr>
                  <w:rFonts w:ascii="Calibri" w:hAnsi="Calibri" w:cs="Calibri"/>
                  <w:sz w:val="18"/>
                  <w:color w:val="1155CC"/>
                  <w:u w:val="single"/>
                </w:rPr>
                <w:t xml:space="preserve">ijpsjournal.com — global epidemiology of melasma</w:t>
              </w:r>
            </w:hyperlink>
          </w:p>
          <w:p>
            <w:pPr>
              <w:spacing w:before="60" w:after="40"/>
            </w:pPr>
            <w:r>
              <w:rPr>
                <w:rFonts w:ascii="Calibri" w:hAnsi="Calibri"/>
                <w:b w:val="0"/>
                <w:i w:val="0"/>
                <w:color w:val="5A5A5A"/>
                <w:sz w:val="18"/>
              </w:rPr>
              <w:t>#outdoorworkers  #sunexposure  #lowSES  #photoprotection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skin, Fitzpatrick III–V</w:t>
            </w:r>
          </w:p>
        </w:tc>
        <w:tc>
          <w:tcPr>
            <w:tcW w:type="dxa" w:w="4276"/>
            <w:vAlign w:val="top"/>
          </w:tcPr>
          <w:p>
            <w:pPr>
              <w:spacing w:after="60" w:line="259" w:lineRule="auto"/>
            </w:pPr>
            <w:r>
              <w:rPr>
                <w:rFonts w:ascii="Calibri" w:hAnsi="Calibri"/>
                <w:b w:val="0"/>
                <w:i w:val="0"/>
                <w:color w:val="212121"/>
                <w:sz w:val="19"/>
              </w:rPr>
              <w:t>Darker (Fitzpatrick III–V) skin has constitutively larger, more reactive melanocytes that respond intensely to UV and hormonal stimuli, making melasma both common and stubborn in Indian skin.</w:t>
            </w:r>
          </w:p>
          <w:p>
            <w:pPr>
              <w:spacing w:after="40" w:before="60" w:line="259" w:lineRule="auto"/>
            </w:pPr>
            <w:r>
              <w:rPr>
                <w:rFonts w:ascii="Calibri" w:hAnsi="Calibri"/>
                <w:b w:val="0"/>
                <w:i w:val="0"/>
                <w:color w:val="212121"/>
                <w:sz w:val="19"/>
              </w:rPr>
              <w:t>In Indian series Fitzpatrick type IV is the commonest phototype affected (~48%), followed by type III (~31%).</w:t>
            </w:r>
          </w:p>
          <w:p>
            <w:pPr>
              <w:spacing w:after="40" w:line="252" w:lineRule="auto"/>
            </w:pPr>
            <w:hyperlink r:id="rId11">
              <w:r>
                <w:rPr>
                  <w:rFonts w:ascii="Calibri" w:hAnsi="Calibri" w:cs="Calibri"/>
                  <w:sz w:val="18"/>
                  <w:color w:val="1155CC"/>
                  <w:u w:val="single"/>
                </w:rPr>
                <w:t xml:space="preserve">ijss-sn.com — Fitzpatrick distribution in melasma</w:t>
              </w:r>
            </w:hyperlink>
          </w:p>
          <w:p>
            <w:pPr>
              <w:spacing w:before="60" w:after="40"/>
            </w:pPr>
            <w:r>
              <w:rPr>
                <w:rFonts w:ascii="Calibri" w:hAnsi="Calibri"/>
                <w:b w:val="0"/>
                <w:i w:val="0"/>
                <w:color w:val="5A5A5A"/>
                <w:sz w:val="18"/>
              </w:rPr>
              <w:t>#fitzpatrick  #skinofcolour  #indianskin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Geographic region</w:t>
            </w:r>
          </w:p>
        </w:tc>
        <w:tc>
          <w:tcPr>
            <w:tcW w:type="dxa" w:w="2160"/>
            <w:vAlign w:val="top"/>
          </w:tcPr>
          <w:p>
            <w:pPr>
              <w:spacing w:after="40" w:before="0" w:line="259" w:lineRule="auto"/>
            </w:pPr>
            <w:r>
              <w:rPr>
                <w:rFonts w:ascii="Calibri" w:hAnsi="Calibri"/>
                <w:b w:val="0"/>
                <w:i w:val="0"/>
                <w:color w:val="212121"/>
                <w:sz w:val="19"/>
              </w:rPr>
              <w:t>Tropical, high-UV-index regions</w:t>
            </w:r>
          </w:p>
        </w:tc>
        <w:tc>
          <w:tcPr>
            <w:tcW w:type="dxa" w:w="4276"/>
            <w:vAlign w:val="top"/>
          </w:tcPr>
          <w:p>
            <w:pPr>
              <w:spacing w:after="60" w:line="259" w:lineRule="auto"/>
            </w:pPr>
            <w:r>
              <w:rPr>
                <w:rFonts w:ascii="Calibri" w:hAnsi="Calibri"/>
                <w:b w:val="0"/>
                <w:i w:val="0"/>
                <w:color w:val="212121"/>
                <w:sz w:val="19"/>
              </w:rPr>
              <w:t>India’s high ambient UV index and long sunny seasons mean a high baseline cutaneous UV dose; heavy real-world sun exposure with poor protection drives pigment production.</w:t>
            </w:r>
          </w:p>
          <w:p>
            <w:pPr>
              <w:spacing w:after="40" w:before="60" w:line="259" w:lineRule="auto"/>
            </w:pPr>
            <w:r>
              <w:rPr>
                <w:rFonts w:ascii="Calibri" w:hAnsi="Calibri"/>
                <w:b w:val="0"/>
                <w:i w:val="0"/>
                <w:color w:val="212121"/>
                <w:sz w:val="19"/>
              </w:rPr>
              <w:t>Indian melasma patients reported ~35.9 hours/week of sun exposure, and 70% were regularly exposed to morning sun.</w:t>
            </w:r>
          </w:p>
          <w:p>
            <w:pPr>
              <w:spacing w:after="40" w:line="252" w:lineRule="auto"/>
            </w:pPr>
            <w:hyperlink r:id="rId9">
              <w:r>
                <w:rPr>
                  <w:rFonts w:ascii="Calibri" w:hAnsi="Calibri" w:cs="Calibri"/>
                  <w:sz w:val="18"/>
                  <w:color w:val="1155CC"/>
                  <w:u w:val="single"/>
                </w:rPr>
                <w:t xml:space="preserve">link.springer.com — sun-exposure data</w:t>
              </w:r>
            </w:hyperlink>
          </w:p>
          <w:p>
            <w:pPr>
              <w:spacing w:before="60" w:after="40"/>
            </w:pPr>
            <w:r>
              <w:rPr>
                <w:rFonts w:ascii="Calibri" w:hAnsi="Calibri"/>
                <w:b w:val="0"/>
                <w:i w:val="0"/>
                <w:color w:val="5A5A5A"/>
                <w:sz w:val="18"/>
              </w:rPr>
              <w:t>#tropical  #UVindex  #highinsolation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Sun exposure / low sunscreen use</w:t>
            </w:r>
          </w:p>
        </w:tc>
        <w:tc>
          <w:tcPr>
            <w:tcW w:type="dxa" w:w="2160"/>
            <w:vAlign w:val="top"/>
          </w:tcPr>
          <w:p>
            <w:pPr>
              <w:spacing w:after="40" w:before="0" w:line="259" w:lineRule="auto"/>
            </w:pPr>
            <w:r>
              <w:rPr>
                <w:rFonts w:ascii="Calibri" w:hAnsi="Calibri"/>
                <w:b w:val="0"/>
                <w:i w:val="0"/>
                <w:color w:val="212121"/>
                <w:sz w:val="19"/>
              </w:rPr>
              <w:t>Anyone with poor photoprotection</w:t>
            </w:r>
          </w:p>
        </w:tc>
        <w:tc>
          <w:tcPr>
            <w:tcW w:type="dxa" w:w="4276"/>
            <w:vAlign w:val="top"/>
          </w:tcPr>
          <w:p>
            <w:pPr>
              <w:spacing w:after="60" w:line="259" w:lineRule="auto"/>
            </w:pPr>
            <w:r>
              <w:rPr>
                <w:rFonts w:ascii="Calibri" w:hAnsi="Calibri"/>
                <w:b w:val="0"/>
                <w:i w:val="0"/>
                <w:color w:val="212121"/>
                <w:sz w:val="19"/>
              </w:rPr>
              <w:t>UV and visible (blue) light are the dominant modifiable drivers; inadequate or absent sunscreen use allows repeated melanocyte stimulation and relapse.</w:t>
            </w:r>
          </w:p>
          <w:p>
            <w:pPr>
              <w:spacing w:after="40" w:before="60" w:line="259" w:lineRule="auto"/>
            </w:pPr>
            <w:r>
              <w:rPr>
                <w:rFonts w:ascii="Calibri" w:hAnsi="Calibri"/>
                <w:b w:val="0"/>
                <w:i w:val="0"/>
                <w:color w:val="212121"/>
                <w:sz w:val="19"/>
              </w:rPr>
              <w:t>Only 35% of Indian melasma patients used sunscreen and just 10% used SPF &gt;50 — under-protection is the norm.</w:t>
            </w:r>
          </w:p>
          <w:p>
            <w:pPr>
              <w:spacing w:after="40" w:line="252" w:lineRule="auto"/>
            </w:pPr>
            <w:hyperlink r:id="rId9">
              <w:r>
                <w:rPr>
                  <w:rFonts w:ascii="Calibri" w:hAnsi="Calibri" w:cs="Calibri"/>
                  <w:sz w:val="18"/>
                  <w:color w:val="1155CC"/>
                  <w:u w:val="single"/>
                </w:rPr>
                <w:t xml:space="preserve">link.springer.com — sunscreen use in melasma</w:t>
              </w:r>
            </w:hyperlink>
          </w:p>
          <w:p>
            <w:pPr>
              <w:spacing w:before="60" w:after="40"/>
            </w:pPr>
            <w:r>
              <w:rPr>
                <w:rFonts w:ascii="Calibri" w:hAnsi="Calibri"/>
                <w:b w:val="0"/>
                <w:i w:val="0"/>
                <w:color w:val="5A5A5A"/>
                <w:sz w:val="18"/>
              </w:rPr>
              <w:t>#sunscreen  #photoprotection  #UV  #visiblelight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Cosmetic &amp; irritant use</w:t>
            </w:r>
          </w:p>
        </w:tc>
        <w:tc>
          <w:tcPr>
            <w:tcW w:type="dxa" w:w="2160"/>
            <w:vAlign w:val="top"/>
          </w:tcPr>
          <w:p>
            <w:pPr>
              <w:spacing w:after="40" w:before="0" w:line="259" w:lineRule="auto"/>
            </w:pPr>
            <w:r>
              <w:rPr>
                <w:rFonts w:ascii="Calibri" w:hAnsi="Calibri"/>
                <w:b w:val="0"/>
                <w:i w:val="0"/>
                <w:color w:val="212121"/>
                <w:sz w:val="19"/>
              </w:rPr>
              <w:t>Users of fairness creams &amp; harsh cosmetics</w:t>
            </w:r>
          </w:p>
        </w:tc>
        <w:tc>
          <w:tcPr>
            <w:tcW w:type="dxa" w:w="4276"/>
            <w:vAlign w:val="top"/>
          </w:tcPr>
          <w:p>
            <w:pPr>
              <w:spacing w:after="60" w:line="259" w:lineRule="auto"/>
            </w:pPr>
            <w:r>
              <w:rPr>
                <w:rFonts w:ascii="Calibri" w:hAnsi="Calibri"/>
                <w:b w:val="0"/>
                <w:i w:val="0"/>
                <w:color w:val="212121"/>
                <w:sz w:val="19"/>
              </w:rPr>
              <w:t>Photosensitising or irritant cosmetics and unregulated “fairness” / steroid creams can trigger or aggravate pigmentation and cause rebound and post-inflammatory hyperpigmentation.</w:t>
            </w:r>
          </w:p>
          <w:p>
            <w:pPr>
              <w:spacing w:after="40" w:before="60" w:line="259" w:lineRule="auto"/>
            </w:pPr>
            <w:r>
              <w:rPr>
                <w:rFonts w:ascii="Calibri" w:hAnsi="Calibri"/>
                <w:b w:val="0"/>
                <w:i w:val="0"/>
                <w:color w:val="212121"/>
                <w:sz w:val="19"/>
              </w:rPr>
              <w:t>64.2% of patients in one Indian series had used cosmetics before the onset of melasma.</w:t>
            </w:r>
          </w:p>
          <w:p>
            <w:pPr>
              <w:spacing w:after="40" w:line="252" w:lineRule="auto"/>
            </w:pPr>
            <w:hyperlink r:id="rId12">
              <w:r>
                <w:rPr>
                  <w:rFonts w:ascii="Calibri" w:hAnsi="Calibri" w:cs="Calibri"/>
                  <w:sz w:val="18"/>
                  <w:color w:val="1155CC"/>
                  <w:u w:val="single"/>
                </w:rPr>
                <w:t xml:space="preserve">academicmed.org — clinico-epidemiological melasma study</w:t>
              </w:r>
            </w:hyperlink>
          </w:p>
          <w:p>
            <w:pPr>
              <w:spacing w:before="60" w:after="40"/>
            </w:pPr>
            <w:r>
              <w:rPr>
                <w:rFonts w:ascii="Calibri" w:hAnsi="Calibri"/>
                <w:b w:val="0"/>
                <w:i w:val="0"/>
                <w:color w:val="5A5A5A"/>
                <w:sz w:val="18"/>
              </w:rPr>
              <w:t>#cosmetics  #fairnesscreams  #irritant  #PIH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increases oxidative stress and accelerates photoaging, which may aggravate pigmentation; the evidence is supportive rather than definitive.</w:t>
            </w:r>
          </w:p>
          <w:p>
            <w:pPr>
              <w:spacing w:after="40" w:before="60" w:line="259" w:lineRule="auto"/>
            </w:pPr>
            <w:r>
              <w:rPr>
                <w:rFonts w:ascii="Calibri" w:hAnsi="Calibri"/>
                <w:b w:val="0"/>
                <w:i w:val="0"/>
                <w:color w:val="212121"/>
                <w:sz w:val="19"/>
              </w:rPr>
              <w:t>Smoking-related oxidative stress is a plausible aggravator of facial pigmentation.</w:t>
            </w:r>
          </w:p>
          <w:p>
            <w:pPr>
              <w:spacing w:before="60" w:after="40"/>
            </w:pPr>
            <w:r>
              <w:rPr>
                <w:rFonts w:ascii="Calibri" w:hAnsi="Calibri"/>
                <w:b w:val="0"/>
                <w:i w:val="0"/>
                <w:color w:val="5A5A5A"/>
                <w:sz w:val="18"/>
              </w:rPr>
              <w:t>#smoking  #oxidativestress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status</w:t>
            </w:r>
          </w:p>
        </w:tc>
        <w:tc>
          <w:tcPr>
            <w:tcW w:type="dxa" w:w="2160"/>
            <w:vAlign w:val="top"/>
          </w:tcPr>
          <w:p>
            <w:pPr>
              <w:spacing w:after="40" w:before="0" w:line="259" w:lineRule="auto"/>
            </w:pPr>
            <w:r>
              <w:rPr>
                <w:rFonts w:ascii="Calibri" w:hAnsi="Calibri"/>
                <w:b w:val="0"/>
                <w:i w:val="0"/>
                <w:color w:val="212121"/>
                <w:sz w:val="19"/>
              </w:rPr>
              <w:t>Vitamin-D-deficient / veiled individuals</w:t>
            </w:r>
          </w:p>
        </w:tc>
        <w:tc>
          <w:tcPr>
            <w:tcW w:type="dxa" w:w="4276"/>
            <w:vAlign w:val="top"/>
          </w:tcPr>
          <w:p>
            <w:pPr>
              <w:spacing w:after="60" w:line="259" w:lineRule="auto"/>
            </w:pPr>
            <w:r>
              <w:rPr>
                <w:rFonts w:ascii="Calibri" w:hAnsi="Calibri"/>
                <w:b w:val="0"/>
                <w:i w:val="0"/>
                <w:color w:val="212121"/>
                <w:sz w:val="19"/>
              </w:rPr>
              <w:t>Lower vitamin D status is observed in melasma patients versus controls; vitamin D influences keratinocyte–melanocyte signalling, though causality is unproven.</w:t>
            </w:r>
          </w:p>
          <w:p>
            <w:pPr>
              <w:spacing w:after="40" w:before="60" w:line="259" w:lineRule="auto"/>
            </w:pPr>
            <w:r>
              <w:rPr>
                <w:rFonts w:ascii="Calibri" w:hAnsi="Calibri"/>
                <w:b w:val="0"/>
                <w:i w:val="0"/>
                <w:color w:val="212121"/>
                <w:sz w:val="19"/>
              </w:rPr>
              <w:t>Melasma patients had significantly lower mean serum vitamin D (33.8 ng/mL) than controls (36.8 ng/mL), p&lt;0.0001.</w:t>
            </w:r>
          </w:p>
          <w:p>
            <w:pPr>
              <w:spacing w:after="40" w:line="252" w:lineRule="auto"/>
            </w:pPr>
            <w:hyperlink r:id="rId13">
              <w:r>
                <w:rPr>
                  <w:rFonts w:ascii="Calibri" w:hAnsi="Calibri" w:cs="Calibri"/>
                  <w:sz w:val="18"/>
                  <w:color w:val="1155CC"/>
                  <w:u w:val="single"/>
                </w:rPr>
                <w:t xml:space="preserve">skin.dermsquared.com — melasma &amp; serum vitamin D</w:t>
              </w:r>
            </w:hyperlink>
          </w:p>
          <w:p>
            <w:pPr>
              <w:spacing w:before="60" w:after="40"/>
            </w:pPr>
            <w:r>
              <w:rPr>
                <w:rFonts w:ascii="Calibri" w:hAnsi="Calibri"/>
                <w:b w:val="0"/>
                <w:i w:val="0"/>
                <w:color w:val="5A5A5A"/>
                <w:sz w:val="18"/>
              </w:rPr>
              <w:t>#vitaminD  #micronutrient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Antioxidant-poor diet</w:t>
            </w:r>
          </w:p>
        </w:tc>
        <w:tc>
          <w:tcPr>
            <w:tcW w:type="dxa" w:w="2160"/>
            <w:vAlign w:val="top"/>
          </w:tcPr>
          <w:p>
            <w:pPr>
              <w:spacing w:after="40" w:before="0" w:line="259" w:lineRule="auto"/>
            </w:pPr>
            <w:r>
              <w:rPr>
                <w:rFonts w:ascii="Calibri" w:hAnsi="Calibri"/>
                <w:b w:val="0"/>
                <w:i w:val="0"/>
                <w:color w:val="212121"/>
                <w:sz w:val="19"/>
              </w:rPr>
              <w:t>High processed-food, low fruit/veg intake</w:t>
            </w:r>
          </w:p>
        </w:tc>
        <w:tc>
          <w:tcPr>
            <w:tcW w:type="dxa" w:w="4276"/>
            <w:vAlign w:val="top"/>
          </w:tcPr>
          <w:p>
            <w:pPr>
              <w:spacing w:after="60" w:line="259" w:lineRule="auto"/>
            </w:pPr>
            <w:r>
              <w:rPr>
                <w:rFonts w:ascii="Calibri" w:hAnsi="Calibri"/>
                <w:b w:val="0"/>
                <w:i w:val="0"/>
                <w:color w:val="212121"/>
                <w:sz w:val="19"/>
              </w:rPr>
              <w:t>Diets poor in antioxidants (vitamin C, carotenoids, polyphenols) may reduce the skin’s defence against UV-induced oxidative melanogenesis.</w:t>
            </w:r>
          </w:p>
          <w:p>
            <w:pPr>
              <w:spacing w:after="40" w:before="60" w:line="259" w:lineRule="auto"/>
            </w:pPr>
            <w:r>
              <w:rPr>
                <w:rFonts w:ascii="Calibri" w:hAnsi="Calibri"/>
                <w:b w:val="0"/>
                <w:i w:val="0"/>
                <w:color w:val="212121"/>
                <w:sz w:val="19"/>
              </w:rPr>
              <w:t>Antioxidant intake is proposed to modulate UV-driven oxidative pigment production.</w:t>
            </w:r>
          </w:p>
          <w:p>
            <w:pPr>
              <w:spacing w:before="60" w:after="40"/>
            </w:pPr>
            <w:r>
              <w:rPr>
                <w:rFonts w:ascii="Calibri" w:hAnsi="Calibri"/>
                <w:b w:val="0"/>
                <w:i w:val="0"/>
                <w:color w:val="5A5A5A"/>
                <w:sz w:val="18"/>
              </w:rPr>
              <w:t>#antioxidants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melasma</w:t>
            </w:r>
          </w:p>
        </w:tc>
        <w:tc>
          <w:tcPr>
            <w:tcW w:type="dxa" w:w="4276"/>
            <w:vAlign w:val="top"/>
          </w:tcPr>
          <w:p>
            <w:pPr>
              <w:spacing w:after="60" w:line="259" w:lineRule="auto"/>
            </w:pPr>
            <w:r>
              <w:rPr>
                <w:rFonts w:ascii="Calibri" w:hAnsi="Calibri"/>
                <w:b w:val="0"/>
                <w:i w:val="0"/>
                <w:color w:val="212121"/>
                <w:sz w:val="19"/>
              </w:rPr>
              <w:t>A strong hereditary component means melasma clusters in families; relatives share both genetic melanocyte reactivity and skin phototype.</w:t>
            </w:r>
          </w:p>
          <w:p>
            <w:pPr>
              <w:spacing w:after="40" w:before="60" w:line="259" w:lineRule="auto"/>
            </w:pPr>
            <w:r>
              <w:rPr>
                <w:rFonts w:ascii="Calibri" w:hAnsi="Calibri"/>
                <w:b w:val="0"/>
                <w:i w:val="0"/>
                <w:color w:val="212121"/>
                <w:sz w:val="19"/>
              </w:rPr>
              <w:t>31.1% of Indian melasma patients report a positive family history (33–50% across studies).</w:t>
            </w:r>
          </w:p>
          <w:p>
            <w:pPr>
              <w:spacing w:after="40" w:line="252" w:lineRule="auto"/>
            </w:pPr>
            <w:hyperlink r:id="rId9">
              <w:r>
                <w:rPr>
                  <w:rFonts w:ascii="Calibri" w:hAnsi="Calibri" w:cs="Calibri"/>
                  <w:sz w:val="18"/>
                  <w:color w:val="1155CC"/>
                  <w:u w:val="single"/>
                </w:rPr>
                <w:t xml:space="preserve">link.springer.com — family history in melasma</w:t>
              </w:r>
            </w:hyperlink>
          </w:p>
          <w:p>
            <w:pPr>
              <w:spacing w:before="60" w:after="40"/>
            </w:pPr>
            <w:r>
              <w:rPr>
                <w:rFonts w:ascii="Calibri" w:hAnsi="Calibri"/>
                <w:b w:val="0"/>
                <w:i w:val="0"/>
                <w:color w:val="5A5A5A"/>
                <w:sz w:val="18"/>
              </w:rPr>
              <w:t>#familyhistory  #genetics  #heredity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Constitutional skin phototype</w:t>
            </w:r>
          </w:p>
        </w:tc>
        <w:tc>
          <w:tcPr>
            <w:tcW w:type="dxa" w:w="2160"/>
            <w:vAlign w:val="top"/>
          </w:tcPr>
          <w:p>
            <w:pPr>
              <w:spacing w:after="40" w:before="0" w:line="259" w:lineRule="auto"/>
            </w:pPr>
            <w:r>
              <w:rPr>
                <w:rFonts w:ascii="Calibri" w:hAnsi="Calibri"/>
                <w:b w:val="0"/>
                <w:i w:val="0"/>
                <w:color w:val="212121"/>
                <w:sz w:val="19"/>
              </w:rPr>
              <w:t>Darker constitutive pigmentation</w:t>
            </w:r>
          </w:p>
        </w:tc>
        <w:tc>
          <w:tcPr>
            <w:tcW w:type="dxa" w:w="4276"/>
            <w:vAlign w:val="top"/>
          </w:tcPr>
          <w:p>
            <w:pPr>
              <w:spacing w:after="60" w:line="259" w:lineRule="auto"/>
            </w:pPr>
            <w:r>
              <w:rPr>
                <w:rFonts w:ascii="Calibri" w:hAnsi="Calibri"/>
                <w:b w:val="0"/>
                <w:i w:val="0"/>
                <w:color w:val="212121"/>
                <w:sz w:val="19"/>
              </w:rPr>
              <w:t>A genetically determined darker phototype confers more melanin and more reactive melanocytes, predisposing both to melasma and to treatment-related dyspigmentation.</w:t>
            </w:r>
          </w:p>
          <w:p>
            <w:pPr>
              <w:spacing w:after="40" w:before="60" w:line="259" w:lineRule="auto"/>
            </w:pPr>
            <w:r>
              <w:rPr>
                <w:rFonts w:ascii="Calibri" w:hAnsi="Calibri"/>
                <w:b w:val="0"/>
                <w:i w:val="0"/>
                <w:color w:val="212121"/>
                <w:sz w:val="19"/>
              </w:rPr>
              <w:t>Melasma predominantly affects darker phototypes (Fitzpatrick IV–VI).</w:t>
            </w:r>
          </w:p>
          <w:p>
            <w:pPr>
              <w:spacing w:after="40" w:line="252" w:lineRule="auto"/>
            </w:pPr>
            <w:hyperlink r:id="rId10">
              <w:r>
                <w:rPr>
                  <w:rFonts w:ascii="Calibri" w:hAnsi="Calibri" w:cs="Calibri"/>
                  <w:sz w:val="18"/>
                  <w:color w:val="1155CC"/>
                  <w:u w:val="single"/>
                </w:rPr>
                <w:t xml:space="preserve">ijpsjournal.com — phototype and melasma</w:t>
              </w:r>
            </w:hyperlink>
          </w:p>
          <w:p>
            <w:pPr>
              <w:spacing w:before="60" w:after="40"/>
            </w:pPr>
            <w:r>
              <w:rPr>
                <w:rFonts w:ascii="Calibri" w:hAnsi="Calibri"/>
                <w:b w:val="0"/>
                <w:i w:val="0"/>
                <w:color w:val="5A5A5A"/>
                <w:sz w:val="18"/>
              </w:rPr>
              <w:t>#phototype  #melanocyte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&amp; recently pregnant women</w:t>
            </w:r>
          </w:p>
        </w:tc>
        <w:tc>
          <w:tcPr>
            <w:tcW w:type="dxa" w:w="4276"/>
            <w:vAlign w:val="top"/>
          </w:tcPr>
          <w:p>
            <w:pPr>
              <w:spacing w:after="60" w:line="259" w:lineRule="auto"/>
            </w:pPr>
            <w:r>
              <w:rPr>
                <w:rFonts w:ascii="Calibri" w:hAnsi="Calibri"/>
                <w:b w:val="0"/>
                <w:i w:val="0"/>
                <w:color w:val="212121"/>
                <w:sz w:val="19"/>
              </w:rPr>
              <w:t>The surge in estrogen, progesterone and MSH during pregnancy stimulates melanogenesis — the classic “mask of pregnancy”. It may fade postpartum but frequently persists.</w:t>
            </w:r>
          </w:p>
          <w:p>
            <w:pPr>
              <w:spacing w:after="40" w:before="60" w:line="259" w:lineRule="auto"/>
            </w:pPr>
            <w:r>
              <w:rPr>
                <w:rFonts w:ascii="Calibri" w:hAnsi="Calibri"/>
                <w:b w:val="0"/>
                <w:i w:val="0"/>
                <w:color w:val="212121"/>
                <w:sz w:val="19"/>
              </w:rPr>
              <w:t>Melasma occurs in 15–50% of pregnancies and persists in ~30% a decade after delivery; in Indian data 51% of patients had a history of multiple pregnancies.</w:t>
            </w:r>
          </w:p>
          <w:p>
            <w:pPr>
              <w:spacing w:after="40" w:line="252" w:lineRule="auto"/>
            </w:pPr>
            <w:hyperlink r:id="rId10">
              <w:r>
                <w:rPr>
                  <w:rFonts w:ascii="Calibri" w:hAnsi="Calibri" w:cs="Calibri"/>
                  <w:sz w:val="18"/>
                  <w:color w:val="1155CC"/>
                  <w:u w:val="single"/>
                </w:rPr>
                <w:t xml:space="preserve">ijpsjournal.com — pregnancy-associated melasma</w:t>
              </w:r>
            </w:hyperlink>
          </w:p>
          <w:p>
            <w:pPr>
              <w:spacing w:before="60" w:after="40"/>
            </w:pPr>
            <w:r>
              <w:rPr>
                <w:rFonts w:ascii="Calibri" w:hAnsi="Calibri"/>
                <w:b w:val="0"/>
                <w:i w:val="0"/>
                <w:color w:val="5A5A5A"/>
                <w:sz w:val="18"/>
              </w:rPr>
              <w:t>#pregnancy  #chloasma  #maskofpregnancy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Hormonal therapy</w:t>
            </w:r>
          </w:p>
        </w:tc>
        <w:tc>
          <w:tcPr>
            <w:tcW w:type="dxa" w:w="2160"/>
            <w:vAlign w:val="top"/>
          </w:tcPr>
          <w:p>
            <w:pPr>
              <w:spacing w:after="40" w:before="0" w:line="259" w:lineRule="auto"/>
            </w:pPr>
            <w:r>
              <w:rPr>
                <w:rFonts w:ascii="Calibri" w:hAnsi="Calibri"/>
                <w:b w:val="0"/>
                <w:i w:val="0"/>
                <w:color w:val="212121"/>
                <w:sz w:val="19"/>
              </w:rPr>
              <w:t>Oral contraceptive &amp; HRT users</w:t>
            </w:r>
          </w:p>
        </w:tc>
        <w:tc>
          <w:tcPr>
            <w:tcW w:type="dxa" w:w="4276"/>
            <w:vAlign w:val="top"/>
          </w:tcPr>
          <w:p>
            <w:pPr>
              <w:spacing w:after="60" w:line="259" w:lineRule="auto"/>
            </w:pPr>
            <w:r>
              <w:rPr>
                <w:rFonts w:ascii="Calibri" w:hAnsi="Calibri"/>
                <w:b w:val="0"/>
                <w:i w:val="0"/>
                <w:color w:val="212121"/>
                <w:sz w:val="19"/>
              </w:rPr>
              <w:t>Exogenous estrogen/progesterone from oral contraceptives or hormone replacement therapy reproduces the hormonal trigger and can precipitate or worsen melasma.</w:t>
            </w:r>
          </w:p>
          <w:p>
            <w:pPr>
              <w:spacing w:after="40" w:before="60" w:line="259" w:lineRule="auto"/>
            </w:pPr>
            <w:r>
              <w:rPr>
                <w:rFonts w:ascii="Calibri" w:hAnsi="Calibri"/>
                <w:b w:val="0"/>
                <w:i w:val="0"/>
                <w:color w:val="212121"/>
                <w:sz w:val="19"/>
              </w:rPr>
              <w:t>8.6% of women in an Indian multicentric cohort were using oral contraceptives at presentation.</w:t>
            </w:r>
          </w:p>
          <w:p>
            <w:pPr>
              <w:spacing w:after="40" w:line="252" w:lineRule="auto"/>
            </w:pPr>
            <w:hyperlink r:id="rId9">
              <w:r>
                <w:rPr>
                  <w:rFonts w:ascii="Calibri" w:hAnsi="Calibri" w:cs="Calibri"/>
                  <w:sz w:val="18"/>
                  <w:color w:val="1155CC"/>
                  <w:u w:val="single"/>
                </w:rPr>
                <w:t xml:space="preserve">link.springer.com — oral contraceptive use in melasma</w:t>
              </w:r>
            </w:hyperlink>
          </w:p>
          <w:p>
            <w:pPr>
              <w:spacing w:before="60" w:after="40"/>
            </w:pPr>
            <w:r>
              <w:rPr>
                <w:rFonts w:ascii="Calibri" w:hAnsi="Calibri"/>
                <w:b w:val="0"/>
                <w:i w:val="0"/>
                <w:color w:val="5A5A5A"/>
                <w:sz w:val="18"/>
              </w:rPr>
              <w:t>#OCP  #HRT  #estrogen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w:t>
            </w:r>
          </w:p>
        </w:tc>
        <w:tc>
          <w:tcPr>
            <w:tcW w:type="dxa" w:w="2160"/>
            <w:vAlign w:val="top"/>
          </w:tcPr>
          <w:p>
            <w:pPr>
              <w:spacing w:after="40" w:before="0" w:line="259" w:lineRule="auto"/>
            </w:pPr>
            <w:r>
              <w:rPr>
                <w:rFonts w:ascii="Calibri" w:hAnsi="Calibri"/>
                <w:b w:val="0"/>
                <w:i w:val="0"/>
                <w:color w:val="212121"/>
                <w:sz w:val="19"/>
              </w:rPr>
              <w:t>Autoimmune / abnormal thyroid</w:t>
            </w:r>
          </w:p>
        </w:tc>
        <w:tc>
          <w:tcPr>
            <w:tcW w:type="dxa" w:w="4276"/>
            <w:vAlign w:val="top"/>
          </w:tcPr>
          <w:p>
            <w:pPr>
              <w:spacing w:after="60" w:line="259" w:lineRule="auto"/>
            </w:pPr>
            <w:r>
              <w:rPr>
                <w:rFonts w:ascii="Calibri" w:hAnsi="Calibri"/>
                <w:b w:val="0"/>
                <w:i w:val="0"/>
                <w:color w:val="212121"/>
                <w:sz w:val="19"/>
              </w:rPr>
              <w:t>Autoimmune thyroid disease and thyroid hormone abnormalities are over-represented in melasma; thyroid hormones interact with sex-hormone and melanocyte pathways.</w:t>
            </w:r>
          </w:p>
          <w:p>
            <w:pPr>
              <w:spacing w:after="40" w:before="60" w:line="259" w:lineRule="auto"/>
            </w:pPr>
            <w:r>
              <w:rPr>
                <w:rFonts w:ascii="Calibri" w:hAnsi="Calibri"/>
                <w:b w:val="0"/>
                <w:i w:val="0"/>
                <w:color w:val="212121"/>
                <w:sz w:val="19"/>
              </w:rPr>
              <w:t>A meta-analysis (7 studies, 473 patients) found significantly higher TSH, anti-TPO and antithyroglobulin antibodies in melasma; ~11% of an Indian cohort had thyroid disease.</w:t>
            </w:r>
          </w:p>
          <w:p>
            <w:pPr>
              <w:spacing w:after="40" w:line="252" w:lineRule="auto"/>
            </w:pPr>
            <w:hyperlink r:id="rId14">
              <w:r>
                <w:rPr>
                  <w:rFonts w:ascii="Calibri" w:hAnsi="Calibri" w:cs="Calibri"/>
                  <w:sz w:val="18"/>
                  <w:color w:val="1155CC"/>
                  <w:u w:val="single"/>
                </w:rPr>
                <w:t xml:space="preserve">m3india.in — melasma &amp; thyroid disorders meta-analysis</w:t>
              </w:r>
            </w:hyperlink>
          </w:p>
          <w:p>
            <w:pPr>
              <w:spacing w:before="60" w:after="40"/>
            </w:pPr>
            <w:r>
              <w:rPr>
                <w:rFonts w:ascii="Calibri" w:hAnsi="Calibri"/>
                <w:b w:val="0"/>
                <w:i w:val="0"/>
                <w:color w:val="5A5A5A"/>
                <w:sz w:val="18"/>
              </w:rPr>
              <w:t>#thyroid  #antiTPO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distress</w:t>
            </w:r>
          </w:p>
        </w:tc>
        <w:tc>
          <w:tcPr>
            <w:tcW w:type="dxa" w:w="2160"/>
            <w:vAlign w:val="top"/>
          </w:tcPr>
          <w:p>
            <w:pPr>
              <w:spacing w:after="40" w:before="0" w:line="259" w:lineRule="auto"/>
            </w:pPr>
            <w:r>
              <w:rPr>
                <w:rFonts w:ascii="Calibri" w:hAnsi="Calibri"/>
                <w:b w:val="0"/>
                <w:i w:val="0"/>
                <w:color w:val="212121"/>
                <w:sz w:val="19"/>
              </w:rPr>
              <w:t>Anxiety, depression &amp; high QoL burden</w:t>
            </w:r>
          </w:p>
        </w:tc>
        <w:tc>
          <w:tcPr>
            <w:tcW w:type="dxa" w:w="4276"/>
            <w:vAlign w:val="top"/>
          </w:tcPr>
          <w:p>
            <w:pPr>
              <w:spacing w:after="60" w:line="259" w:lineRule="auto"/>
            </w:pPr>
            <w:r>
              <w:rPr>
                <w:rFonts w:ascii="Calibri" w:hAnsi="Calibri"/>
                <w:b w:val="0"/>
                <w:i w:val="0"/>
                <w:color w:val="212121"/>
                <w:sz w:val="19"/>
              </w:rPr>
              <w:t>Melasma has a bidirectional relationship with mental health — it causes marked cosmetic distress, and stress-related cortisol and hormonal changes may in turn aggravate pigment.</w:t>
            </w:r>
          </w:p>
          <w:p>
            <w:pPr>
              <w:spacing w:after="40" w:before="60" w:line="259" w:lineRule="auto"/>
            </w:pPr>
            <w:r>
              <w:rPr>
                <w:rFonts w:ascii="Calibri" w:hAnsi="Calibri"/>
                <w:b w:val="0"/>
                <w:i w:val="0"/>
                <w:color w:val="212121"/>
                <w:sz w:val="19"/>
              </w:rPr>
              <w:t>A MELASQoL meta-analysis (1,398 patients, ~92% women) confirmed a significant negative impact on quality of life, dominated by appearance concern, frustration and embarrassment.</w:t>
            </w:r>
          </w:p>
          <w:p>
            <w:pPr>
              <w:spacing w:after="40" w:line="252" w:lineRule="auto"/>
            </w:pPr>
            <w:hyperlink r:id="rId15">
              <w:r>
                <w:rPr>
                  <w:rFonts w:ascii="Calibri" w:hAnsi="Calibri" w:cs="Calibri"/>
                  <w:sz w:val="18"/>
                  <w:color w:val="1155CC"/>
                  <w:u w:val="single"/>
                </w:rPr>
                <w:t xml:space="preserve">journals.plos.org — MELASQoL meta-analysis</w:t>
              </w:r>
            </w:hyperlink>
          </w:p>
          <w:p>
            <w:pPr>
              <w:spacing w:before="60" w:after="40"/>
            </w:pPr>
            <w:r>
              <w:rPr>
                <w:rFonts w:ascii="Calibri" w:hAnsi="Calibri"/>
                <w:b w:val="0"/>
                <w:i w:val="0"/>
                <w:color w:val="5A5A5A"/>
                <w:sz w:val="18"/>
              </w:rPr>
              <w:t>#qualityoflife  #anxiety  #depression  #psychosocial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however, outdoor physical activity increases UV exposure, and general fitness and antioxidant status may modestly influence oxidative melanogenesis.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Antioxidant-rich diets and adequate vitamin D may protect against UV-induced pigmentation; lower serum vitamin D is observed in melasma, though dietary causation is unproven.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raises cortisol and other stress hormones that can indirectly aggravate melanogenesis; the evidence is limited and indirect.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Tobacco-related oxidative stress and photoaging may worsen pigmentation; the association is supportive but not firmly established.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may increase oxidative load and alter hormone metabolism; direct evidence in melasma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Bidirectional: melasma causes significant anxiety, depression and impaired quality of life, and stress hormones may in turn aggravate pigment.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skin health but has no established direct role in melasma.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melasma.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Gentle skincare helps; harsh cleansing, scrubbing and irritant or fragranced products can trigger post-inflammatory pigmentation and worsen melasma.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drivers: ultraviolet and visible (blue) light, pregnancy and exogenous hormones (OCP/HRT), photosensitising drugs and irritant cosmetics all provoke and sustain melasma.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Daily sun exposure (hours/week)</w:t>
            </w:r>
          </w:p>
        </w:tc>
        <w:tc>
          <w:tcPr>
            <w:tcW w:type="dxa" w:w="1655"/>
            <w:vAlign w:val="top"/>
          </w:tcPr>
          <w:p>
            <w:pPr>
              <w:spacing w:after="40" w:before="0" w:line="259" w:lineRule="auto"/>
            </w:pPr>
            <w:r>
              <w:rPr>
                <w:rFonts w:ascii="Calibri" w:hAnsi="Calibri"/>
                <w:b w:val="0"/>
                <w:i w:val="0"/>
                <w:color w:val="212121"/>
                <w:sz w:val="19"/>
              </w:rPr>
              <w:t>Outdoor workers, homemakers, commuters</w:t>
            </w:r>
          </w:p>
        </w:tc>
        <w:tc>
          <w:tcPr>
            <w:tcW w:type="dxa" w:w="1512"/>
            <w:vAlign w:val="top"/>
          </w:tcPr>
          <w:p>
            <w:pPr>
              <w:spacing w:after="40" w:before="0" w:line="259" w:lineRule="auto"/>
            </w:pPr>
            <w:r>
              <w:rPr>
                <w:rFonts w:ascii="Calibri" w:hAnsi="Calibri"/>
                <w:b w:val="0"/>
                <w:i w:val="0"/>
                <w:color w:val="212121"/>
                <w:sz w:val="19"/>
              </w:rPr>
              <w:t>Minimal midday (10 am–4 pm) exposure; &lt; 7 h/week</w:t>
            </w:r>
          </w:p>
        </w:tc>
        <w:tc>
          <w:tcPr>
            <w:tcW w:type="dxa" w:w="1512"/>
            <w:vAlign w:val="top"/>
          </w:tcPr>
          <w:p>
            <w:pPr>
              <w:spacing w:after="40" w:before="0" w:line="259" w:lineRule="auto"/>
            </w:pPr>
            <w:r>
              <w:rPr>
                <w:rFonts w:ascii="Calibri" w:hAnsi="Calibri"/>
                <w:b w:val="0"/>
                <w:i w:val="0"/>
                <w:color w:val="212121"/>
                <w:sz w:val="19"/>
              </w:rPr>
              <w:t>Heavy cumulative exposure (&gt; 35 h/week)</w:t>
            </w:r>
          </w:p>
        </w:tc>
        <w:tc>
          <w:tcPr>
            <w:tcW w:type="dxa" w:w="1468"/>
            <w:vAlign w:val="top"/>
          </w:tcPr>
          <w:p>
            <w:pPr>
              <w:spacing w:after="60" w:line="259" w:lineRule="auto"/>
            </w:pPr>
            <w:r>
              <w:rPr>
                <w:rFonts w:ascii="Calibri" w:hAnsi="Calibri"/>
                <w:b w:val="0"/>
                <w:i w:val="0"/>
                <w:color w:val="212121"/>
                <w:sz w:val="19"/>
              </w:rPr>
              <w:t>Sun exposure is the dominant modifiable driver</w:t>
            </w:r>
          </w:p>
          <w:p>
            <w:pPr>
              <w:spacing w:after="40" w:line="252" w:lineRule="auto"/>
            </w:pPr>
            <w:hyperlink r:id="rId9">
              <w:r>
                <w:rPr>
                  <w:rFonts w:ascii="Calibri" w:hAnsi="Calibri" w:cs="Calibri"/>
                  <w:sz w:val="18"/>
                  <w:color w:val="1155CC"/>
                  <w:u w:val="single"/>
                </w:rPr>
                <w:t xml:space="preserve">https://link.springer.com/article/10.1007/s13555-014-0046-1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Sunscreen use (broad-spectrum SPF)</w:t>
            </w:r>
          </w:p>
        </w:tc>
        <w:tc>
          <w:tcPr>
            <w:tcW w:type="dxa" w:w="1655"/>
            <w:vAlign w:val="top"/>
          </w:tcPr>
          <w:p>
            <w:pPr>
              <w:spacing w:after="40" w:before="0" w:line="259" w:lineRule="auto"/>
            </w:pPr>
            <w:r>
              <w:rPr>
                <w:rFonts w:ascii="Calibri" w:hAnsi="Calibri"/>
                <w:b w:val="0"/>
                <w:i w:val="0"/>
                <w:color w:val="212121"/>
                <w:sz w:val="19"/>
              </w:rPr>
              <w:t>All melasma patients</w:t>
            </w:r>
          </w:p>
        </w:tc>
        <w:tc>
          <w:tcPr>
            <w:tcW w:type="dxa" w:w="1512"/>
            <w:vAlign w:val="top"/>
          </w:tcPr>
          <w:p>
            <w:pPr>
              <w:spacing w:after="40" w:before="0" w:line="259" w:lineRule="auto"/>
            </w:pPr>
            <w:r>
              <w:rPr>
                <w:rFonts w:ascii="Calibri" w:hAnsi="Calibri"/>
                <w:b w:val="0"/>
                <w:i w:val="0"/>
                <w:color w:val="212121"/>
                <w:sz w:val="19"/>
              </w:rPr>
              <w:t>Daily broad-spectrum SPF ≥ 30, tinted/iron-oxide, reapplied</w:t>
            </w:r>
          </w:p>
        </w:tc>
        <w:tc>
          <w:tcPr>
            <w:tcW w:type="dxa" w:w="1512"/>
            <w:vAlign w:val="top"/>
          </w:tcPr>
          <w:p>
            <w:pPr>
              <w:spacing w:after="40" w:before="0" w:line="259" w:lineRule="auto"/>
            </w:pPr>
            <w:r>
              <w:rPr>
                <w:rFonts w:ascii="Calibri" w:hAnsi="Calibri"/>
                <w:b w:val="0"/>
                <w:i w:val="0"/>
                <w:color w:val="212121"/>
                <w:sz w:val="19"/>
              </w:rPr>
              <w:t>No or irregular sunscreen; SPF &lt; 30</w:t>
            </w:r>
          </w:p>
        </w:tc>
        <w:tc>
          <w:tcPr>
            <w:tcW w:type="dxa" w:w="1468"/>
            <w:vAlign w:val="top"/>
          </w:tcPr>
          <w:p>
            <w:pPr>
              <w:spacing w:after="60" w:line="259" w:lineRule="auto"/>
            </w:pPr>
            <w:r>
              <w:rPr>
                <w:rFonts w:ascii="Calibri" w:hAnsi="Calibri"/>
                <w:b w:val="0"/>
                <w:i w:val="0"/>
                <w:color w:val="212121"/>
                <w:sz w:val="19"/>
              </w:rPr>
              <w:t>Only ~35% of Indian patients use sunscreen</w:t>
            </w:r>
          </w:p>
          <w:p>
            <w:pPr>
              <w:spacing w:after="40" w:line="252" w:lineRule="auto"/>
            </w:pPr>
            <w:hyperlink r:id="rId9">
              <w:r>
                <w:rPr>
                  <w:rFonts w:ascii="Calibri" w:hAnsi="Calibri" w:cs="Calibri"/>
                  <w:sz w:val="18"/>
                  <w:color w:val="1155CC"/>
                  <w:u w:val="single"/>
                </w:rPr>
                <w:t xml:space="preserve">https://link.springer.com/article/10.1007/s13555-014-0046-1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Fitzpatrick skin phototype</w:t>
            </w:r>
          </w:p>
        </w:tc>
        <w:tc>
          <w:tcPr>
            <w:tcW w:type="dxa" w:w="1655"/>
            <w:vAlign w:val="top"/>
          </w:tcPr>
          <w:p>
            <w:pPr>
              <w:spacing w:after="40" w:before="0" w:line="259" w:lineRule="auto"/>
            </w:pPr>
            <w:r>
              <w:rPr>
                <w:rFonts w:ascii="Calibri" w:hAnsi="Calibri"/>
                <w:b w:val="0"/>
                <w:i w:val="0"/>
                <w:color w:val="212121"/>
                <w:sz w:val="19"/>
              </w:rPr>
              <w:t>Indian adults</w:t>
            </w:r>
          </w:p>
        </w:tc>
        <w:tc>
          <w:tcPr>
            <w:tcW w:type="dxa" w:w="1512"/>
            <w:vAlign w:val="top"/>
          </w:tcPr>
          <w:p>
            <w:pPr>
              <w:spacing w:after="40" w:before="0" w:line="259" w:lineRule="auto"/>
            </w:pPr>
            <w:r>
              <w:rPr>
                <w:rFonts w:ascii="Calibri" w:hAnsi="Calibri"/>
                <w:b w:val="0"/>
                <w:i w:val="0"/>
                <w:color w:val="212121"/>
                <w:sz w:val="19"/>
              </w:rPr>
              <w:t>Types I–II (lower risk)</w:t>
            </w:r>
          </w:p>
        </w:tc>
        <w:tc>
          <w:tcPr>
            <w:tcW w:type="dxa" w:w="1512"/>
            <w:vAlign w:val="top"/>
          </w:tcPr>
          <w:p>
            <w:pPr>
              <w:spacing w:after="40" w:before="0" w:line="259" w:lineRule="auto"/>
            </w:pPr>
            <w:r>
              <w:rPr>
                <w:rFonts w:ascii="Calibri" w:hAnsi="Calibri"/>
                <w:b w:val="0"/>
                <w:i w:val="0"/>
                <w:color w:val="212121"/>
                <w:sz w:val="19"/>
              </w:rPr>
              <w:t>Types III–V (more reactive melanocytes)</w:t>
            </w:r>
          </w:p>
        </w:tc>
        <w:tc>
          <w:tcPr>
            <w:tcW w:type="dxa" w:w="1468"/>
            <w:vAlign w:val="top"/>
          </w:tcPr>
          <w:p>
            <w:pPr>
              <w:spacing w:after="60" w:line="259" w:lineRule="auto"/>
            </w:pPr>
            <w:r>
              <w:rPr>
                <w:rFonts w:ascii="Calibri" w:hAnsi="Calibri"/>
                <w:b w:val="0"/>
                <w:i w:val="0"/>
                <w:color w:val="212121"/>
                <w:sz w:val="19"/>
              </w:rPr>
              <w:t>Type IV is the commonest affected phototype</w:t>
            </w:r>
          </w:p>
          <w:p>
            <w:pPr>
              <w:spacing w:after="40" w:line="252" w:lineRule="auto"/>
            </w:pPr>
            <w:hyperlink r:id="rId11">
              <w:r>
                <w:rPr>
                  <w:rFonts w:ascii="Calibri" w:hAnsi="Calibri" w:cs="Calibri"/>
                  <w:sz w:val="18"/>
                  <w:color w:val="1155CC"/>
                  <w:u w:val="single"/>
                </w:rPr>
                <w:t xml:space="preserve">https://www.ijss-sn.com/uploads/2/0/1/5/20153321/06_ijss_jan_24_oa02_-_2024.pdf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Hormonal exposure (OCP/HRT/pregnancy)</w:t>
            </w:r>
          </w:p>
        </w:tc>
        <w:tc>
          <w:tcPr>
            <w:tcW w:type="dxa" w:w="1655"/>
            <w:vAlign w:val="top"/>
          </w:tcPr>
          <w:p>
            <w:pPr>
              <w:spacing w:after="40" w:before="0" w:line="259" w:lineRule="auto"/>
            </w:pPr>
            <w:r>
              <w:rPr>
                <w:rFonts w:ascii="Calibri" w:hAnsi="Calibri"/>
                <w:b w:val="0"/>
                <w:i w:val="0"/>
                <w:color w:val="212121"/>
                <w:sz w:val="19"/>
              </w:rPr>
              <w:t>Women of reproductive age</w:t>
            </w:r>
          </w:p>
        </w:tc>
        <w:tc>
          <w:tcPr>
            <w:tcW w:type="dxa" w:w="1512"/>
            <w:vAlign w:val="top"/>
          </w:tcPr>
          <w:p>
            <w:pPr>
              <w:spacing w:after="40" w:before="0" w:line="259" w:lineRule="auto"/>
            </w:pPr>
            <w:r>
              <w:rPr>
                <w:rFonts w:ascii="Calibri" w:hAnsi="Calibri"/>
                <w:b w:val="0"/>
                <w:i w:val="0"/>
                <w:color w:val="212121"/>
                <w:sz w:val="19"/>
              </w:rPr>
              <w:t>Avoid unnecessary exogenous estrogen</w:t>
            </w:r>
          </w:p>
        </w:tc>
        <w:tc>
          <w:tcPr>
            <w:tcW w:type="dxa" w:w="1512"/>
            <w:vAlign w:val="top"/>
          </w:tcPr>
          <w:p>
            <w:pPr>
              <w:spacing w:after="40" w:before="0" w:line="259" w:lineRule="auto"/>
            </w:pPr>
            <w:r>
              <w:rPr>
                <w:rFonts w:ascii="Calibri" w:hAnsi="Calibri"/>
                <w:b w:val="0"/>
                <w:i w:val="0"/>
                <w:color w:val="212121"/>
                <w:sz w:val="19"/>
              </w:rPr>
              <w:t>OCP/HRT use; multiple pregnancies</w:t>
            </w:r>
          </w:p>
        </w:tc>
        <w:tc>
          <w:tcPr>
            <w:tcW w:type="dxa" w:w="1468"/>
            <w:vAlign w:val="top"/>
          </w:tcPr>
          <w:p>
            <w:pPr>
              <w:spacing w:after="60" w:line="259" w:lineRule="auto"/>
            </w:pPr>
            <w:r>
              <w:rPr>
                <w:rFonts w:ascii="Calibri" w:hAnsi="Calibri"/>
                <w:b w:val="0"/>
                <w:i w:val="0"/>
                <w:color w:val="212121"/>
                <w:sz w:val="19"/>
              </w:rPr>
              <w:t>Consider non-hormonal contraception if melasma began with OCPs</w:t>
            </w:r>
          </w:p>
          <w:p>
            <w:pPr>
              <w:spacing w:after="40" w:line="252" w:lineRule="auto"/>
            </w:pPr>
            <w:hyperlink r:id="rId9">
              <w:r>
                <w:rPr>
                  <w:rFonts w:ascii="Calibri" w:hAnsi="Calibri" w:cs="Calibri"/>
                  <w:sz w:val="18"/>
                  <w:color w:val="1155CC"/>
                  <w:u w:val="single"/>
                </w:rPr>
                <w:t xml:space="preserve">https://link.springer.com/article/10.1007/s13555-014-0046-1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Pigment depth (Wood’s lamp)</w:t>
            </w:r>
          </w:p>
        </w:tc>
        <w:tc>
          <w:tcPr>
            <w:tcW w:type="dxa" w:w="1655"/>
            <w:vAlign w:val="top"/>
          </w:tcPr>
          <w:p>
            <w:pPr>
              <w:spacing w:after="40" w:before="0" w:line="259" w:lineRule="auto"/>
            </w:pPr>
            <w:r>
              <w:rPr>
                <w:rFonts w:ascii="Calibri" w:hAnsi="Calibri"/>
                <w:b w:val="0"/>
                <w:i w:val="0"/>
                <w:color w:val="212121"/>
                <w:sz w:val="19"/>
              </w:rPr>
              <w:t>All melasma patients</w:t>
            </w:r>
          </w:p>
        </w:tc>
        <w:tc>
          <w:tcPr>
            <w:tcW w:type="dxa" w:w="1512"/>
            <w:vAlign w:val="top"/>
          </w:tcPr>
          <w:p>
            <w:pPr>
              <w:spacing w:after="40" w:before="0" w:line="259" w:lineRule="auto"/>
            </w:pPr>
            <w:r>
              <w:rPr>
                <w:rFonts w:ascii="Calibri" w:hAnsi="Calibri"/>
                <w:b w:val="0"/>
                <w:i w:val="0"/>
                <w:color w:val="212121"/>
                <w:sz w:val="19"/>
              </w:rPr>
              <w:t>Epidermal (accentuated) — best response</w:t>
            </w:r>
          </w:p>
        </w:tc>
        <w:tc>
          <w:tcPr>
            <w:tcW w:type="dxa" w:w="1512"/>
            <w:vAlign w:val="top"/>
          </w:tcPr>
          <w:p>
            <w:pPr>
              <w:spacing w:after="40" w:before="0" w:line="259" w:lineRule="auto"/>
            </w:pPr>
            <w:r>
              <w:rPr>
                <w:rFonts w:ascii="Calibri" w:hAnsi="Calibri"/>
                <w:b w:val="0"/>
                <w:i w:val="0"/>
                <w:color w:val="212121"/>
                <w:sz w:val="19"/>
              </w:rPr>
              <w:t>Dermal / mixed — poorer response</w:t>
            </w:r>
          </w:p>
        </w:tc>
        <w:tc>
          <w:tcPr>
            <w:tcW w:type="dxa" w:w="1468"/>
            <w:vAlign w:val="top"/>
          </w:tcPr>
          <w:p>
            <w:pPr>
              <w:spacing w:after="60" w:line="259" w:lineRule="auto"/>
            </w:pPr>
            <w:r>
              <w:rPr>
                <w:rFonts w:ascii="Calibri" w:hAnsi="Calibri"/>
                <w:b w:val="0"/>
                <w:i w:val="0"/>
                <w:color w:val="212121"/>
                <w:sz w:val="19"/>
              </w:rPr>
              <w:t>Determines prognosis and treatment choice</w:t>
            </w:r>
          </w:p>
          <w:p>
            <w:pPr>
              <w:spacing w:after="40" w:line="252" w:lineRule="auto"/>
            </w:pPr>
            <w:hyperlink r:id="rId12">
              <w:r>
                <w:rPr>
                  <w:rFonts w:ascii="Calibri" w:hAnsi="Calibri" w:cs="Calibri"/>
                  <w:sz w:val="18"/>
                  <w:color w:val="1155CC"/>
                  <w:u w:val="single"/>
                </w:rPr>
                <w:t xml:space="preserve">https://academicmed.org/Uploads/Volume6Issue6/164.%20%5B3014.%20JAMP_Ramanpal_Back%5D%20868-871.pdf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MASI / modified MASI score</w:t>
            </w:r>
          </w:p>
        </w:tc>
        <w:tc>
          <w:tcPr>
            <w:tcW w:type="dxa" w:w="1655"/>
            <w:vAlign w:val="top"/>
          </w:tcPr>
          <w:p>
            <w:pPr>
              <w:spacing w:after="40" w:before="0" w:line="259" w:lineRule="auto"/>
            </w:pPr>
            <w:r>
              <w:rPr>
                <w:rFonts w:ascii="Calibri" w:hAnsi="Calibri"/>
                <w:b w:val="0"/>
                <w:i w:val="0"/>
                <w:color w:val="212121"/>
                <w:sz w:val="19"/>
              </w:rPr>
              <w:t>Melasma under treatment</w:t>
            </w:r>
          </w:p>
        </w:tc>
        <w:tc>
          <w:tcPr>
            <w:tcW w:type="dxa" w:w="1512"/>
            <w:vAlign w:val="top"/>
          </w:tcPr>
          <w:p>
            <w:pPr>
              <w:spacing w:after="40" w:before="0" w:line="259" w:lineRule="auto"/>
            </w:pPr>
            <w:r>
              <w:rPr>
                <w:rFonts w:ascii="Calibri" w:hAnsi="Calibri"/>
                <w:b w:val="0"/>
                <w:i w:val="0"/>
                <w:color w:val="212121"/>
                <w:sz w:val="19"/>
              </w:rPr>
              <w:t>0 (clear skin)</w:t>
            </w:r>
          </w:p>
        </w:tc>
        <w:tc>
          <w:tcPr>
            <w:tcW w:type="dxa" w:w="1512"/>
            <w:vAlign w:val="top"/>
          </w:tcPr>
          <w:p>
            <w:pPr>
              <w:spacing w:after="40" w:before="0" w:line="259" w:lineRule="auto"/>
            </w:pPr>
            <w:r>
              <w:rPr>
                <w:rFonts w:ascii="Calibri" w:hAnsi="Calibri"/>
                <w:b w:val="0"/>
                <w:i w:val="0"/>
                <w:color w:val="212121"/>
                <w:sz w:val="19"/>
              </w:rPr>
              <w:t>Higher score = greater area/darkness (0–48)</w:t>
            </w:r>
          </w:p>
        </w:tc>
        <w:tc>
          <w:tcPr>
            <w:tcW w:type="dxa" w:w="1468"/>
            <w:vAlign w:val="top"/>
          </w:tcPr>
          <w:p>
            <w:pPr>
              <w:spacing w:after="60" w:line="259" w:lineRule="auto"/>
            </w:pPr>
            <w:r>
              <w:rPr>
                <w:rFonts w:ascii="Calibri" w:hAnsi="Calibri"/>
                <w:b w:val="0"/>
                <w:i w:val="0"/>
                <w:color w:val="212121"/>
                <w:sz w:val="19"/>
              </w:rPr>
              <w:t>Objective severity grading for monitoring</w:t>
            </w:r>
          </w:p>
          <w:p>
            <w:pPr>
              <w:spacing w:after="40" w:line="252" w:lineRule="auto"/>
            </w:pPr>
            <w:hyperlink r:id="rId16">
              <w:r>
                <w:rPr>
                  <w:rFonts w:ascii="Calibri" w:hAnsi="Calibri" w:cs="Calibri"/>
                  <w:sz w:val="18"/>
                  <w:color w:val="1155CC"/>
                  <w:u w:val="single"/>
                </w:rPr>
                <w:t xml:space="preserve">https://ijnrd.org/papers/IJNRD2512271.pdf</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Melasma patients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Lower vitamin D associated with melasma</w:t>
            </w:r>
          </w:p>
          <w:p>
            <w:pPr>
              <w:spacing w:after="40" w:line="252" w:lineRule="auto"/>
            </w:pPr>
            <w:hyperlink r:id="rId13">
              <w:r>
                <w:rPr>
                  <w:rFonts w:ascii="Calibri" w:hAnsi="Calibri" w:cs="Calibri"/>
                  <w:sz w:val="18"/>
                  <w:color w:val="1155CC"/>
                  <w:u w:val="single"/>
                </w:rPr>
                <w:t xml:space="preserve">https://skin.dermsquared.com/skin/article/view/1776</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MELASQoL quality-of-life score</w:t>
            </w:r>
          </w:p>
        </w:tc>
        <w:tc>
          <w:tcPr>
            <w:tcW w:type="dxa" w:w="1655"/>
            <w:vAlign w:val="top"/>
          </w:tcPr>
          <w:p>
            <w:pPr>
              <w:spacing w:after="40" w:before="0" w:line="259" w:lineRule="auto"/>
            </w:pPr>
            <w:r>
              <w:rPr>
                <w:rFonts w:ascii="Calibri" w:hAnsi="Calibri"/>
                <w:b w:val="0"/>
                <w:i w:val="0"/>
                <w:color w:val="212121"/>
                <w:sz w:val="19"/>
              </w:rPr>
              <w:t>Melasma patients (mostly women)</w:t>
            </w:r>
          </w:p>
        </w:tc>
        <w:tc>
          <w:tcPr>
            <w:tcW w:type="dxa" w:w="1512"/>
            <w:vAlign w:val="top"/>
          </w:tcPr>
          <w:p>
            <w:pPr>
              <w:spacing w:after="40" w:before="0" w:line="259" w:lineRule="auto"/>
            </w:pPr>
            <w:r>
              <w:rPr>
                <w:rFonts w:ascii="Calibri" w:hAnsi="Calibri"/>
                <w:b w:val="0"/>
                <w:i w:val="0"/>
                <w:color w:val="212121"/>
                <w:sz w:val="19"/>
              </w:rPr>
              <w:t>Low score (minimal impact)</w:t>
            </w:r>
          </w:p>
        </w:tc>
        <w:tc>
          <w:tcPr>
            <w:tcW w:type="dxa" w:w="1512"/>
            <w:vAlign w:val="top"/>
          </w:tcPr>
          <w:p>
            <w:pPr>
              <w:spacing w:after="40" w:before="0" w:line="259" w:lineRule="auto"/>
            </w:pPr>
            <w:r>
              <w:rPr>
                <w:rFonts w:ascii="Calibri" w:hAnsi="Calibri"/>
                <w:b w:val="0"/>
                <w:i w:val="0"/>
                <w:color w:val="212121"/>
                <w:sz w:val="19"/>
              </w:rPr>
              <w:t>High score = poor quality of life</w:t>
            </w:r>
          </w:p>
        </w:tc>
        <w:tc>
          <w:tcPr>
            <w:tcW w:type="dxa" w:w="1468"/>
            <w:vAlign w:val="top"/>
          </w:tcPr>
          <w:p>
            <w:pPr>
              <w:spacing w:after="60" w:line="259" w:lineRule="auto"/>
            </w:pPr>
            <w:r>
              <w:rPr>
                <w:rFonts w:ascii="Calibri" w:hAnsi="Calibri"/>
                <w:b w:val="0"/>
                <w:i w:val="0"/>
                <w:color w:val="212121"/>
                <w:sz w:val="19"/>
              </w:rPr>
              <w:t>Appearance concern is the dominant burden</w:t>
            </w:r>
          </w:p>
          <w:p>
            <w:pPr>
              <w:spacing w:after="40" w:line="252" w:lineRule="auto"/>
            </w:pPr>
            <w:hyperlink r:id="rId15">
              <w:r>
                <w:rPr>
                  <w:rFonts w:ascii="Calibri" w:hAnsi="Calibri" w:cs="Calibri"/>
                  <w:sz w:val="18"/>
                  <w:color w:val="1155CC"/>
                  <w:u w:val="single"/>
                </w:rPr>
                <w:t xml:space="preserve">https://journals.plos.org/plosone/article?id=10.1371/journal.pone.0262833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Pigment depth (epidermal/dermal/mixed)</w:t>
            </w:r>
          </w:p>
        </w:tc>
        <w:tc>
          <w:tcPr>
            <w:tcW w:type="dxa" w:w="892"/>
            <w:vAlign w:val="top"/>
          </w:tcPr>
          <w:p>
            <w:pPr>
              <w:spacing w:after="40" w:before="0" w:line="259" w:lineRule="auto"/>
            </w:pPr>
            <w:r>
              <w:rPr>
                <w:rFonts w:ascii="Calibri" w:hAnsi="Calibri"/>
                <w:b w:val="0"/>
                <w:i w:val="0"/>
                <w:color w:val="212121"/>
                <w:sz w:val="16"/>
              </w:rPr>
              <w:t>Wood’s lamp examination (365 nm)</w:t>
            </w:r>
          </w:p>
        </w:tc>
        <w:tc>
          <w:tcPr>
            <w:tcW w:type="dxa" w:w="950"/>
            <w:vAlign w:val="top"/>
          </w:tcPr>
          <w:p>
            <w:pPr>
              <w:spacing w:after="40" w:before="0" w:line="259" w:lineRule="auto"/>
            </w:pPr>
            <w:r>
              <w:rPr>
                <w:rFonts w:ascii="Calibri" w:hAnsi="Calibri"/>
                <w:b w:val="0"/>
                <w:i w:val="0"/>
                <w:color w:val="212121"/>
                <w:sz w:val="16"/>
              </w:rPr>
              <w:t>Uniform, no accentuation</w:t>
            </w:r>
          </w:p>
        </w:tc>
        <w:tc>
          <w:tcPr>
            <w:tcW w:type="dxa" w:w="950"/>
            <w:vAlign w:val="top"/>
          </w:tcPr>
          <w:p>
            <w:pPr>
              <w:spacing w:after="40" w:before="0" w:line="259" w:lineRule="auto"/>
            </w:pPr>
            <w:r>
              <w:rPr>
                <w:rFonts w:ascii="Calibri" w:hAnsi="Calibri"/>
                <w:b w:val="0"/>
                <w:i w:val="0"/>
                <w:color w:val="212121"/>
                <w:sz w:val="16"/>
              </w:rPr>
              <w:t>Epidermal type accentuated; dermal not; mixed shows both</w:t>
            </w:r>
          </w:p>
        </w:tc>
        <w:tc>
          <w:tcPr>
            <w:tcW w:type="dxa" w:w="1036"/>
            <w:vAlign w:val="top"/>
          </w:tcPr>
          <w:p>
            <w:pPr>
              <w:spacing w:after="40" w:before="0" w:line="259" w:lineRule="auto"/>
            </w:pPr>
            <w:r>
              <w:rPr>
                <w:rFonts w:ascii="Calibri" w:hAnsi="Calibri"/>
                <w:b w:val="0"/>
                <w:i w:val="0"/>
                <w:color w:val="212121"/>
                <w:sz w:val="16"/>
              </w:rPr>
              <w:t>Classifies pigment depth; epidermal responds best, dermal poorly</w:t>
            </w:r>
          </w:p>
        </w:tc>
        <w:tc>
          <w:tcPr>
            <w:tcW w:type="dxa" w:w="1036"/>
            <w:vAlign w:val="top"/>
          </w:tcPr>
          <w:p>
            <w:pPr>
              <w:spacing w:after="40" w:before="0" w:line="259" w:lineRule="auto"/>
            </w:pPr>
            <w:r>
              <w:rPr>
                <w:rFonts w:ascii="Calibri" w:hAnsi="Calibri"/>
                <w:b w:val="0"/>
                <w:i w:val="0"/>
                <w:color w:val="212121"/>
                <w:sz w:val="16"/>
              </w:rPr>
              <w:t>All melasma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Sensitivity limited (~46%); less useful in very dark skin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Pigment network &amp; vascularity</w:t>
            </w:r>
          </w:p>
        </w:tc>
        <w:tc>
          <w:tcPr>
            <w:tcW w:type="dxa" w:w="892"/>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Regular pigment network</w:t>
            </w:r>
          </w:p>
        </w:tc>
        <w:tc>
          <w:tcPr>
            <w:tcW w:type="dxa" w:w="950"/>
            <w:vAlign w:val="top"/>
          </w:tcPr>
          <w:p>
            <w:pPr>
              <w:spacing w:after="40" w:before="0" w:line="259" w:lineRule="auto"/>
            </w:pPr>
            <w:r>
              <w:rPr>
                <w:rFonts w:ascii="Calibri" w:hAnsi="Calibri"/>
                <w:b w:val="0"/>
                <w:i w:val="0"/>
                <w:color w:val="212121"/>
                <w:sz w:val="16"/>
              </w:rPr>
              <w:t>Pseudo-reticular network, perifollicular sparing, telangiectasia</w:t>
            </w:r>
          </w:p>
        </w:tc>
        <w:tc>
          <w:tcPr>
            <w:tcW w:type="dxa" w:w="1036"/>
            <w:vAlign w:val="top"/>
          </w:tcPr>
          <w:p>
            <w:pPr>
              <w:spacing w:after="40" w:before="0" w:line="259" w:lineRule="auto"/>
            </w:pPr>
            <w:r>
              <w:rPr>
                <w:rFonts w:ascii="Calibri" w:hAnsi="Calibri"/>
                <w:b w:val="0"/>
                <w:i w:val="0"/>
                <w:color w:val="212121"/>
                <w:sz w:val="16"/>
              </w:rPr>
              <w:t>Superior to Wood’s lamp for subtyping and monitoring response</w:t>
            </w:r>
          </w:p>
        </w:tc>
        <w:tc>
          <w:tcPr>
            <w:tcW w:type="dxa" w:w="1036"/>
            <w:vAlign w:val="top"/>
          </w:tcPr>
          <w:p>
            <w:pPr>
              <w:spacing w:after="40" w:before="0" w:line="259" w:lineRule="auto"/>
            </w:pPr>
            <w:r>
              <w:rPr>
                <w:rFonts w:ascii="Calibri" w:hAnsi="Calibri"/>
                <w:b w:val="0"/>
                <w:i w:val="0"/>
                <w:color w:val="212121"/>
                <w:sz w:val="16"/>
              </w:rPr>
              <w:t>Diagnosed or refractory melasma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prominent vascular component predicts relapse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free T4, anti-TPO antibodies</w:t>
            </w:r>
          </w:p>
        </w:tc>
        <w:tc>
          <w:tcPr>
            <w:tcW w:type="dxa" w:w="892"/>
            <w:vAlign w:val="top"/>
          </w:tcPr>
          <w:p>
            <w:pPr>
              <w:spacing w:after="40" w:before="0" w:line="259" w:lineRule="auto"/>
            </w:pPr>
            <w:r>
              <w:rPr>
                <w:rFonts w:ascii="Calibri" w:hAnsi="Calibri"/>
                <w:b w:val="0"/>
                <w:i w:val="0"/>
                <w:color w:val="212121"/>
                <w:sz w:val="16"/>
              </w:rPr>
              <w:t>Thyroid function &amp; autoantibodies</w:t>
            </w:r>
          </w:p>
        </w:tc>
        <w:tc>
          <w:tcPr>
            <w:tcW w:type="dxa" w:w="950"/>
            <w:vAlign w:val="top"/>
          </w:tcPr>
          <w:p>
            <w:pPr>
              <w:spacing w:after="40" w:before="0" w:line="259" w:lineRule="auto"/>
            </w:pPr>
            <w:r>
              <w:rPr>
                <w:rFonts w:ascii="Calibri" w:hAnsi="Calibri"/>
                <w:b w:val="0"/>
                <w:i w:val="0"/>
                <w:color w:val="212121"/>
                <w:sz w:val="16"/>
              </w:rPr>
              <w:t>TSH 0.4–4.0 mIU/L; anti-TPO negative</w:t>
            </w:r>
          </w:p>
        </w:tc>
        <w:tc>
          <w:tcPr>
            <w:tcW w:type="dxa" w:w="950"/>
            <w:vAlign w:val="top"/>
          </w:tcPr>
          <w:p>
            <w:pPr>
              <w:spacing w:after="40" w:before="0" w:line="259" w:lineRule="auto"/>
            </w:pPr>
            <w:r>
              <w:rPr>
                <w:rFonts w:ascii="Calibri" w:hAnsi="Calibri"/>
                <w:b w:val="0"/>
                <w:i w:val="0"/>
                <w:color w:val="212121"/>
                <w:sz w:val="16"/>
              </w:rPr>
              <w:t>Elevated TSH and/or positive anti-TPO</w:t>
            </w:r>
          </w:p>
        </w:tc>
        <w:tc>
          <w:tcPr>
            <w:tcW w:type="dxa" w:w="1036"/>
            <w:vAlign w:val="top"/>
          </w:tcPr>
          <w:p>
            <w:pPr>
              <w:spacing w:after="40" w:before="0" w:line="259" w:lineRule="auto"/>
            </w:pPr>
            <w:r>
              <w:rPr>
                <w:rFonts w:ascii="Calibri" w:hAnsi="Calibri"/>
                <w:b w:val="0"/>
                <w:i w:val="0"/>
                <w:color w:val="212121"/>
                <w:sz w:val="16"/>
              </w:rPr>
              <w:t>Screens for over-represented autoimmune thyroid disease</w:t>
            </w:r>
          </w:p>
        </w:tc>
        <w:tc>
          <w:tcPr>
            <w:tcW w:type="dxa" w:w="1036"/>
            <w:vAlign w:val="top"/>
          </w:tcPr>
          <w:p>
            <w:pPr>
              <w:spacing w:after="40" w:before="0" w:line="259" w:lineRule="auto"/>
            </w:pPr>
            <w:r>
              <w:rPr>
                <w:rFonts w:ascii="Calibri" w:hAnsi="Calibri"/>
                <w:b w:val="0"/>
                <w:i w:val="0"/>
                <w:color w:val="212121"/>
                <w:sz w:val="16"/>
              </w:rPr>
              <w:t>Women, refractory melasma, personal/family thyroid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Meta-analysis shows elevated TSH/anti-TPO in melasma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Lower vitamin D observed in melasma vs controls; correct deficiency</w:t>
            </w:r>
          </w:p>
        </w:tc>
        <w:tc>
          <w:tcPr>
            <w:tcW w:type="dxa" w:w="1036"/>
            <w:vAlign w:val="top"/>
          </w:tcPr>
          <w:p>
            <w:pPr>
              <w:spacing w:after="40" w:before="0" w:line="259" w:lineRule="auto"/>
            </w:pPr>
            <w:r>
              <w:rPr>
                <w:rFonts w:ascii="Calibri" w:hAnsi="Calibri"/>
                <w:b w:val="0"/>
                <w:i w:val="0"/>
                <w:color w:val="212121"/>
                <w:sz w:val="16"/>
              </w:rPr>
              <w:t>Melasma patients, veiled or low-sun-exposure individuals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Association, not a proven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Estradiol, progesterone, LH/FSH, prolactin</w:t>
            </w:r>
          </w:p>
        </w:tc>
        <w:tc>
          <w:tcPr>
            <w:tcW w:type="dxa" w:w="892"/>
            <w:vAlign w:val="top"/>
          </w:tcPr>
          <w:p>
            <w:pPr>
              <w:spacing w:after="40" w:before="0" w:line="259" w:lineRule="auto"/>
            </w:pPr>
            <w:r>
              <w:rPr>
                <w:rFonts w:ascii="Calibri" w:hAnsi="Calibri"/>
                <w:b w:val="0"/>
                <w:i w:val="0"/>
                <w:color w:val="212121"/>
                <w:sz w:val="16"/>
              </w:rPr>
              <w:t>Hormonal assay</w:t>
            </w:r>
          </w:p>
        </w:tc>
        <w:tc>
          <w:tcPr>
            <w:tcW w:type="dxa" w:w="950"/>
            <w:vAlign w:val="top"/>
          </w:tcPr>
          <w:p>
            <w:pPr>
              <w:spacing w:after="40" w:before="0" w:line="259" w:lineRule="auto"/>
            </w:pPr>
            <w:r>
              <w:rPr>
                <w:rFonts w:ascii="Calibri" w:hAnsi="Calibri"/>
                <w:b w:val="0"/>
                <w:i w:val="0"/>
                <w:color w:val="212121"/>
                <w:sz w:val="16"/>
              </w:rPr>
              <w:t>Age- and cycle-appropriate</w:t>
            </w:r>
          </w:p>
        </w:tc>
        <w:tc>
          <w:tcPr>
            <w:tcW w:type="dxa" w:w="950"/>
            <w:vAlign w:val="top"/>
          </w:tcPr>
          <w:p>
            <w:pPr>
              <w:spacing w:after="40" w:before="0" w:line="259" w:lineRule="auto"/>
            </w:pPr>
            <w:r>
              <w:rPr>
                <w:rFonts w:ascii="Calibri" w:hAnsi="Calibri"/>
                <w:b w:val="0"/>
                <w:i w:val="0"/>
                <w:color w:val="212121"/>
                <w:sz w:val="16"/>
              </w:rPr>
              <w:t>Deranged in relevant endocrine disorders</w:t>
            </w:r>
          </w:p>
        </w:tc>
        <w:tc>
          <w:tcPr>
            <w:tcW w:type="dxa" w:w="1036"/>
            <w:vAlign w:val="top"/>
          </w:tcPr>
          <w:p>
            <w:pPr>
              <w:spacing w:after="40" w:before="0" w:line="259" w:lineRule="auto"/>
            </w:pPr>
            <w:r>
              <w:rPr>
                <w:rFonts w:ascii="Calibri" w:hAnsi="Calibri"/>
                <w:b w:val="0"/>
                <w:i w:val="0"/>
                <w:color w:val="212121"/>
                <w:sz w:val="16"/>
              </w:rPr>
              <w:t>Reserved for atypical/refractory cases or suspected endocrinopathy</w:t>
            </w:r>
          </w:p>
        </w:tc>
        <w:tc>
          <w:tcPr>
            <w:tcW w:type="dxa" w:w="1036"/>
            <w:vAlign w:val="top"/>
          </w:tcPr>
          <w:p>
            <w:pPr>
              <w:spacing w:after="40" w:before="0" w:line="259" w:lineRule="auto"/>
            </w:pPr>
            <w:r>
              <w:rPr>
                <w:rFonts w:ascii="Calibri" w:hAnsi="Calibri"/>
                <w:b w:val="0"/>
                <w:i w:val="0"/>
                <w:color w:val="212121"/>
                <w:sz w:val="16"/>
              </w:rPr>
              <w:t>Atypical, male, or treatment-resistant melasma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Not routine; interpret in relation to menstrual cycle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Scoring</w:t>
            </w:r>
          </w:p>
        </w:tc>
        <w:tc>
          <w:tcPr>
            <w:tcW w:type="dxa" w:w="1036"/>
            <w:vAlign w:val="top"/>
          </w:tcPr>
          <w:p>
            <w:pPr>
              <w:spacing w:after="40" w:before="0" w:line="259" w:lineRule="auto"/>
            </w:pPr>
            <w:r>
              <w:rPr>
                <w:rFonts w:ascii="Calibri" w:hAnsi="Calibri"/>
                <w:b w:val="0"/>
                <w:i w:val="0"/>
                <w:color w:val="212121"/>
                <w:sz w:val="16"/>
              </w:rPr>
              <w:t>MASI / modified MASI (0–48)</w:t>
            </w:r>
          </w:p>
        </w:tc>
        <w:tc>
          <w:tcPr>
            <w:tcW w:type="dxa" w:w="892"/>
            <w:vAlign w:val="top"/>
          </w:tcPr>
          <w:p>
            <w:pPr>
              <w:spacing w:after="40" w:before="0" w:line="259" w:lineRule="auto"/>
            </w:pPr>
            <w:r>
              <w:rPr>
                <w:rFonts w:ascii="Calibri" w:hAnsi="Calibri"/>
                <w:b w:val="0"/>
                <w:i w:val="0"/>
                <w:color w:val="212121"/>
                <w:sz w:val="16"/>
              </w:rPr>
              <w:t>Severity index</w:t>
            </w:r>
          </w:p>
        </w:tc>
        <w:tc>
          <w:tcPr>
            <w:tcW w:type="dxa" w:w="950"/>
            <w:vAlign w:val="top"/>
          </w:tcPr>
          <w:p>
            <w:pPr>
              <w:spacing w:after="40" w:before="0" w:line="259" w:lineRule="auto"/>
            </w:pPr>
            <w:r>
              <w:rPr>
                <w:rFonts w:ascii="Calibri" w:hAnsi="Calibri"/>
                <w:b w:val="0"/>
                <w:i w:val="0"/>
                <w:color w:val="212121"/>
                <w:sz w:val="16"/>
              </w:rPr>
              <w:t>0 (clear skin)</w:t>
            </w:r>
          </w:p>
        </w:tc>
        <w:tc>
          <w:tcPr>
            <w:tcW w:type="dxa" w:w="950"/>
            <w:vAlign w:val="top"/>
          </w:tcPr>
          <w:p>
            <w:pPr>
              <w:spacing w:after="40" w:before="0" w:line="259" w:lineRule="auto"/>
            </w:pPr>
            <w:r>
              <w:rPr>
                <w:rFonts w:ascii="Calibri" w:hAnsi="Calibri"/>
                <w:b w:val="0"/>
                <w:i w:val="0"/>
                <w:color w:val="212121"/>
                <w:sz w:val="16"/>
              </w:rPr>
              <w:t>Higher score = greater area and darkness</w:t>
            </w:r>
          </w:p>
        </w:tc>
        <w:tc>
          <w:tcPr>
            <w:tcW w:type="dxa" w:w="1036"/>
            <w:vAlign w:val="top"/>
          </w:tcPr>
          <w:p>
            <w:pPr>
              <w:spacing w:after="40" w:before="0" w:line="259" w:lineRule="auto"/>
            </w:pPr>
            <w:r>
              <w:rPr>
                <w:rFonts w:ascii="Calibri" w:hAnsi="Calibri"/>
                <w:b w:val="0"/>
                <w:i w:val="0"/>
                <w:color w:val="212121"/>
                <w:sz w:val="16"/>
              </w:rPr>
              <w:t>Objective severity grading and treatment monitoring</w:t>
            </w:r>
          </w:p>
        </w:tc>
        <w:tc>
          <w:tcPr>
            <w:tcW w:type="dxa" w:w="1036"/>
            <w:vAlign w:val="top"/>
          </w:tcPr>
          <w:p>
            <w:pPr>
              <w:spacing w:after="40" w:before="0" w:line="259" w:lineRule="auto"/>
            </w:pPr>
            <w:r>
              <w:rPr>
                <w:rFonts w:ascii="Calibri" w:hAnsi="Calibri"/>
                <w:b w:val="0"/>
                <w:i w:val="0"/>
                <w:color w:val="212121"/>
                <w:sz w:val="16"/>
              </w:rPr>
              <w:t>All melasma under treatment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Subjective but useful for tracking response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onset</w:t>
            </w:r>
          </w:p>
        </w:tc>
        <w:tc>
          <w:tcPr>
            <w:tcW w:type="dxa" w:w="979"/>
            <w:vAlign w:val="top"/>
          </w:tcPr>
          <w:p>
            <w:pPr>
              <w:spacing w:after="40" w:before="0" w:line="259" w:lineRule="auto"/>
            </w:pPr>
            <w:r>
              <w:rPr>
                <w:rFonts w:ascii="Calibri" w:hAnsi="Calibri"/>
                <w:b w:val="0"/>
                <w:i w:val="0"/>
                <w:color w:val="212121"/>
                <w:sz w:val="16"/>
              </w:rPr>
              <w:t>Symmetrical facial brown/grey-brown patches; duration</w:t>
            </w:r>
          </w:p>
        </w:tc>
        <w:tc>
          <w:tcPr>
            <w:tcW w:type="dxa" w:w="950"/>
            <w:vAlign w:val="top"/>
          </w:tcPr>
          <w:p>
            <w:pPr>
              <w:spacing w:after="40" w:before="0" w:line="259" w:lineRule="auto"/>
            </w:pPr>
            <w:r>
              <w:rPr>
                <w:rFonts w:ascii="Calibri" w:hAnsi="Calibri"/>
                <w:b w:val="0"/>
                <w:i w:val="0"/>
                <w:color w:val="212121"/>
                <w:sz w:val="16"/>
              </w:rPr>
              <w:t>No pigmentation</w:t>
            </w:r>
          </w:p>
        </w:tc>
        <w:tc>
          <w:tcPr>
            <w:tcW w:type="dxa" w:w="950"/>
            <w:vAlign w:val="top"/>
          </w:tcPr>
          <w:p>
            <w:pPr>
              <w:spacing w:after="40" w:before="0" w:line="259" w:lineRule="auto"/>
            </w:pPr>
            <w:r>
              <w:rPr>
                <w:rFonts w:ascii="Calibri" w:hAnsi="Calibri"/>
                <w:b w:val="0"/>
                <w:i w:val="0"/>
                <w:color w:val="212121"/>
                <w:sz w:val="16"/>
              </w:rPr>
              <w:t>Gradual, symmetric facial hyperpigmentation</w:t>
            </w:r>
          </w:p>
        </w:tc>
        <w:tc>
          <w:tcPr>
            <w:tcW w:type="dxa" w:w="1036"/>
            <w:vAlign w:val="top"/>
          </w:tcPr>
          <w:p>
            <w:pPr>
              <w:spacing w:after="40" w:before="0" w:line="259" w:lineRule="auto"/>
            </w:pPr>
            <w:r>
              <w:rPr>
                <w:rFonts w:ascii="Calibri" w:hAnsi="Calibri"/>
                <w:b w:val="0"/>
                <w:i w:val="0"/>
                <w:color w:val="212121"/>
                <w:sz w:val="16"/>
              </w:rPr>
              <w:t>Establishes the diagnosis and chronicity</w:t>
            </w:r>
          </w:p>
        </w:tc>
        <w:tc>
          <w:tcPr>
            <w:tcW w:type="dxa" w:w="1036"/>
            <w:vAlign w:val="top"/>
          </w:tcPr>
          <w:p>
            <w:pPr>
              <w:spacing w:after="40" w:before="0" w:line="259" w:lineRule="auto"/>
            </w:pPr>
            <w:r>
              <w:rPr>
                <w:rFonts w:ascii="Calibri" w:hAnsi="Calibri"/>
                <w:b w:val="0"/>
                <w:i w:val="0"/>
                <w:color w:val="212121"/>
                <w:sz w:val="16"/>
              </w:rPr>
              <w:t>Reproductive-age women, sun-exposed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Note any seasonal or sun-related worsening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Sun exposure &amp; photoprotection</w:t>
            </w:r>
          </w:p>
        </w:tc>
        <w:tc>
          <w:tcPr>
            <w:tcW w:type="dxa" w:w="979"/>
            <w:vAlign w:val="top"/>
          </w:tcPr>
          <w:p>
            <w:pPr>
              <w:spacing w:after="40" w:before="0" w:line="259" w:lineRule="auto"/>
            </w:pPr>
            <w:r>
              <w:rPr>
                <w:rFonts w:ascii="Calibri" w:hAnsi="Calibri"/>
                <w:b w:val="0"/>
                <w:i w:val="0"/>
                <w:color w:val="212121"/>
                <w:sz w:val="16"/>
              </w:rPr>
              <w:t>Daily sun-exposure hours; sunscreen, hat, shade use</w:t>
            </w:r>
          </w:p>
        </w:tc>
        <w:tc>
          <w:tcPr>
            <w:tcW w:type="dxa" w:w="950"/>
            <w:vAlign w:val="top"/>
          </w:tcPr>
          <w:p>
            <w:pPr>
              <w:spacing w:after="40" w:before="0" w:line="259" w:lineRule="auto"/>
            </w:pPr>
            <w:r>
              <w:rPr>
                <w:rFonts w:ascii="Calibri" w:hAnsi="Calibri"/>
                <w:b w:val="0"/>
                <w:i w:val="0"/>
                <w:color w:val="212121"/>
                <w:sz w:val="16"/>
              </w:rPr>
              <w:t>Consistent broad-spectrum protection</w:t>
            </w:r>
          </w:p>
        </w:tc>
        <w:tc>
          <w:tcPr>
            <w:tcW w:type="dxa" w:w="950"/>
            <w:vAlign w:val="top"/>
          </w:tcPr>
          <w:p>
            <w:pPr>
              <w:spacing w:after="40" w:before="0" w:line="259" w:lineRule="auto"/>
            </w:pPr>
            <w:r>
              <w:rPr>
                <w:rFonts w:ascii="Calibri" w:hAnsi="Calibri"/>
                <w:b w:val="0"/>
                <w:i w:val="0"/>
                <w:color w:val="212121"/>
                <w:sz w:val="16"/>
              </w:rPr>
              <w:t>Heavy exposure with no/irregular sunscreen</w:t>
            </w:r>
          </w:p>
        </w:tc>
        <w:tc>
          <w:tcPr>
            <w:tcW w:type="dxa" w:w="1036"/>
            <w:vAlign w:val="top"/>
          </w:tcPr>
          <w:p>
            <w:pPr>
              <w:spacing w:after="40" w:before="0" w:line="259" w:lineRule="auto"/>
            </w:pPr>
            <w:r>
              <w:rPr>
                <w:rFonts w:ascii="Calibri" w:hAnsi="Calibri"/>
                <w:b w:val="0"/>
                <w:i w:val="0"/>
                <w:color w:val="212121"/>
                <w:sz w:val="16"/>
              </w:rPr>
              <w:t>Identifies the dominant modifiable driver</w:t>
            </w:r>
          </w:p>
        </w:tc>
        <w:tc>
          <w:tcPr>
            <w:tcW w:type="dxa" w:w="1036"/>
            <w:vAlign w:val="top"/>
          </w:tcPr>
          <w:p>
            <w:pPr>
              <w:spacing w:after="40" w:before="0" w:line="259" w:lineRule="auto"/>
            </w:pPr>
            <w:r>
              <w:rPr>
                <w:rFonts w:ascii="Calibri" w:hAnsi="Calibri"/>
                <w:b w:val="0"/>
                <w:i w:val="0"/>
                <w:color w:val="212121"/>
                <w:sz w:val="16"/>
              </w:rPr>
              <w:t>Outdoor workers, homemakers, commuters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Quantify midday (10 am–4 pm)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Hormonal history</w:t>
            </w:r>
          </w:p>
        </w:tc>
        <w:tc>
          <w:tcPr>
            <w:tcW w:type="dxa" w:w="979"/>
            <w:vAlign w:val="top"/>
          </w:tcPr>
          <w:p>
            <w:pPr>
              <w:spacing w:after="40" w:before="0" w:line="259" w:lineRule="auto"/>
            </w:pPr>
            <w:r>
              <w:rPr>
                <w:rFonts w:ascii="Calibri" w:hAnsi="Calibri"/>
                <w:b w:val="0"/>
                <w:i w:val="0"/>
                <w:color w:val="212121"/>
                <w:sz w:val="16"/>
              </w:rPr>
              <w:t>Pregnancy, OCP, HRT and menstrual history</w:t>
            </w:r>
          </w:p>
        </w:tc>
        <w:tc>
          <w:tcPr>
            <w:tcW w:type="dxa" w:w="950"/>
            <w:vAlign w:val="top"/>
          </w:tcPr>
          <w:p>
            <w:pPr>
              <w:spacing w:after="40" w:before="0" w:line="259" w:lineRule="auto"/>
            </w:pPr>
            <w:r>
              <w:rPr>
                <w:rFonts w:ascii="Calibri" w:hAnsi="Calibri"/>
                <w:b w:val="0"/>
                <w:i w:val="0"/>
                <w:color w:val="212121"/>
                <w:sz w:val="16"/>
              </w:rPr>
              <w:t>No hormonal trigger</w:t>
            </w:r>
          </w:p>
        </w:tc>
        <w:tc>
          <w:tcPr>
            <w:tcW w:type="dxa" w:w="950"/>
            <w:vAlign w:val="top"/>
          </w:tcPr>
          <w:p>
            <w:pPr>
              <w:spacing w:after="40" w:before="0" w:line="259" w:lineRule="auto"/>
            </w:pPr>
            <w:r>
              <w:rPr>
                <w:rFonts w:ascii="Calibri" w:hAnsi="Calibri"/>
                <w:b w:val="0"/>
                <w:i w:val="0"/>
                <w:color w:val="212121"/>
                <w:sz w:val="16"/>
              </w:rPr>
              <w:t>Pregnancy/OCP/HRT-associated onset</w:t>
            </w:r>
          </w:p>
        </w:tc>
        <w:tc>
          <w:tcPr>
            <w:tcW w:type="dxa" w:w="1036"/>
            <w:vAlign w:val="top"/>
          </w:tcPr>
          <w:p>
            <w:pPr>
              <w:spacing w:after="40" w:before="0" w:line="259" w:lineRule="auto"/>
            </w:pPr>
            <w:r>
              <w:rPr>
                <w:rFonts w:ascii="Calibri" w:hAnsi="Calibri"/>
                <w:b w:val="0"/>
                <w:i w:val="0"/>
                <w:color w:val="212121"/>
                <w:sz w:val="16"/>
              </w:rPr>
              <w:t>Identifies a hormonal trigger and guides counselling</w:t>
            </w:r>
          </w:p>
        </w:tc>
        <w:tc>
          <w:tcPr>
            <w:tcW w:type="dxa" w:w="1036"/>
            <w:vAlign w:val="top"/>
          </w:tcPr>
          <w:p>
            <w:pPr>
              <w:spacing w:after="40" w:before="0" w:line="259" w:lineRule="auto"/>
            </w:pPr>
            <w:r>
              <w:rPr>
                <w:rFonts w:ascii="Calibri" w:hAnsi="Calibri"/>
                <w:b w:val="0"/>
                <w:i w:val="0"/>
                <w:color w:val="212121"/>
                <w:sz w:val="16"/>
              </w:rPr>
              <w:t>Women, pregnant/postpartum, OCP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Relate timing of hormones to onset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melasma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affected relative</w:t>
            </w:r>
          </w:p>
        </w:tc>
        <w:tc>
          <w:tcPr>
            <w:tcW w:type="dxa" w:w="1036"/>
            <w:vAlign w:val="top"/>
          </w:tcPr>
          <w:p>
            <w:pPr>
              <w:spacing w:after="40" w:before="0" w:line="259" w:lineRule="auto"/>
            </w:pPr>
            <w:r>
              <w:rPr>
                <w:rFonts w:ascii="Calibri" w:hAnsi="Calibri"/>
                <w:b w:val="0"/>
                <w:i w:val="0"/>
                <w:color w:val="212121"/>
                <w:sz w:val="16"/>
              </w:rPr>
              <w:t>Confirms hereditary predisposition; predicts chronicity</w:t>
            </w:r>
          </w:p>
        </w:tc>
        <w:tc>
          <w:tcPr>
            <w:tcW w:type="dxa" w:w="1036"/>
            <w:vAlign w:val="top"/>
          </w:tcPr>
          <w:p>
            <w:pPr>
              <w:spacing w:after="40" w:before="0" w:line="259" w:lineRule="auto"/>
            </w:pPr>
            <w:r>
              <w:rPr>
                <w:rFonts w:ascii="Calibri" w:hAnsi="Calibri"/>
                <w:b w:val="0"/>
                <w:i w:val="0"/>
                <w:color w:val="212121"/>
                <w:sz w:val="16"/>
              </w:rPr>
              <w:t>Indian patients, Fitzpatrick III–V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~1 in 3 patients are positive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cosmetic history</w:t>
            </w:r>
          </w:p>
        </w:tc>
        <w:tc>
          <w:tcPr>
            <w:tcW w:type="dxa" w:w="979"/>
            <w:vAlign w:val="top"/>
          </w:tcPr>
          <w:p>
            <w:pPr>
              <w:spacing w:after="40" w:before="0" w:line="259" w:lineRule="auto"/>
            </w:pPr>
            <w:r>
              <w:rPr>
                <w:rFonts w:ascii="Calibri" w:hAnsi="Calibri"/>
                <w:b w:val="0"/>
                <w:i w:val="0"/>
                <w:color w:val="212121"/>
                <w:sz w:val="16"/>
              </w:rPr>
              <w:t>Photosensitisers, fairness/steroid creams, fragranced cosmetics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Use of photosensitising drugs or irritants</w:t>
            </w:r>
          </w:p>
        </w:tc>
        <w:tc>
          <w:tcPr>
            <w:tcW w:type="dxa" w:w="1036"/>
            <w:vAlign w:val="top"/>
          </w:tcPr>
          <w:p>
            <w:pPr>
              <w:spacing w:after="40" w:before="0" w:line="259" w:lineRule="auto"/>
            </w:pPr>
            <w:r>
              <w:rPr>
                <w:rFonts w:ascii="Calibri" w:hAnsi="Calibri"/>
                <w:b w:val="0"/>
                <w:i w:val="0"/>
                <w:color w:val="212121"/>
                <w:sz w:val="16"/>
              </w:rPr>
              <w:t>Identifies iatrogenic and cosmetic aggravators</w:t>
            </w:r>
          </w:p>
        </w:tc>
        <w:tc>
          <w:tcPr>
            <w:tcW w:type="dxa" w:w="1036"/>
            <w:vAlign w:val="top"/>
          </w:tcPr>
          <w:p>
            <w:pPr>
              <w:spacing w:after="40" w:before="0" w:line="259" w:lineRule="auto"/>
            </w:pPr>
            <w:r>
              <w:rPr>
                <w:rFonts w:ascii="Calibri" w:hAnsi="Calibri"/>
                <w:b w:val="0"/>
                <w:i w:val="0"/>
                <w:color w:val="212121"/>
                <w:sz w:val="16"/>
              </w:rPr>
              <w:t>Cosmetic users, self-medicating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Ask specifically about over-the-counter creams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Morphology &amp; distribution</w:t>
            </w:r>
          </w:p>
        </w:tc>
        <w:tc>
          <w:tcPr>
            <w:tcW w:type="dxa" w:w="979"/>
            <w:vAlign w:val="top"/>
          </w:tcPr>
          <w:p>
            <w:pPr>
              <w:spacing w:after="40" w:before="0" w:line="259" w:lineRule="auto"/>
            </w:pPr>
            <w:r>
              <w:rPr>
                <w:rFonts w:ascii="Calibri" w:hAnsi="Calibri"/>
                <w:b w:val="0"/>
                <w:i w:val="0"/>
                <w:color w:val="212121"/>
                <w:sz w:val="16"/>
              </w:rPr>
              <w:t>Malar / centrofacial / mandibular; symmetry and borders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Symmetric patches in a typical pattern</w:t>
            </w:r>
          </w:p>
        </w:tc>
        <w:tc>
          <w:tcPr>
            <w:tcW w:type="dxa" w:w="1036"/>
            <w:vAlign w:val="top"/>
          </w:tcPr>
          <w:p>
            <w:pPr>
              <w:spacing w:after="40" w:before="0" w:line="259" w:lineRule="auto"/>
            </w:pPr>
            <w:r>
              <w:rPr>
                <w:rFonts w:ascii="Calibri" w:hAnsi="Calibri"/>
                <w:b w:val="0"/>
                <w:i w:val="0"/>
                <w:color w:val="212121"/>
                <w:sz w:val="16"/>
              </w:rPr>
              <w:t>Centrofacial and malar are the commonest patterns</w:t>
            </w:r>
          </w:p>
        </w:tc>
        <w:tc>
          <w:tcPr>
            <w:tcW w:type="dxa" w:w="1036"/>
            <w:vAlign w:val="top"/>
          </w:tcPr>
          <w:p>
            <w:pPr>
              <w:spacing w:after="40" w:before="0" w:line="259" w:lineRule="auto"/>
            </w:pPr>
            <w:r>
              <w:rPr>
                <w:rFonts w:ascii="Calibri" w:hAnsi="Calibri"/>
                <w:b w:val="0"/>
                <w:i w:val="0"/>
                <w:color w:val="212121"/>
                <w:sz w:val="16"/>
              </w:rPr>
              <w:t>All melasma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Photograph under standard lighting for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phototype assessment</w:t>
            </w:r>
          </w:p>
        </w:tc>
        <w:tc>
          <w:tcPr>
            <w:tcW w:type="dxa" w:w="979"/>
            <w:vAlign w:val="top"/>
          </w:tcPr>
          <w:p>
            <w:pPr>
              <w:spacing w:after="40" w:before="0" w:line="259" w:lineRule="auto"/>
            </w:pPr>
            <w:r>
              <w:rPr>
                <w:rFonts w:ascii="Calibri" w:hAnsi="Calibri"/>
                <w:b w:val="0"/>
                <w:i w:val="0"/>
                <w:color w:val="212121"/>
                <w:sz w:val="16"/>
              </w:rPr>
              <w:t>Fitzpatrick phototype I–VI</w:t>
            </w:r>
          </w:p>
        </w:tc>
        <w:tc>
          <w:tcPr>
            <w:tcW w:type="dxa" w:w="950"/>
            <w:vAlign w:val="top"/>
          </w:tcPr>
          <w:p>
            <w:pPr>
              <w:spacing w:after="40" w:before="0" w:line="259" w:lineRule="auto"/>
            </w:pPr>
            <w:r>
              <w:rPr>
                <w:rFonts w:ascii="Calibri" w:hAnsi="Calibri"/>
                <w:b w:val="0"/>
                <w:i w:val="0"/>
                <w:color w:val="212121"/>
                <w:sz w:val="16"/>
              </w:rPr>
              <w:t>—</w:t>
            </w:r>
          </w:p>
        </w:tc>
        <w:tc>
          <w:tcPr>
            <w:tcW w:type="dxa" w:w="950"/>
            <w:vAlign w:val="top"/>
          </w:tcPr>
          <w:p>
            <w:pPr>
              <w:spacing w:after="40" w:before="0" w:line="259" w:lineRule="auto"/>
            </w:pPr>
            <w:r>
              <w:rPr>
                <w:rFonts w:ascii="Calibri" w:hAnsi="Calibri"/>
                <w:b w:val="0"/>
                <w:i w:val="0"/>
                <w:color w:val="212121"/>
                <w:sz w:val="16"/>
              </w:rPr>
              <w:t>Types III–V (higher reactivity and risk)</w:t>
            </w:r>
          </w:p>
        </w:tc>
        <w:tc>
          <w:tcPr>
            <w:tcW w:type="dxa" w:w="1036"/>
            <w:vAlign w:val="top"/>
          </w:tcPr>
          <w:p>
            <w:pPr>
              <w:spacing w:after="40" w:before="0" w:line="259" w:lineRule="auto"/>
            </w:pPr>
            <w:r>
              <w:rPr>
                <w:rFonts w:ascii="Calibri" w:hAnsi="Calibri"/>
                <w:b w:val="0"/>
                <w:i w:val="0"/>
                <w:color w:val="212121"/>
                <w:sz w:val="16"/>
              </w:rPr>
              <w:t>Guides treatment aggressiveness and laser safety</w:t>
            </w:r>
          </w:p>
        </w:tc>
        <w:tc>
          <w:tcPr>
            <w:tcW w:type="dxa" w:w="1036"/>
            <w:vAlign w:val="top"/>
          </w:tcPr>
          <w:p>
            <w:pPr>
              <w:spacing w:after="40" w:before="0" w:line="259" w:lineRule="auto"/>
            </w:pPr>
            <w:r>
              <w:rPr>
                <w:rFonts w:ascii="Calibri" w:hAnsi="Calibri"/>
                <w:b w:val="0"/>
                <w:i w:val="0"/>
                <w:color w:val="212121"/>
                <w:sz w:val="16"/>
              </w:rPr>
              <w:t>Indian skin of colour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Darker skin is at higher risk of PIH from treatment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Facial brown / grey-brown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feature — symmetrical hyperpigmented macules and patches on sun-exposed facial skin, and the usual presenting complaint.</w:t>
            </w:r>
          </w:p>
        </w:tc>
      </w:tr>
      <w:tr>
        <w:trPr>
          <w:cantSplit/>
        </w:trPr>
        <w:tc>
          <w:tcPr>
            <w:tcW w:type="dxa" w:w="2304"/>
            <w:vAlign w:val="top"/>
          </w:tcPr>
          <w:p>
            <w:pPr>
              <w:spacing w:after="40" w:before="0" w:line="259" w:lineRule="auto"/>
            </w:pPr>
            <w:r>
              <w:rPr>
                <w:rFonts w:ascii="Calibri" w:hAnsi="Calibri"/>
                <w:b/>
                <w:i w:val="0"/>
                <w:color w:val="212121"/>
                <w:sz w:val="19"/>
              </w:rPr>
              <w:t>Symmetrical cheek and forehead darkening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notice mirror-image darkening over both cheeks, forehead, upper lip and nose.</w:t>
            </w:r>
          </w:p>
        </w:tc>
      </w:tr>
      <w:tr>
        <w:trPr>
          <w:cantSplit/>
        </w:trPr>
        <w:tc>
          <w:tcPr>
            <w:tcW w:type="dxa" w:w="2304"/>
            <w:vAlign w:val="top"/>
          </w:tcPr>
          <w:p>
            <w:pPr>
              <w:spacing w:after="40" w:before="0" w:line="259" w:lineRule="auto"/>
            </w:pPr>
            <w:r>
              <w:rPr>
                <w:rFonts w:ascii="Calibri" w:hAnsi="Calibri"/>
                <w:b/>
                <w:i w:val="0"/>
                <w:color w:val="212121"/>
                <w:sz w:val="19"/>
              </w:rPr>
              <w:t>Gradual, progressive darkening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Pigment deepens slowly over months and is often unnoticed until well established.</w:t>
            </w:r>
          </w:p>
        </w:tc>
      </w:tr>
      <w:tr>
        <w:trPr>
          <w:cantSplit/>
        </w:trPr>
        <w:tc>
          <w:tcPr>
            <w:tcW w:type="dxa" w:w="2304"/>
            <w:vAlign w:val="top"/>
          </w:tcPr>
          <w:p>
            <w:pPr>
              <w:spacing w:after="40" w:before="0" w:line="259" w:lineRule="auto"/>
            </w:pPr>
            <w:r>
              <w:rPr>
                <w:rFonts w:ascii="Calibri" w:hAnsi="Calibri"/>
                <w:b/>
                <w:i w:val="0"/>
                <w:color w:val="212121"/>
                <w:sz w:val="19"/>
              </w:rPr>
              <w:t>Worsening with sun / in summer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aggravation after sun exposure and during summer, with partial fading in winter.</w:t>
            </w:r>
          </w:p>
        </w:tc>
      </w:tr>
      <w:tr>
        <w:trPr>
          <w:cantSplit/>
        </w:trPr>
        <w:tc>
          <w:tcPr>
            <w:tcW w:type="dxa" w:w="2304"/>
            <w:vAlign w:val="top"/>
          </w:tcPr>
          <w:p>
            <w:pPr>
              <w:spacing w:after="40" w:before="0" w:line="259" w:lineRule="auto"/>
            </w:pPr>
            <w:r>
              <w:rPr>
                <w:rFonts w:ascii="Calibri" w:hAnsi="Calibri"/>
                <w:b/>
                <w:i w:val="0"/>
                <w:color w:val="212121"/>
                <w:sz w:val="19"/>
              </w:rPr>
              <w:t>Darkening during or after pregnancy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Onset or intensification with pregnancy (“mask of pregnancy”) or hormonal therapy.</w:t>
            </w:r>
          </w:p>
        </w:tc>
      </w:tr>
      <w:tr>
        <w:trPr>
          <w:cantSplit/>
        </w:trPr>
        <w:tc>
          <w:tcPr>
            <w:tcW w:type="dxa" w:w="2304"/>
            <w:vAlign w:val="top"/>
          </w:tcPr>
          <w:p>
            <w:pPr>
              <w:spacing w:after="40" w:before="0" w:line="259" w:lineRule="auto"/>
            </w:pPr>
            <w:r>
              <w:rPr>
                <w:rFonts w:ascii="Calibri" w:hAnsi="Calibri"/>
                <w:b/>
                <w:i w:val="0"/>
                <w:color w:val="212121"/>
                <w:sz w:val="19"/>
              </w:rPr>
              <w:t>Cosmetic concern &amp; self-consciousness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Distress about facial appearance is frequently the reason for seeking care.</w:t>
            </w:r>
          </w:p>
        </w:tc>
      </w:tr>
      <w:tr>
        <w:trPr>
          <w:cantSplit/>
        </w:trPr>
        <w:tc>
          <w:tcPr>
            <w:tcW w:type="dxa" w:w="2304"/>
            <w:vAlign w:val="top"/>
          </w:tcPr>
          <w:p>
            <w:pPr>
              <w:spacing w:after="40" w:before="0" w:line="259" w:lineRule="auto"/>
            </w:pPr>
            <w:r>
              <w:rPr>
                <w:rFonts w:ascii="Calibri" w:hAnsi="Calibri"/>
                <w:b/>
                <w:i w:val="0"/>
                <w:color w:val="212121"/>
                <w:sz w:val="19"/>
              </w:rPr>
              <w:t>Low self-esteem / social embarrassment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Significant psychosocial impact, with embarrassment and reduced social confidence.</w:t>
            </w:r>
          </w:p>
        </w:tc>
      </w:tr>
      <w:tr>
        <w:trPr>
          <w:cantSplit/>
        </w:trPr>
        <w:tc>
          <w:tcPr>
            <w:tcW w:type="dxa" w:w="2304"/>
            <w:vAlign w:val="top"/>
          </w:tcPr>
          <w:p>
            <w:pPr>
              <w:spacing w:after="40" w:before="0" w:line="259" w:lineRule="auto"/>
            </w:pPr>
            <w:r>
              <w:rPr>
                <w:rFonts w:ascii="Calibri" w:hAnsi="Calibri"/>
                <w:b/>
                <w:i w:val="0"/>
                <w:color w:val="212121"/>
                <w:sz w:val="19"/>
              </w:rPr>
              <w:t>Usually asymptomatic (no itch or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Melasma itself does not itch, burn or scale; such symptoms suggest an alternative or added diagnosis.</w:t>
            </w:r>
          </w:p>
        </w:tc>
      </w:tr>
      <w:tr>
        <w:trPr>
          <w:cantSplit/>
        </w:trPr>
        <w:tc>
          <w:tcPr>
            <w:tcW w:type="dxa" w:w="2304"/>
            <w:vAlign w:val="top"/>
          </w:tcPr>
          <w:p>
            <w:pPr>
              <w:spacing w:after="40" w:before="0" w:line="259" w:lineRule="auto"/>
            </w:pPr>
            <w:r>
              <w:rPr>
                <w:rFonts w:ascii="Calibri" w:hAnsi="Calibri"/>
                <w:b/>
                <w:i w:val="0"/>
                <w:color w:val="212121"/>
                <w:sz w:val="19"/>
              </w:rPr>
              <w:t>Relapse after apparent clearance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recurrence once treatment stops or sun protection lapses — a chronic relapsing course.</w:t>
            </w:r>
          </w:p>
        </w:tc>
      </w:tr>
      <w:tr>
        <w:trPr>
          <w:cantSplit/>
        </w:trPr>
        <w:tc>
          <w:tcPr>
            <w:tcW w:type="dxa" w:w="2304"/>
            <w:vAlign w:val="top"/>
          </w:tcPr>
          <w:p>
            <w:pPr>
              <w:spacing w:after="40" w:before="0" w:line="259" w:lineRule="auto"/>
            </w:pPr>
            <w:r>
              <w:rPr>
                <w:rFonts w:ascii="Calibri" w:hAnsi="Calibri"/>
                <w:b/>
                <w:i w:val="0"/>
                <w:color w:val="212121"/>
                <w:sz w:val="19"/>
              </w:rPr>
              <w:t>Mild burning or irritation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Usually iatrogenic, from irritant topical agents, peels or retinoids rather than melasma itself.</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Symmetrical light-to-dark brown macules/patches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Well-demarcated but irregular, mirror-image pigmentation over the sun-exposed face.</w:t>
            </w:r>
          </w:p>
        </w:tc>
      </w:tr>
      <w:tr>
        <w:trPr>
          <w:cantSplit/>
        </w:trPr>
        <w:tc>
          <w:tcPr>
            <w:tcW w:type="dxa" w:w="3456"/>
            <w:vAlign w:val="top"/>
          </w:tcPr>
          <w:p>
            <w:pPr>
              <w:spacing w:after="40" w:before="0" w:line="259" w:lineRule="auto"/>
            </w:pPr>
            <w:r>
              <w:rPr>
                <w:rFonts w:ascii="Calibri" w:hAnsi="Calibri"/>
                <w:b/>
                <w:i w:val="0"/>
                <w:color w:val="212121"/>
                <w:sz w:val="19"/>
              </w:rPr>
              <w:t>Centrofacial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Forehead, nose, upper lip, chin and medial cheeks — the commonest Indian pattern.</w:t>
            </w:r>
          </w:p>
        </w:tc>
      </w:tr>
      <w:tr>
        <w:trPr>
          <w:cantSplit/>
        </w:trPr>
        <w:tc>
          <w:tcPr>
            <w:tcW w:type="dxa" w:w="3456"/>
            <w:vAlign w:val="top"/>
          </w:tcPr>
          <w:p>
            <w:pPr>
              <w:spacing w:after="40" w:before="0" w:line="259" w:lineRule="auto"/>
            </w:pPr>
            <w:r>
              <w:rPr>
                <w:rFonts w:ascii="Calibri" w:hAnsi="Calibri"/>
                <w:b/>
                <w:i w:val="0"/>
                <w:color w:val="212121"/>
                <w:sz w:val="19"/>
              </w:rPr>
              <w:t>Malar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Pigmentation confined to the cheeks and nose.</w:t>
            </w:r>
          </w:p>
        </w:tc>
      </w:tr>
      <w:tr>
        <w:trPr>
          <w:cantSplit/>
        </w:trPr>
        <w:tc>
          <w:tcPr>
            <w:tcW w:type="dxa" w:w="3456"/>
            <w:vAlign w:val="top"/>
          </w:tcPr>
          <w:p>
            <w:pPr>
              <w:spacing w:after="40" w:before="0" w:line="259" w:lineRule="auto"/>
            </w:pPr>
            <w:r>
              <w:rPr>
                <w:rFonts w:ascii="Calibri" w:hAnsi="Calibri"/>
                <w:b/>
                <w:i w:val="0"/>
                <w:color w:val="212121"/>
                <w:sz w:val="19"/>
              </w:rPr>
              <w:t>Wood’s-lamp accentuation (epidermal type)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Enhanced contrast under 365 nm light indicates epidermal pigment and a better prognosis.</w:t>
            </w:r>
          </w:p>
        </w:tc>
      </w:tr>
      <w:tr>
        <w:trPr>
          <w:cantSplit/>
        </w:trPr>
        <w:tc>
          <w:tcPr>
            <w:tcW w:type="dxa" w:w="3456"/>
            <w:vAlign w:val="top"/>
          </w:tcPr>
          <w:p>
            <w:pPr>
              <w:spacing w:after="40" w:before="0" w:line="259" w:lineRule="auto"/>
            </w:pPr>
            <w:r>
              <w:rPr>
                <w:rFonts w:ascii="Calibri" w:hAnsi="Calibri"/>
                <w:b/>
                <w:i w:val="0"/>
                <w:color w:val="212121"/>
                <w:sz w:val="19"/>
              </w:rPr>
              <w:t>Pseudo-reticular pigment network with perifollicular sparing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characteristic dermoscopic pattern of melasma.</w:t>
            </w:r>
          </w:p>
        </w:tc>
      </w:tr>
      <w:tr>
        <w:trPr>
          <w:cantSplit/>
        </w:trPr>
        <w:tc>
          <w:tcPr>
            <w:tcW w:type="dxa" w:w="3456"/>
            <w:vAlign w:val="top"/>
          </w:tcPr>
          <w:p>
            <w:pPr>
              <w:spacing w:after="40" w:before="0" w:line="259" w:lineRule="auto"/>
            </w:pPr>
            <w:r>
              <w:rPr>
                <w:rFonts w:ascii="Calibri" w:hAnsi="Calibri"/>
                <w:b/>
                <w:i w:val="0"/>
                <w:color w:val="212121"/>
                <w:sz w:val="19"/>
              </w:rPr>
              <w:t>Telangiectasia / background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vascular component on dermoscopy, associated with relapse and with topical-steroid overuse.</w:t>
            </w:r>
          </w:p>
        </w:tc>
      </w:tr>
      <w:tr>
        <w:trPr>
          <w:cantSplit/>
        </w:trPr>
        <w:tc>
          <w:tcPr>
            <w:tcW w:type="dxa" w:w="3456"/>
            <w:vAlign w:val="top"/>
          </w:tcPr>
          <w:p>
            <w:pPr>
              <w:spacing w:after="40" w:before="0" w:line="259" w:lineRule="auto"/>
            </w:pPr>
            <w:r>
              <w:rPr>
                <w:rFonts w:ascii="Calibri" w:hAnsi="Calibri"/>
                <w:b/>
                <w:i w:val="0"/>
                <w:color w:val="212121"/>
                <w:sz w:val="19"/>
              </w:rPr>
              <w:t>Blue-grey hue (dermal / mixed type)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Deeper dermal melanin gives a slate-grey colour that is Wood’s-lamp negative and treatment-resistant.</w:t>
            </w:r>
          </w:p>
        </w:tc>
      </w:tr>
      <w:tr>
        <w:trPr>
          <w:cantSplit/>
        </w:trPr>
        <w:tc>
          <w:tcPr>
            <w:tcW w:type="dxa" w:w="3456"/>
            <w:vAlign w:val="top"/>
          </w:tcPr>
          <w:p>
            <w:pPr>
              <w:spacing w:after="40" w:before="0" w:line="259" w:lineRule="auto"/>
            </w:pPr>
            <w:r>
              <w:rPr>
                <w:rFonts w:ascii="Calibri" w:hAnsi="Calibri"/>
                <w:b/>
                <w:i w:val="0"/>
                <w:color w:val="212121"/>
                <w:sz w:val="19"/>
              </w:rPr>
              <w:t>Mandibular or extrafacial involvement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Jawline, neck or forearm patches, typically in older or post-menopausal individuals.</w:t>
            </w:r>
          </w:p>
        </w:tc>
      </w:tr>
      <w:tr>
        <w:trPr>
          <w:cantSplit/>
        </w:trPr>
        <w:tc>
          <w:tcPr>
            <w:tcW w:type="dxa" w:w="3456"/>
            <w:vAlign w:val="top"/>
          </w:tcPr>
          <w:p>
            <w:pPr>
              <w:spacing w:after="40" w:before="0" w:line="259" w:lineRule="auto"/>
            </w:pPr>
            <w:r>
              <w:rPr>
                <w:rFonts w:ascii="Calibri" w:hAnsi="Calibri"/>
                <w:b/>
                <w:i w:val="0"/>
                <w:color w:val="212121"/>
                <w:sz w:val="19"/>
              </w:rPr>
              <w:t>Features of steroid misuse (atrophy, telangiectasia, acneiform eruption)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unsupervised long-term topical steroid or “fairness” cream 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facial hyperpigmentation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darkening and spread with continued sun or hormonal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 resistance, especially of dermal and mixed types</w:t>
            </w:r>
          </w:p>
        </w:tc>
        <w:tc>
          <w:tcPr>
            <w:tcW w:type="dxa" w:w="2980"/>
            <w:vAlign w:val="top"/>
          </w:tcPr>
          <w:p>
            <w:pPr>
              <w:spacing w:after="40" w:before="0" w:line="259" w:lineRule="auto"/>
            </w:pPr>
            <w:r>
              <w:rPr>
                <w:rFonts w:ascii="Calibri" w:hAnsi="Calibri"/>
                <w:b w:val="0"/>
                <w:i w:val="0"/>
                <w:color w:val="212121"/>
                <w:sz w:val="19"/>
              </w:rPr>
              <w:t>Direct consequences of persistent melanogenesis and the chronic, relapsing nature of the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Exogenous ochronosis from prolonged or high-strength hydroquinone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or hypopigmentation after aggressive peels or lasers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Irritant or allergic contact dermatitis from over-the-counter bleaching/fairness creams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Rebound worsening after laser therapy in darker skin</w:t>
            </w:r>
          </w:p>
        </w:tc>
        <w:tc>
          <w:tcPr>
            <w:tcW w:type="dxa" w:w="2980"/>
            <w:vAlign w:val="top"/>
          </w:tcPr>
          <w:p>
            <w:pPr>
              <w:spacing w:after="40" w:before="0" w:line="259" w:lineRule="auto"/>
            </w:pPr>
            <w:r>
              <w:rPr>
                <w:rFonts w:ascii="Calibri" w:hAnsi="Calibri"/>
                <w:b w:val="0"/>
                <w:i w:val="0"/>
                <w:color w:val="212121"/>
                <w:sz w:val="19"/>
              </w:rPr>
              <w:t>Iatrogenic or treatment-related complications, more frequent with unsupervised therapy in skin of colour.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psychosocial morbidity — impaired quality of life, low self-esteem, anxiety, depression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Topical-steroid dependence with steroid-induced facial dermatitis/rosacea, atrophy and telangiectasia from long-term “fairness” creams</w:t>
            </w:r>
          </w:p>
        </w:tc>
        <w:tc>
          <w:tcPr>
            <w:tcW w:type="dxa" w:w="2980"/>
            <w:vAlign w:val="top"/>
          </w:tcPr>
          <w:p>
            <w:pPr>
              <w:spacing w:after="40" w:before="0" w:line="259" w:lineRule="auto"/>
            </w:pPr>
            <w:r>
              <w:rPr>
                <w:rFonts w:ascii="Calibri" w:hAnsi="Calibri"/>
                <w:b w:val="0"/>
                <w:i w:val="0"/>
                <w:color w:val="212121"/>
                <w:sz w:val="19"/>
              </w:rPr>
              <w:t>Long-term disabling outcomes, chiefly the psychological burden and the complications of unregulated self-treatment.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 dysfunctional thyroid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Elevated TSH, anti-TPO and antithyroglobulin antibodies are significantly more common in melasma; screen women and refractory cases.</w:t>
            </w:r>
          </w:p>
          <w:p>
            <w:pPr>
              <w:spacing w:after="40" w:before="0" w:line="259" w:lineRule="auto"/>
            </w:pPr>
            <w:r>
              <w:rPr>
                <w:rFonts w:ascii="Calibri" w:hAnsi="Calibri"/>
                <w:b/>
                <w:i w:val="0"/>
                <w:color w:val="212121"/>
                <w:sz w:val="19"/>
              </w:rPr>
              <w:t>~11%</w:t>
            </w:r>
          </w:p>
        </w:tc>
      </w:tr>
      <w:tr>
        <w:trPr>
          <w:cantSplit/>
        </w:trPr>
        <w:tc>
          <w:tcPr>
            <w:tcW w:type="dxa" w:w="2232"/>
            <w:vAlign w:val="top"/>
          </w:tcPr>
          <w:p>
            <w:pPr>
              <w:spacing w:after="40" w:before="0" w:line="259" w:lineRule="auto"/>
            </w:pPr>
            <w:r>
              <w:rPr>
                <w:rFonts w:ascii="Calibri" w:hAnsi="Calibri"/>
                <w:b/>
                <w:i w:val="0"/>
                <w:color w:val="212121"/>
                <w:sz w:val="19"/>
              </w:rPr>
              <w:t>Chloasma gravidarum (pregnancy-associated melasma)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Hormone-driven melasma of pregnancy; may fade postpartum but frequently persists for years.</w:t>
            </w:r>
          </w:p>
          <w:p>
            <w:pPr>
              <w:spacing w:after="40" w:before="0" w:line="259" w:lineRule="auto"/>
            </w:pPr>
            <w:r>
              <w:rPr>
                <w:rFonts w:ascii="Calibri" w:hAnsi="Calibri"/>
                <w:b/>
                <w:i w:val="0"/>
                <w:color w:val="212121"/>
                <w:sz w:val="19"/>
              </w:rPr>
              <w:t>15–50% (in pregnancy)</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Lower serum 25-hydroxy vitamin D is observed in melasma versus controls; correct where deficient.</w:t>
            </w:r>
          </w:p>
        </w:tc>
      </w:tr>
      <w:tr>
        <w:trPr>
          <w:cantSplit/>
        </w:trPr>
        <w:tc>
          <w:tcPr>
            <w:tcW w:type="dxa" w:w="2232"/>
            <w:vAlign w:val="top"/>
          </w:tcPr>
          <w:p>
            <w:pPr>
              <w:spacing w:after="40" w:before="0" w:line="259" w:lineRule="auto"/>
            </w:pPr>
            <w:r>
              <w:rPr>
                <w:rFonts w:ascii="Calibri" w:hAnsi="Calibri"/>
                <w:b/>
                <w:i w:val="0"/>
                <w:color w:val="212121"/>
                <w:sz w:val="19"/>
              </w:rPr>
              <w:t>Anxiety, depression &amp; impaired quality of life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Melasma carries a high psychosocial burden; MELASQoL scores confirm significant impact, chiefly from appearance concern.</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Reported in association with melasma in some series; not causally established.</w:t>
            </w:r>
          </w:p>
        </w:tc>
      </w:tr>
      <w:tr>
        <w:trPr>
          <w:cantSplit/>
        </w:trPr>
        <w:tc>
          <w:tcPr>
            <w:tcW w:type="dxa" w:w="2232"/>
            <w:vAlign w:val="top"/>
          </w:tcPr>
          <w:p>
            <w:pPr>
              <w:spacing w:after="40" w:before="0" w:line="259" w:lineRule="auto"/>
            </w:pPr>
            <w:r>
              <w:rPr>
                <w:rFonts w:ascii="Calibri" w:hAnsi="Calibri"/>
                <w:b/>
                <w:i w:val="0"/>
                <w:color w:val="212121"/>
                <w:sz w:val="19"/>
              </w:rPr>
              <w:t>Photoaging &amp; solar lentigines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chronic UV damage commonly accompanies and aggravates melasma.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rigorous daily photoprotection: broad-spectrum sunscreen SPF ≥ 30 (ideally tinted / iron-oxide to block visible light), reapplied every 3–4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wide-brimmed hats, sunglasses and umbrellas and seek shade; avoid direct sun between 10 am and 4 pm.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unregulated “fairness” creams and unsupervised topical steroids, which cause rebound pigmentation and steroid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hormonal triggers — consider non-hormonal contraception if melasma began with oral contraceptives, and expect pregnancy-related melasma may persist.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melasma is chronic and relapsing: sun protection and maintenance are lifelong, and realistic expectations prevent over-treatment.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harsh facials, waxing, threading and irritant or fragranced cosmetics on affected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Fitzpatrick III–V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 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OCP / HRT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early-morning, evening or indoor exercise to limit midday UV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protective clothing, a cap and sunscreen when exercising or working outdoors.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a healthy weight to support overall skin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unavoidable outdoor activity, use tinted broad-spectrum sunscreen and reapply after sweating.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commuters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Homemakers with sun exposure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 colourful fruits and vegetables, vitamin C, carotenoids and polyphenols — to counter UV-induced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through diet or safe supplementation, as lower levels are seen in melasma.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high-sugar and pro-oxidant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oral photoprotective adjuncts (e.g., Polypodium leucotomos) only on medical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melasma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Veiled / low-sun-exposure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regulate stress hormones (cortisol) that can aggravate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to support overnight skin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insomnia and shift-work stress, which elevate cortisol.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to reduce oxidative stress and photoaging that may worsen 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marked photoaging</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to support hepatic hormone metabolism and reduce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increases systemic oxidative 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hepatic strain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psychosocial burden; screen for and manage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reassurance and realistic goal-setting; refer for psychological support where MELASQoL impact is high.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Recommend skin camouflage / cosmetic cover and support groups to improve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the distress-driven cycle of aggressive self-treatment and unregulated creams.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QoL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Treatment-refractory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under dermatologist supervision with strict concurrent photoprotection — the cornerstone of every regimen.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First-line topical options include the modified Kligman triple combination (hydroquinone + tretinoin + low-potency steroid) for short, supervised courses, plus hydroquinone-sparing agents such as azelaic acid, kojic acid, vitamin C and niacinamide.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or topical tranexamic acid is an effective adjunct for resistant melasma (per Indian Pigmentary Disorders Society consensus) after excluding thromboembolic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Chemical peels (glycolic, mandelic) and low-fluence/toning lasers may be added cautiously in skin of colour to avoid post-inflammatory hyperpigmentation.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aggravators: stop offending drugs and cosmetics, manage thyroid dysfunction and replace vitamin D if deficient.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maintenance therapy and periodic review, since relapse is common.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melasma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 dermal-type melasma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overlap</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007/s13555-014-0046-1" TargetMode="External"/><Relationship Id="rId10" Type="http://schemas.openxmlformats.org/officeDocument/2006/relationships/hyperlink" Target="https://www.ijpsjournal.com/article/global-epidemiology-melasma" TargetMode="External"/><Relationship Id="rId11" Type="http://schemas.openxmlformats.org/officeDocument/2006/relationships/hyperlink" Target="https://www.ijss-sn.com/uploads/2/0/1/5/20153321/06_ijss_jan_24_oa02_-_2024.pdf" TargetMode="External"/><Relationship Id="rId12" Type="http://schemas.openxmlformats.org/officeDocument/2006/relationships/hyperlink" Target="https://academicmed.org/Uploads/Volume6Issue6/164.%20%5B3014.%20JAMP_Ramanpal_Back%5D%20868-871.pdf" TargetMode="External"/><Relationship Id="rId13" Type="http://schemas.openxmlformats.org/officeDocument/2006/relationships/hyperlink" Target="https://skin.dermsquared.com/skin/article/view/1776" TargetMode="External"/><Relationship Id="rId14" Type="http://schemas.openxmlformats.org/officeDocument/2006/relationships/hyperlink" Target="https://www.m3india.in/contents/journal/melasma-and-thyroid-disorders-a-systematic-review" TargetMode="External"/><Relationship Id="rId15" Type="http://schemas.openxmlformats.org/officeDocument/2006/relationships/hyperlink" Target="https://journals.plos.org/plosone/article?id=10.1371/journal.pone.0262833" TargetMode="External"/><Relationship Id="rId16" Type="http://schemas.openxmlformats.org/officeDocument/2006/relationships/hyperlink" Target="https://ijnrd.org/papers/IJNRD251227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