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Tinea Versicolor / Pityriasis Versicolor</w:t>
      </w:r>
    </w:p>
    <w:p>
      <w:pPr>
        <w:spacing w:before="0" w:after="160"/>
      </w:pPr>
      <w:r>
        <w:rPr>
          <w:rFonts w:ascii="Calibri" w:hAnsi="Calibri"/>
          <w:b/>
          <w:i w:val="0"/>
          <w:color w:val="212121"/>
          <w:sz w:val="22"/>
        </w:rPr>
        <w:t xml:space="preserve">AKA </w:t>
      </w:r>
      <w:r>
        <w:rPr>
          <w:rFonts w:ascii="Calibri" w:hAnsi="Calibri"/>
          <w:b w:val="0"/>
          <w:i w:val="0"/>
          <w:color w:val="212121"/>
          <w:sz w:val="22"/>
        </w:rPr>
        <w:t>i.e., Pityriasis versicolor, Dermatomycosis furfuracea, Tinea flava, “chaaya rog” / “panu” / “safed daag” (common Indian lay terms), “sun fungus” / “white spots”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Tinea versicolor (pityriasis versicolor) is a common, chronic, superficial fungal infection of the stratum corneum caused by overgrowth of lipophilic commensal yeasts of the genus Malassezia (chiefly M. globosa, M. furfur and M. sympodialis) that convert from their harmless yeast form to an invasive filamentous (hyphal) form. It produces well-demarcated, finely scaly macules and patches of altered pigmentation — hypopigmented, hyperpigmented or erythematous, hence “versicolor” — predominantly over sebum-rich areas such as the upper trunk, back, neck and shoulders. It is not contagious in the ordinary sense but arises from an overgrowth of the person’s own skin flora under warm, humid conditions, and is notorious for its high rate of recurrence.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the warm, humid climate of much of India, pityriasis versicolor is among the most common superficial mycoses and a leading cause of pigmentary complaints in dermatology outpatient departments. Reported prevalence in tropical regions reaches up to 50% of the population, versus only ~1% in cold climates. It predominantly affects adolescents and young adults (mean age ~25 years) with a male preponderance in Indian hospital series; children account for roughly 31% of cases in some Indian studies, in whom the face is often the only site involved.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Diagnosis is primarily clinical, based on the characteristic appearance and supported by simple bedside tests. It is confirmed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Well-demarcated, finely scaly hypo- or hyperpigmented macules and patches over sebum-rich sites (upper trunk, back, neck, shoulders; face in children); gentle scratching or stretching elicits fine bran-like (furfuraceous) scale — the evoked-scale (Besnier’s) sign.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Potassium hydroxide (KOH 10–20%) microscopy of skin scrapings showing the pathognomonic “spaghetti and meatballs” pattern — short, thick hyphae with clusters of round yeast cells; positive in ~90–95% of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examination showing coppery-orange to golden-yellow fluorescence (present in under half of cases) that also helps delineate the true, often subclinical, extent of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showing non-uniform pigmentation with perilesional or patchy fine scaling (scaling seen in ~89%, pigmentary change in ~100%) — a useful non-invasive confirmatory aid in equivocal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lipid-supplemented media (e.g., olive-oil-overlaid Sabouraud or Dixon agar) is reserved for species identification or atypical cases, as Malassezia is lipid-dependent and will not grow on routine media.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Pityriasis versicolor is classified clinically by lesion colour, morphology and distribution rather than by stage:</w:t>
      </w:r>
    </w:p>
    <w:p>
      <w:pPr>
        <w:spacing w:before="0" w:after="80"/>
      </w:pPr>
      <w:r>
        <w:rPr>
          <w:rFonts w:ascii="Calibri" w:hAnsi="Calibri"/>
          <w:b w:val="0"/>
          <w:i w:val="0"/>
          <w:color w:val="212121"/>
          <w:sz w:val="21"/>
        </w:rPr>
        <w:t>(1) Hypopigmented (achromic) type — the commonest presentation in Indian and other pigmented-skin populations (roughly 70–90% of cases), caused by azelaic acid and other dicarboxylic acids produced by Malassezia that inhibit melanocyte tyrosinase and thereby melanin synthesis;</w:t>
      </w:r>
    </w:p>
    <w:p>
      <w:pPr>
        <w:spacing w:before="0" w:after="80"/>
      </w:pPr>
      <w:r>
        <w:rPr>
          <w:rFonts w:ascii="Calibri" w:hAnsi="Calibri"/>
          <w:b w:val="0"/>
          <w:i w:val="0"/>
          <w:color w:val="212121"/>
          <w:sz w:val="21"/>
        </w:rPr>
        <w:t>(2) Hyperpigmented type — tan to brown macules resulting from an inflammatory reaction with enlarged melanosomes and a thickened, more scaly keratin layer;</w:t>
      </w:r>
    </w:p>
    <w:p>
      <w:pPr>
        <w:spacing w:before="0" w:after="80"/>
      </w:pPr>
      <w:r>
        <w:rPr>
          <w:rFonts w:ascii="Calibri" w:hAnsi="Calibri"/>
          <w:b w:val="0"/>
          <w:i w:val="0"/>
          <w:color w:val="212121"/>
          <w:sz w:val="21"/>
        </w:rPr>
        <w:t>(3) Erythematous / inflammatory type (pityriasis versicolor rubra) — pink-red, mildly inflamed lesions, the least common colour variant;</w:t>
      </w:r>
    </w:p>
    <w:p>
      <w:pPr>
        <w:spacing w:before="0" w:after="80"/>
      </w:pPr>
      <w:r>
        <w:rPr>
          <w:rFonts w:ascii="Calibri" w:hAnsi="Calibri"/>
          <w:b w:val="0"/>
          <w:i w:val="0"/>
          <w:color w:val="212121"/>
          <w:sz w:val="21"/>
        </w:rPr>
        <w:t>(4) By distribution and variant — classic truncal disease in adolescents and adults versus facial disease in children (the face may be the only site, ~40%); rare follicular (inverse/flexural) and atrophying variants also occur.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Malassezia overgrowth (dimorphic shift): The lipophilic commensal yeast switches from its harmless blastospore form to the invasive filamentous (hyphal) form under favourable conditions, colonising the stratum corneum.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Heat and humidity: A warm, humid tropical climate — as across much of India, especially in summer and the monsoon — promotes yeast proliferation and sweat-driven surface maceration.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Sebaceous activity / oily skin (seborrhoea): Malassezia is lipid-dependent, so the sebum-rich skin of adolescents and young adults supplies the fatty nutrients it needs, explaining the peak age of onset.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Hyperhidrosis (excessive sweating): Occlusion and sweat raise skin-surface humidity and lipid content and are among the most commonly reported triggers.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Immunosuppression and endocrine/metabolic factors: Corticosteroid use, Cushing’s syndrome, diabetes, obesity, pregnancy, oral contraceptives, malnutrition and HIV favour more extensive or recurrent disease.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A positive family history is reported in roughly 15–21% of patients, suggesting inherited susceptibility in skin-surface lipid composition and immune tolerance of the yeast.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Peak incidence, driven by puberty-related sebaceous gland activity that supplies the lipids this lipid-dependent yeast needs; sweating and outdoor activity add to risk.</w:t>
            </w:r>
          </w:p>
          <w:p>
            <w:pPr>
              <w:spacing w:after="40" w:before="60" w:line="259" w:lineRule="auto"/>
            </w:pPr>
            <w:r>
              <w:rPr>
                <w:rFonts w:ascii="Calibri" w:hAnsi="Calibri"/>
                <w:b w:val="0"/>
                <w:i w:val="0"/>
                <w:color w:val="212121"/>
                <w:sz w:val="19"/>
              </w:rPr>
              <w:t>In a central-India series the mean age was 25.2 years (SD 10.6); most Indian studies place the peak in the 11–30 year range.</w:t>
            </w:r>
          </w:p>
          <w:p>
            <w:pPr>
              <w:spacing w:after="40" w:line="252" w:lineRule="auto"/>
            </w:pPr>
            <w:hyperlink r:id="rId9">
              <w:r>
                <w:rPr>
                  <w:rFonts w:ascii="Calibri" w:hAnsi="Calibri" w:cs="Calibri"/>
                  <w:sz w:val="18"/>
                  <w:color w:val="1155CC"/>
                  <w:u w:val="single"/>
                </w:rPr>
                <w:t xml:space="preserve">ijdvl.com — Malassezia species in PV, central India</w:t>
              </w:r>
            </w:hyperlink>
          </w:p>
          <w:p>
            <w:pPr>
              <w:spacing w:before="60" w:after="40"/>
            </w:pPr>
            <w:r>
              <w:rPr>
                <w:rFonts w:ascii="Calibri" w:hAnsi="Calibri"/>
                <w:b w:val="0"/>
                <w:i w:val="0"/>
                <w:color w:val="5A5A5A"/>
                <w:sz w:val="18"/>
              </w:rPr>
              <w:t>#pityriasisversicolor  #malassezia  #sebum  #youngadults  #tropical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Less common than in adults and distinctive: the face is frequently the ONLY site involved, unlike the truncal pattern of adults, and lesions are usually hypopigmented.</w:t>
            </w:r>
          </w:p>
          <w:p>
            <w:pPr>
              <w:spacing w:after="40" w:before="60" w:line="259" w:lineRule="auto"/>
            </w:pPr>
            <w:r>
              <w:rPr>
                <w:rFonts w:ascii="Calibri" w:hAnsi="Calibri"/>
                <w:b w:val="0"/>
                <w:i w:val="0"/>
                <w:color w:val="212121"/>
                <w:sz w:val="19"/>
              </w:rPr>
              <w:t>In an Indian pediatric series children (≤14 y) formed ~31% of all PV cases, with the face involved in 39.9%.</w:t>
            </w:r>
          </w:p>
          <w:p>
            <w:pPr>
              <w:spacing w:after="40" w:line="252" w:lineRule="auto"/>
            </w:pPr>
            <w:hyperlink r:id="rId10">
              <w:r>
                <w:rPr>
                  <w:rFonts w:ascii="Calibri" w:hAnsi="Calibri" w:cs="Calibri"/>
                  <w:sz w:val="18"/>
                  <w:color w:val="1155CC"/>
                  <w:u w:val="single"/>
                </w:rPr>
                <w:t xml:space="preserve">ijdvl.com — PV in the pediatric age group</w:t>
              </w:r>
            </w:hyperlink>
          </w:p>
          <w:p>
            <w:pPr>
              <w:spacing w:before="60" w:after="40"/>
            </w:pPr>
            <w:r>
              <w:rPr>
                <w:rFonts w:ascii="Calibri" w:hAnsi="Calibri"/>
                <w:b w:val="0"/>
                <w:i w:val="0"/>
                <w:color w:val="5A5A5A"/>
                <w:sz w:val="18"/>
              </w:rPr>
              <w:t>#pediatric  #facialPV  #hypopigmented  #children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Lower incidence as sebaceous (sebum) output declines with age; when extensive PV appears in older adults it should prompt a look for diabetes, corticosteroid use or other immunosuppression.</w:t>
            </w:r>
          </w:p>
          <w:p>
            <w:pPr>
              <w:spacing w:after="40" w:before="60" w:line="259" w:lineRule="auto"/>
            </w:pPr>
            <w:r>
              <w:rPr>
                <w:rFonts w:ascii="Calibri" w:hAnsi="Calibri"/>
                <w:b w:val="0"/>
                <w:i w:val="0"/>
                <w:color w:val="212121"/>
                <w:sz w:val="19"/>
              </w:rPr>
              <w:t>PV is uncommon at the extremes of age and peaks in the sebum-rich adolescent–young-adult years.</w:t>
            </w:r>
          </w:p>
          <w:p>
            <w:pPr>
              <w:spacing w:before="60" w:after="40"/>
            </w:pPr>
            <w:r>
              <w:rPr>
                <w:rFonts w:ascii="Calibri" w:hAnsi="Calibri"/>
                <w:b w:val="0"/>
                <w:i w:val="0"/>
                <w:color w:val="5A5A5A"/>
                <w:sz w:val="18"/>
              </w:rPr>
              <w:t>#elderly  #lowsebum  #immunosuppression  #screen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 preponderance is consistent across Indian hospital series, attributed partly to greater outdoor heat and sweat exposure, higher sebum output and health-seeking/referral patterns.</w:t>
            </w:r>
          </w:p>
          <w:p>
            <w:pPr>
              <w:spacing w:after="40" w:before="60" w:line="259" w:lineRule="auto"/>
            </w:pPr>
            <w:r>
              <w:rPr>
                <w:rFonts w:ascii="Calibri" w:hAnsi="Calibri"/>
                <w:b w:val="0"/>
                <w:i w:val="0"/>
                <w:color w:val="212121"/>
                <w:sz w:val="19"/>
              </w:rPr>
              <w:t>Male-to-female ratios of ~69:31 and 80:20 are reported in Indian clinicomycological studies.</w:t>
            </w:r>
          </w:p>
          <w:p>
            <w:pPr>
              <w:spacing w:after="40" w:line="252" w:lineRule="auto"/>
            </w:pPr>
            <w:hyperlink r:id="rId11">
              <w:r>
                <w:rPr>
                  <w:rFonts w:ascii="Calibri" w:hAnsi="Calibri" w:cs="Calibri"/>
                  <w:sz w:val="18"/>
                  <w:color w:val="1155CC"/>
                  <w:u w:val="single"/>
                </w:rPr>
                <w:t xml:space="preserve">academicmed.org — clinicomycological profile of PV</w:t>
              </w:r>
            </w:hyperlink>
          </w:p>
          <w:p>
            <w:pPr>
              <w:spacing w:before="60" w:after="40"/>
            </w:pPr>
            <w:r>
              <w:rPr>
                <w:rFonts w:ascii="Calibri" w:hAnsi="Calibri"/>
                <w:b w:val="0"/>
                <w:i w:val="0"/>
                <w:color w:val="5A5A5A"/>
                <w:sz w:val="18"/>
              </w:rPr>
              <w:t>#male  #outdoorwork  #sweat  #sebum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&amp; middle socioeconomic groups</w:t>
            </w:r>
          </w:p>
        </w:tc>
        <w:tc>
          <w:tcPr>
            <w:tcW w:type="dxa" w:w="4276"/>
            <w:vAlign w:val="top"/>
          </w:tcPr>
          <w:p>
            <w:pPr>
              <w:spacing w:after="60" w:line="259" w:lineRule="auto"/>
            </w:pPr>
            <w:r>
              <w:rPr>
                <w:rFonts w:ascii="Calibri" w:hAnsi="Calibri"/>
                <w:b w:val="0"/>
                <w:i w:val="0"/>
                <w:color w:val="212121"/>
                <w:sz w:val="19"/>
              </w:rPr>
              <w:t>Overcrowding, hot poorly-ventilated housing without air-conditioning, occupational heat and sweating, and shared/occlusive clothing all favour Malassezia overgrowth.</w:t>
            </w:r>
          </w:p>
          <w:p>
            <w:pPr>
              <w:spacing w:after="40" w:before="60" w:line="259" w:lineRule="auto"/>
            </w:pPr>
            <w:r>
              <w:rPr>
                <w:rFonts w:ascii="Calibri" w:hAnsi="Calibri"/>
                <w:b w:val="0"/>
                <w:i w:val="0"/>
                <w:color w:val="212121"/>
                <w:sz w:val="19"/>
              </w:rPr>
              <w:t>In an Indian pediatric PV series 71.6% of affected children came from lower and middle socioeconomic groups.</w:t>
            </w:r>
          </w:p>
          <w:p>
            <w:pPr>
              <w:spacing w:after="40" w:line="252" w:lineRule="auto"/>
            </w:pPr>
            <w:hyperlink r:id="rId10">
              <w:r>
                <w:rPr>
                  <w:rFonts w:ascii="Calibri" w:hAnsi="Calibri" w:cs="Calibri"/>
                  <w:sz w:val="18"/>
                  <w:color w:val="1155CC"/>
                  <w:u w:val="single"/>
                </w:rPr>
                <w:t xml:space="preserve">ijdvl.com — PV in the pediatric age group</w:t>
              </w:r>
            </w:hyperlink>
          </w:p>
          <w:p>
            <w:pPr>
              <w:spacing w:before="60" w:after="40"/>
            </w:pPr>
            <w:r>
              <w:rPr>
                <w:rFonts w:ascii="Calibri" w:hAnsi="Calibri"/>
                <w:b w:val="0"/>
                <w:i w:val="0"/>
                <w:color w:val="5A5A5A"/>
                <w:sz w:val="18"/>
              </w:rPr>
              <w:t>#socioeconomic  #overcrowding  #heat  #occupation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Climate / region</w:t>
            </w:r>
          </w:p>
        </w:tc>
        <w:tc>
          <w:tcPr>
            <w:tcW w:type="dxa" w:w="2160"/>
            <w:vAlign w:val="top"/>
          </w:tcPr>
          <w:p>
            <w:pPr>
              <w:spacing w:after="40" w:before="0" w:line="259" w:lineRule="auto"/>
            </w:pPr>
            <w:r>
              <w:rPr>
                <w:rFonts w:ascii="Calibri" w:hAnsi="Calibri"/>
                <w:b w:val="0"/>
                <w:i w:val="0"/>
                <w:color w:val="212121"/>
                <w:sz w:val="19"/>
              </w:rPr>
              <w:t>Tropical, coastal &amp; humid India</w:t>
            </w:r>
          </w:p>
        </w:tc>
        <w:tc>
          <w:tcPr>
            <w:tcW w:type="dxa" w:w="4276"/>
            <w:vAlign w:val="top"/>
          </w:tcPr>
          <w:p>
            <w:pPr>
              <w:spacing w:after="60" w:line="259" w:lineRule="auto"/>
            </w:pPr>
            <w:r>
              <w:rPr>
                <w:rFonts w:ascii="Calibri" w:hAnsi="Calibri"/>
                <w:b w:val="0"/>
                <w:i w:val="0"/>
                <w:color w:val="212121"/>
                <w:sz w:val="19"/>
              </w:rPr>
              <w:t>High ambient temperature and humidity — characteristic of coastal and much of peninsular India and of the summer/monsoon months — drive yeast proliferation and sweating, the core triggers.</w:t>
            </w:r>
          </w:p>
          <w:p>
            <w:pPr>
              <w:spacing w:after="40" w:before="60" w:line="259" w:lineRule="auto"/>
            </w:pPr>
            <w:r>
              <w:rPr>
                <w:rFonts w:ascii="Calibri" w:hAnsi="Calibri"/>
                <w:b w:val="0"/>
                <w:i w:val="0"/>
                <w:color w:val="212121"/>
                <w:sz w:val="19"/>
              </w:rPr>
              <w:t>Prevalence in tropical, humid regions reaches up to ~50%, versus roughly 1% in cold climates.</w:t>
            </w:r>
          </w:p>
          <w:p>
            <w:pPr>
              <w:spacing w:after="40" w:line="252" w:lineRule="auto"/>
            </w:pPr>
            <w:hyperlink r:id="rId12">
              <w:r>
                <w:rPr>
                  <w:rFonts w:ascii="Calibri" w:hAnsi="Calibri" w:cs="Calibri"/>
                  <w:sz w:val="18"/>
                  <w:color w:val="1155CC"/>
                  <w:u w:val="single"/>
                </w:rPr>
                <w:t xml:space="preserve">ncbi.nlm.nih.gov — Tinea Versicolor (StatPearls)</w:t>
              </w:r>
            </w:hyperlink>
          </w:p>
          <w:p>
            <w:pPr>
              <w:spacing w:before="60" w:after="40"/>
            </w:pPr>
            <w:r>
              <w:rPr>
                <w:rFonts w:ascii="Calibri" w:hAnsi="Calibri"/>
                <w:b w:val="0"/>
                <w:i w:val="0"/>
                <w:color w:val="5A5A5A"/>
                <w:sz w:val="18"/>
              </w:rPr>
              <w:t>#tropicalclimate  #humidity  #monsoon  #coastal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skin type</w:t>
            </w:r>
          </w:p>
        </w:tc>
        <w:tc>
          <w:tcPr>
            <w:tcW w:type="dxa" w:w="2160"/>
            <w:vAlign w:val="top"/>
          </w:tcPr>
          <w:p>
            <w:pPr>
              <w:spacing w:after="40" w:before="0" w:line="259" w:lineRule="auto"/>
            </w:pPr>
            <w:r>
              <w:rPr>
                <w:rFonts w:ascii="Calibri" w:hAnsi="Calibri"/>
                <w:b w:val="0"/>
                <w:i w:val="0"/>
                <w:color w:val="212121"/>
                <w:sz w:val="19"/>
              </w:rPr>
              <w:t>Pigmented (Fitzpatrick III–V) Indian skin</w:t>
            </w:r>
          </w:p>
        </w:tc>
        <w:tc>
          <w:tcPr>
            <w:tcW w:type="dxa" w:w="4276"/>
            <w:vAlign w:val="top"/>
          </w:tcPr>
          <w:p>
            <w:pPr>
              <w:spacing w:after="60" w:line="259" w:lineRule="auto"/>
            </w:pPr>
            <w:r>
              <w:rPr>
                <w:rFonts w:ascii="Calibri" w:hAnsi="Calibri"/>
                <w:b w:val="0"/>
                <w:i w:val="0"/>
                <w:color w:val="212121"/>
                <w:sz w:val="19"/>
              </w:rPr>
              <w:t>Incidence shows no true ethnic predilection, but on darker Indian skin the hypopigmented (achromic) variant produces a striking colour contrast, making lesions cosmetically prominent and a frequent reason for consultation.</w:t>
            </w:r>
          </w:p>
          <w:p>
            <w:pPr>
              <w:spacing w:after="40" w:before="60" w:line="259" w:lineRule="auto"/>
            </w:pPr>
            <w:r>
              <w:rPr>
                <w:rFonts w:ascii="Calibri" w:hAnsi="Calibri"/>
                <w:b w:val="0"/>
                <w:i w:val="0"/>
                <w:color w:val="212121"/>
                <w:sz w:val="19"/>
              </w:rPr>
              <w:t>Hypopigmented lesions predominate in Indian series (~70–91% of cases).</w:t>
            </w:r>
          </w:p>
          <w:p>
            <w:pPr>
              <w:spacing w:after="40" w:line="252" w:lineRule="auto"/>
            </w:pPr>
            <w:hyperlink r:id="rId9">
              <w:r>
                <w:rPr>
                  <w:rFonts w:ascii="Calibri" w:hAnsi="Calibri" w:cs="Calibri"/>
                  <w:sz w:val="18"/>
                  <w:color w:val="1155CC"/>
                  <w:u w:val="single"/>
                </w:rPr>
                <w:t xml:space="preserve">ijdvl.com — Malassezia species in PV, central India</w:t>
              </w:r>
            </w:hyperlink>
          </w:p>
          <w:p>
            <w:pPr>
              <w:spacing w:before="60" w:after="40"/>
            </w:pPr>
            <w:r>
              <w:rPr>
                <w:rFonts w:ascii="Calibri" w:hAnsi="Calibri"/>
                <w:b w:val="0"/>
                <w:i w:val="0"/>
                <w:color w:val="5A5A5A"/>
                <w:sz w:val="18"/>
              </w:rPr>
              <w:t>#skinoftone  #hypopigmentation  #cosmetic  #contrast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occupational heat</w:t>
            </w:r>
          </w:p>
        </w:tc>
        <w:tc>
          <w:tcPr>
            <w:tcW w:type="dxa" w:w="2160"/>
            <w:vAlign w:val="top"/>
          </w:tcPr>
          <w:p>
            <w:pPr>
              <w:spacing w:after="40" w:before="0" w:line="259" w:lineRule="auto"/>
            </w:pPr>
            <w:r>
              <w:rPr>
                <w:rFonts w:ascii="Calibri" w:hAnsi="Calibri"/>
                <w:b w:val="0"/>
                <w:i w:val="0"/>
                <w:color w:val="212121"/>
                <w:sz w:val="19"/>
              </w:rPr>
              <w:t>Outdoor labourers, athletes, cooks, military, factory workers</w:t>
            </w:r>
          </w:p>
        </w:tc>
        <w:tc>
          <w:tcPr>
            <w:tcW w:type="dxa" w:w="4276"/>
            <w:vAlign w:val="top"/>
          </w:tcPr>
          <w:p>
            <w:pPr>
              <w:spacing w:after="60" w:line="259" w:lineRule="auto"/>
            </w:pPr>
            <w:r>
              <w:rPr>
                <w:rFonts w:ascii="Calibri" w:hAnsi="Calibri"/>
                <w:b w:val="0"/>
                <w:i w:val="0"/>
                <w:color w:val="212121"/>
                <w:sz w:val="19"/>
              </w:rPr>
              <w:t>Prolonged heat exposure with sweating and occlusive uniforms or protective gear raises skin-surface humidity and lipids, promoting the yeast’s hyphal overgrowth.</w:t>
            </w:r>
          </w:p>
          <w:p>
            <w:pPr>
              <w:spacing w:after="40" w:before="60" w:line="259" w:lineRule="auto"/>
            </w:pPr>
            <w:r>
              <w:rPr>
                <w:rFonts w:ascii="Calibri" w:hAnsi="Calibri"/>
                <w:b w:val="0"/>
                <w:i w:val="0"/>
                <w:color w:val="212121"/>
                <w:sz w:val="19"/>
              </w:rPr>
              <w:t>A history of increased sweating was reported by ~42.6% of PV patients in an Indian study.</w:t>
            </w:r>
          </w:p>
          <w:p>
            <w:pPr>
              <w:spacing w:after="40" w:line="252" w:lineRule="auto"/>
            </w:pPr>
            <w:hyperlink r:id="rId13">
              <w:r>
                <w:rPr>
                  <w:rFonts w:ascii="Calibri" w:hAnsi="Calibri" w:cs="Calibri"/>
                  <w:sz w:val="18"/>
                  <w:color w:val="1155CC"/>
                  <w:u w:val="single"/>
                </w:rPr>
                <w:t xml:space="preserve">pmc.ncbi.nlm.nih.gov — PV clinical/dermoscopic study</w:t>
              </w:r>
            </w:hyperlink>
          </w:p>
          <w:p>
            <w:pPr>
              <w:spacing w:before="60" w:after="40"/>
            </w:pPr>
            <w:r>
              <w:rPr>
                <w:rFonts w:ascii="Calibri" w:hAnsi="Calibri"/>
                <w:b w:val="0"/>
                <w:i w:val="0"/>
                <w:color w:val="5A5A5A"/>
                <w:sz w:val="18"/>
              </w:rPr>
              <w:t>#occupationalheat  #athletes  #uniforms  #sweat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Excessive sweating / occlusive clothing</w:t>
            </w:r>
          </w:p>
        </w:tc>
        <w:tc>
          <w:tcPr>
            <w:tcW w:type="dxa" w:w="2160"/>
            <w:vAlign w:val="top"/>
          </w:tcPr>
          <w:p>
            <w:pPr>
              <w:spacing w:after="40" w:before="0" w:line="259" w:lineRule="auto"/>
            </w:pPr>
            <w:r>
              <w:rPr>
                <w:rFonts w:ascii="Calibri" w:hAnsi="Calibri"/>
                <w:b w:val="0"/>
                <w:i w:val="0"/>
                <w:color w:val="212121"/>
                <w:sz w:val="19"/>
              </w:rPr>
              <w:t>Gym-goers, those in synthetic or tight clothing, hyperhidrosis</w:t>
            </w:r>
          </w:p>
        </w:tc>
        <w:tc>
          <w:tcPr>
            <w:tcW w:type="dxa" w:w="4276"/>
            <w:vAlign w:val="top"/>
          </w:tcPr>
          <w:p>
            <w:pPr>
              <w:spacing w:after="60" w:line="259" w:lineRule="auto"/>
            </w:pPr>
            <w:r>
              <w:rPr>
                <w:rFonts w:ascii="Calibri" w:hAnsi="Calibri"/>
                <w:b w:val="0"/>
                <w:i w:val="0"/>
                <w:color w:val="212121"/>
                <w:sz w:val="19"/>
              </w:rPr>
              <w:t>Sweat trapped under synthetic, tight or unchanged clothing creates a warm, moist, lipid-rich micro-environment ideal for Malassezia proliferation.</w:t>
            </w:r>
          </w:p>
          <w:p>
            <w:pPr>
              <w:spacing w:after="40" w:before="60" w:line="259" w:lineRule="auto"/>
            </w:pPr>
            <w:r>
              <w:rPr>
                <w:rFonts w:ascii="Calibri" w:hAnsi="Calibri"/>
                <w:b w:val="0"/>
                <w:i w:val="0"/>
                <w:color w:val="212121"/>
                <w:sz w:val="19"/>
              </w:rPr>
              <w:t>Sweating is one of the most frequently cited predisposing factors; reported by ~43% of patients.</w:t>
            </w:r>
          </w:p>
          <w:p>
            <w:pPr>
              <w:spacing w:after="40" w:line="252" w:lineRule="auto"/>
            </w:pPr>
            <w:hyperlink r:id="rId13">
              <w:r>
                <w:rPr>
                  <w:rFonts w:ascii="Calibri" w:hAnsi="Calibri" w:cs="Calibri"/>
                  <w:sz w:val="18"/>
                  <w:color w:val="1155CC"/>
                  <w:u w:val="single"/>
                </w:rPr>
                <w:t xml:space="preserve">pmc.ncbi.nlm.nih.gov — PV clinical/dermoscopic study</w:t>
              </w:r>
            </w:hyperlink>
          </w:p>
          <w:p>
            <w:pPr>
              <w:spacing w:before="60" w:after="40"/>
            </w:pPr>
            <w:r>
              <w:rPr>
                <w:rFonts w:ascii="Calibri" w:hAnsi="Calibri"/>
                <w:b w:val="0"/>
                <w:i w:val="0"/>
                <w:color w:val="5A5A5A"/>
                <w:sz w:val="18"/>
              </w:rPr>
              <w:t>#hyperhidrosis  #occlusion  #syntheticclothing  #gym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Oily skin / topical oils &amp; emollients</w:t>
            </w:r>
          </w:p>
        </w:tc>
        <w:tc>
          <w:tcPr>
            <w:tcW w:type="dxa" w:w="2160"/>
            <w:vAlign w:val="top"/>
          </w:tcPr>
          <w:p>
            <w:pPr>
              <w:spacing w:after="40" w:before="0" w:line="259" w:lineRule="auto"/>
            </w:pPr>
            <w:r>
              <w:rPr>
                <w:rFonts w:ascii="Calibri" w:hAnsi="Calibri"/>
                <w:b w:val="0"/>
                <w:i w:val="0"/>
                <w:color w:val="212121"/>
                <w:sz w:val="19"/>
              </w:rPr>
              <w:t>Regular oil-massage users, heavy emollient/sunscreen use, oily-skin phenotype</w:t>
            </w:r>
          </w:p>
        </w:tc>
        <w:tc>
          <w:tcPr>
            <w:tcW w:type="dxa" w:w="4276"/>
            <w:vAlign w:val="top"/>
          </w:tcPr>
          <w:p>
            <w:pPr>
              <w:spacing w:after="60" w:line="259" w:lineRule="auto"/>
            </w:pPr>
            <w:r>
              <w:rPr>
                <w:rFonts w:ascii="Calibri" w:hAnsi="Calibri"/>
                <w:b w:val="0"/>
                <w:i w:val="0"/>
                <w:color w:val="212121"/>
                <w:sz w:val="19"/>
              </w:rPr>
              <w:t>Because Malassezia is lipid-dependent, oily skin and the application of oils, greasy emollients or occlusive cosmetics (including under face masks) provide extra fatty nutrients that feed the yeast.</w:t>
            </w:r>
          </w:p>
          <w:p>
            <w:pPr>
              <w:spacing w:after="40" w:before="60" w:line="259" w:lineRule="auto"/>
            </w:pPr>
            <w:r>
              <w:rPr>
                <w:rFonts w:ascii="Calibri" w:hAnsi="Calibri"/>
                <w:b w:val="0"/>
                <w:i w:val="0"/>
                <w:color w:val="212121"/>
                <w:sz w:val="19"/>
              </w:rPr>
              <w:t>Seborrhoea and oily emollients are recognised predisposing factors for pityriasis versicolor.</w:t>
            </w:r>
          </w:p>
          <w:p>
            <w:pPr>
              <w:spacing w:after="40" w:line="252" w:lineRule="auto"/>
            </w:pPr>
            <w:hyperlink r:id="rId14">
              <w:r>
                <w:rPr>
                  <w:rFonts w:ascii="Calibri" w:hAnsi="Calibri" w:cs="Calibri"/>
                  <w:sz w:val="18"/>
                  <w:color w:val="1155CC"/>
                  <w:u w:val="single"/>
                </w:rPr>
                <w:t xml:space="preserve">mdpi.com — PV narrative review (Life, 2023)</w:t>
              </w:r>
            </w:hyperlink>
          </w:p>
          <w:p>
            <w:pPr>
              <w:spacing w:before="60" w:after="40"/>
            </w:pPr>
            <w:r>
              <w:rPr>
                <w:rFonts w:ascii="Calibri" w:hAnsi="Calibri"/>
                <w:b w:val="0"/>
                <w:i w:val="0"/>
                <w:color w:val="5A5A5A"/>
                <w:sz w:val="18"/>
              </w:rPr>
              <w:t>#oilyskin  #seborrhoea  #oilmassage  #emollients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individuals</w:t>
            </w:r>
          </w:p>
        </w:tc>
        <w:tc>
          <w:tcPr>
            <w:tcW w:type="dxa" w:w="4276"/>
            <w:vAlign w:val="top"/>
          </w:tcPr>
          <w:p>
            <w:pPr>
              <w:spacing w:after="60" w:line="259" w:lineRule="auto"/>
            </w:pPr>
            <w:r>
              <w:rPr>
                <w:rFonts w:ascii="Calibri" w:hAnsi="Calibri"/>
                <w:b w:val="0"/>
                <w:i w:val="0"/>
                <w:color w:val="212121"/>
                <w:sz w:val="19"/>
              </w:rPr>
              <w:t>Obesity increases skin folds, sweating and sebum and is associated with diabetes and insulin resistance, all of which favour more extensive or recurrent Malassezia overgrowth.</w:t>
            </w:r>
          </w:p>
          <w:p>
            <w:pPr>
              <w:spacing w:after="40" w:before="60" w:line="259" w:lineRule="auto"/>
            </w:pPr>
            <w:r>
              <w:rPr>
                <w:rFonts w:ascii="Calibri" w:hAnsi="Calibri"/>
                <w:b w:val="0"/>
                <w:i w:val="0"/>
                <w:color w:val="212121"/>
                <w:sz w:val="19"/>
              </w:rPr>
              <w:t>Obesity and diabetes are listed among the predisposing factors for pityriasis versicolor.</w:t>
            </w:r>
          </w:p>
          <w:p>
            <w:pPr>
              <w:spacing w:after="40" w:line="252" w:lineRule="auto"/>
            </w:pPr>
            <w:hyperlink r:id="rId14">
              <w:r>
                <w:rPr>
                  <w:rFonts w:ascii="Calibri" w:hAnsi="Calibri" w:cs="Calibri"/>
                  <w:sz w:val="18"/>
                  <w:color w:val="1155CC"/>
                  <w:u w:val="single"/>
                </w:rPr>
                <w:t xml:space="preserve">mdpi.com — PV narrative review (Life, 2023)</w:t>
              </w:r>
            </w:hyperlink>
          </w:p>
          <w:p>
            <w:pPr>
              <w:spacing w:before="60" w:after="40"/>
            </w:pPr>
            <w:r>
              <w:rPr>
                <w:rFonts w:ascii="Calibri" w:hAnsi="Calibri"/>
                <w:b w:val="0"/>
                <w:i w:val="0"/>
                <w:color w:val="5A5A5A"/>
                <w:sz w:val="18"/>
              </w:rPr>
              <w:t>#obesity  #skinfolds  #sweat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smokers</w:t>
            </w:r>
          </w:p>
        </w:tc>
        <w:tc>
          <w:tcPr>
            <w:tcW w:type="dxa" w:w="4276"/>
            <w:vAlign w:val="top"/>
          </w:tcPr>
          <w:p>
            <w:pPr>
              <w:spacing w:after="60" w:line="259" w:lineRule="auto"/>
            </w:pPr>
            <w:r>
              <w:rPr>
                <w:rFonts w:ascii="Calibri" w:hAnsi="Calibri"/>
                <w:b w:val="0"/>
                <w:i w:val="0"/>
                <w:color w:val="212121"/>
                <w:sz w:val="19"/>
              </w:rPr>
              <w:t>Smoking is not an established causal risk factor for pityriasis versicolor; any effect is indirect through impaired cutaneous immunity and microcirculation. Cessation is advised for general skin health.</w:t>
            </w:r>
          </w:p>
          <w:p>
            <w:pPr>
              <w:spacing w:after="40" w:before="60" w:line="259" w:lineRule="auto"/>
            </w:pPr>
            <w:r>
              <w:rPr>
                <w:rFonts w:ascii="Calibri" w:hAnsi="Calibri"/>
                <w:b w:val="0"/>
                <w:i w:val="0"/>
                <w:color w:val="212121"/>
                <w:sz w:val="19"/>
              </w:rPr>
              <w:t>No consistent, direct association between smoking and pityriasis versicolor has been established.</w:t>
            </w:r>
          </w:p>
          <w:p>
            <w:pPr>
              <w:spacing w:before="60" w:after="40"/>
            </w:pPr>
            <w:r>
              <w:rPr>
                <w:rFonts w:ascii="Calibri" w:hAnsi="Calibri"/>
                <w:b w:val="0"/>
                <w:i w:val="0"/>
                <w:color w:val="5A5A5A"/>
                <w:sz w:val="18"/>
              </w:rPr>
              <w:t>#smoking  #notestablished  #skinimmunity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Alcohol is not a recognised direct cause; heavy use may impair immunity and liver function, which is chiefly relevant because it influences the safety of oral azole antifungals used for extensive disease.</w:t>
            </w:r>
          </w:p>
          <w:p>
            <w:pPr>
              <w:spacing w:after="40" w:before="60" w:line="259" w:lineRule="auto"/>
            </w:pPr>
            <w:r>
              <w:rPr>
                <w:rFonts w:ascii="Calibri" w:hAnsi="Calibri"/>
                <w:b w:val="0"/>
                <w:i w:val="0"/>
                <w:color w:val="212121"/>
                <w:sz w:val="19"/>
              </w:rPr>
              <w:t>No established direct link between alcohol intake and pityriasis versicolor risk.</w:t>
            </w:r>
          </w:p>
          <w:p>
            <w:pPr>
              <w:spacing w:before="60" w:after="40"/>
            </w:pPr>
            <w:r>
              <w:rPr>
                <w:rFonts w:ascii="Calibri" w:hAnsi="Calibri"/>
                <w:b w:val="0"/>
                <w:i w:val="0"/>
                <w:color w:val="5A5A5A"/>
                <w:sz w:val="18"/>
              </w:rPr>
              <w:t>#alcohol  #notestablished  #azolesafety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Nutritional status</w:t>
            </w:r>
          </w:p>
        </w:tc>
        <w:tc>
          <w:tcPr>
            <w:tcW w:type="dxa" w:w="2160"/>
            <w:vAlign w:val="top"/>
          </w:tcPr>
          <w:p>
            <w:pPr>
              <w:spacing w:after="40" w:before="0" w:line="259" w:lineRule="auto"/>
            </w:pPr>
            <w:r>
              <w:rPr>
                <w:rFonts w:ascii="Calibri" w:hAnsi="Calibri"/>
                <w:b w:val="0"/>
                <w:i w:val="0"/>
                <w:color w:val="212121"/>
                <w:sz w:val="19"/>
              </w:rPr>
              <w:t>Malnourished / poor general health</w:t>
            </w:r>
          </w:p>
        </w:tc>
        <w:tc>
          <w:tcPr>
            <w:tcW w:type="dxa" w:w="4276"/>
            <w:vAlign w:val="top"/>
          </w:tcPr>
          <w:p>
            <w:pPr>
              <w:spacing w:after="60" w:line="259" w:lineRule="auto"/>
            </w:pPr>
            <w:r>
              <w:rPr>
                <w:rFonts w:ascii="Calibri" w:hAnsi="Calibri"/>
                <w:b w:val="0"/>
                <w:i w:val="0"/>
                <w:color w:val="212121"/>
                <w:sz w:val="19"/>
              </w:rPr>
              <w:t>Malnutrition and poor general health impair skin-barrier integrity and immune surveillance, a recognised predisposition to more widespread or persistent disease; no specific food causes or cures PV.</w:t>
            </w:r>
          </w:p>
          <w:p>
            <w:pPr>
              <w:spacing w:after="40" w:before="60" w:line="259" w:lineRule="auto"/>
            </w:pPr>
            <w:r>
              <w:rPr>
                <w:rFonts w:ascii="Calibri" w:hAnsi="Calibri"/>
                <w:b w:val="0"/>
                <w:i w:val="0"/>
                <w:color w:val="212121"/>
                <w:sz w:val="19"/>
              </w:rPr>
              <w:t>Malnutrition and poor general health are cited among classic predisposing factors.</w:t>
            </w:r>
          </w:p>
          <w:p>
            <w:pPr>
              <w:spacing w:after="40" w:line="252" w:lineRule="auto"/>
            </w:pPr>
            <w:hyperlink r:id="rId12">
              <w:r>
                <w:rPr>
                  <w:rFonts w:ascii="Calibri" w:hAnsi="Calibri" w:cs="Calibri"/>
                  <w:sz w:val="18"/>
                  <w:color w:val="1155CC"/>
                  <w:u w:val="single"/>
                </w:rPr>
                <w:t xml:space="preserve">ncbi.nlm.nih.gov — Tinea Versicolor (StatPearls)</w:t>
              </w:r>
            </w:hyperlink>
          </w:p>
          <w:p>
            <w:pPr>
              <w:spacing w:before="60" w:after="40"/>
            </w:pPr>
            <w:r>
              <w:rPr>
                <w:rFonts w:ascii="Calibri" w:hAnsi="Calibri"/>
                <w:b w:val="0"/>
                <w:i w:val="0"/>
                <w:color w:val="5A5A5A"/>
                <w:sz w:val="18"/>
              </w:rPr>
              <w:t>#malnutrition  #immunity  #barrier  #generalhealth</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PV</w:t>
            </w:r>
          </w:p>
        </w:tc>
        <w:tc>
          <w:tcPr>
            <w:tcW w:type="dxa" w:w="4276"/>
            <w:vAlign w:val="top"/>
          </w:tcPr>
          <w:p>
            <w:pPr>
              <w:spacing w:after="60" w:line="259" w:lineRule="auto"/>
            </w:pPr>
            <w:r>
              <w:rPr>
                <w:rFonts w:ascii="Calibri" w:hAnsi="Calibri"/>
                <w:b w:val="0"/>
                <w:i w:val="0"/>
                <w:color w:val="212121"/>
                <w:sz w:val="19"/>
              </w:rPr>
              <w:t>Familial clustering suggests inherited susceptibility, probably in skin-surface lipid composition and in immune tolerance of the commensal yeast.</w:t>
            </w:r>
          </w:p>
          <w:p>
            <w:pPr>
              <w:spacing w:after="40" w:before="60" w:line="259" w:lineRule="auto"/>
            </w:pPr>
            <w:r>
              <w:rPr>
                <w:rFonts w:ascii="Calibri" w:hAnsi="Calibri"/>
                <w:b w:val="0"/>
                <w:i w:val="0"/>
                <w:color w:val="212121"/>
                <w:sz w:val="19"/>
              </w:rPr>
              <w:t>A positive family history is reported in ~15.7–21% of patients across studies.</w:t>
            </w:r>
          </w:p>
          <w:p>
            <w:pPr>
              <w:spacing w:after="40" w:line="252" w:lineRule="auto"/>
            </w:pPr>
            <w:hyperlink r:id="rId12">
              <w:r>
                <w:rPr>
                  <w:rFonts w:ascii="Calibri" w:hAnsi="Calibri" w:cs="Calibri"/>
                  <w:sz w:val="18"/>
                  <w:color w:val="1155CC"/>
                  <w:u w:val="single"/>
                </w:rPr>
                <w:t xml:space="preserve">ncbi.nlm.nih.gov — Tinea Versicolor (StatPearls)</w:t>
              </w:r>
            </w:hyperlink>
          </w:p>
          <w:p>
            <w:pPr>
              <w:spacing w:before="60" w:after="40"/>
            </w:pPr>
            <w:r>
              <w:rPr>
                <w:rFonts w:ascii="Calibri" w:hAnsi="Calibri"/>
                <w:b w:val="0"/>
                <w:i w:val="0"/>
                <w:color w:val="5A5A5A"/>
                <w:sz w:val="18"/>
              </w:rPr>
              <w:t>#familyhistory  #genetic  #susceptibility  #skinlipids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Seborrhoeic dermatitis</w:t>
            </w:r>
          </w:p>
        </w:tc>
        <w:tc>
          <w:tcPr>
            <w:tcW w:type="dxa" w:w="2160"/>
            <w:vAlign w:val="top"/>
          </w:tcPr>
          <w:p>
            <w:pPr>
              <w:spacing w:after="40" w:before="0" w:line="259" w:lineRule="auto"/>
            </w:pPr>
            <w:r>
              <w:rPr>
                <w:rFonts w:ascii="Calibri" w:hAnsi="Calibri"/>
                <w:b w:val="0"/>
                <w:i w:val="0"/>
                <w:color w:val="212121"/>
                <w:sz w:val="19"/>
              </w:rPr>
              <w:t>Patients with seborrhoeic dermatitis / dandruff</w:t>
            </w:r>
          </w:p>
        </w:tc>
        <w:tc>
          <w:tcPr>
            <w:tcW w:type="dxa" w:w="4276"/>
            <w:vAlign w:val="top"/>
          </w:tcPr>
          <w:p>
            <w:pPr>
              <w:spacing w:after="60" w:line="259" w:lineRule="auto"/>
            </w:pPr>
            <w:r>
              <w:rPr>
                <w:rFonts w:ascii="Calibri" w:hAnsi="Calibri"/>
                <w:b w:val="0"/>
                <w:i w:val="0"/>
                <w:color w:val="212121"/>
                <w:sz w:val="19"/>
              </w:rPr>
              <w:t>Shares the same Malassezia commensal on sebum-rich skin; the two conditions frequently coexist and the scalp/face acts as a yeast reservoir that can re-seed the trunk.</w:t>
            </w:r>
          </w:p>
          <w:p>
            <w:pPr>
              <w:spacing w:after="40" w:before="60" w:line="259" w:lineRule="auto"/>
            </w:pPr>
            <w:r>
              <w:rPr>
                <w:rFonts w:ascii="Calibri" w:hAnsi="Calibri"/>
                <w:b w:val="0"/>
                <w:i w:val="0"/>
                <w:color w:val="212121"/>
                <w:sz w:val="19"/>
              </w:rPr>
              <w:t>Concurrent seborrhoeic dermatitis was noted in ~8.7% of PV patients in an Indian dermoscopy study.</w:t>
            </w:r>
          </w:p>
          <w:p>
            <w:pPr>
              <w:spacing w:after="40" w:line="252" w:lineRule="auto"/>
            </w:pPr>
            <w:hyperlink r:id="rId13">
              <w:r>
                <w:rPr>
                  <w:rFonts w:ascii="Calibri" w:hAnsi="Calibri" w:cs="Calibri"/>
                  <w:sz w:val="18"/>
                  <w:color w:val="1155CC"/>
                  <w:u w:val="single"/>
                </w:rPr>
                <w:t xml:space="preserve">pmc.ncbi.nlm.nih.gov — PV clinical/dermoscopic study</w:t>
              </w:r>
            </w:hyperlink>
          </w:p>
          <w:p>
            <w:pPr>
              <w:spacing w:before="60" w:after="40"/>
            </w:pPr>
            <w:r>
              <w:rPr>
                <w:rFonts w:ascii="Calibri" w:hAnsi="Calibri"/>
                <w:b w:val="0"/>
                <w:i w:val="0"/>
                <w:color w:val="5A5A5A"/>
                <w:sz w:val="18"/>
              </w:rPr>
              <w:t>#seborrhoeicdermatitis  #malassezia  #reservoir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 / hyperglycaemic patients</w:t>
            </w:r>
          </w:p>
        </w:tc>
        <w:tc>
          <w:tcPr>
            <w:tcW w:type="dxa" w:w="4276"/>
            <w:vAlign w:val="top"/>
          </w:tcPr>
          <w:p>
            <w:pPr>
              <w:spacing w:after="60" w:line="259" w:lineRule="auto"/>
            </w:pPr>
            <w:r>
              <w:rPr>
                <w:rFonts w:ascii="Calibri" w:hAnsi="Calibri"/>
                <w:b w:val="0"/>
                <w:i w:val="0"/>
                <w:color w:val="212121"/>
                <w:sz w:val="19"/>
              </w:rPr>
              <w:t>Hyperglycaemia and associated immune impairment favour more extensive and recurrent Malassezia overgrowth; extensive or relapsing PV should prompt screening for diabetes.</w:t>
            </w:r>
          </w:p>
          <w:p>
            <w:pPr>
              <w:spacing w:after="40" w:before="60" w:line="259" w:lineRule="auto"/>
            </w:pPr>
            <w:r>
              <w:rPr>
                <w:rFonts w:ascii="Calibri" w:hAnsi="Calibri"/>
                <w:b w:val="0"/>
                <w:i w:val="0"/>
                <w:color w:val="212121"/>
                <w:sz w:val="19"/>
              </w:rPr>
              <w:t>Diabetes mellitus was present in ~8% of PV patients in an Indian clinicomycological series.</w:t>
            </w:r>
          </w:p>
          <w:p>
            <w:pPr>
              <w:spacing w:after="40" w:line="252" w:lineRule="auto"/>
            </w:pPr>
            <w:hyperlink r:id="rId11">
              <w:r>
                <w:rPr>
                  <w:rFonts w:ascii="Calibri" w:hAnsi="Calibri" w:cs="Calibri"/>
                  <w:sz w:val="18"/>
                  <w:color w:val="1155CC"/>
                  <w:u w:val="single"/>
                </w:rPr>
                <w:t xml:space="preserve">academicmed.org — clinicomycological profile of PV</w:t>
              </w:r>
            </w:hyperlink>
          </w:p>
          <w:p>
            <w:pPr>
              <w:spacing w:before="60" w:after="40"/>
            </w:pPr>
            <w:r>
              <w:rPr>
                <w:rFonts w:ascii="Calibri" w:hAnsi="Calibri"/>
                <w:b w:val="0"/>
                <w:i w:val="0"/>
                <w:color w:val="5A5A5A"/>
                <w:sz w:val="18"/>
              </w:rPr>
              <w:t>#diabetes  #hyperglycaemia  #extensivePV  #screen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transplant, chronic corticosteroids, Cushing’s syndrome</w:t>
            </w:r>
          </w:p>
        </w:tc>
        <w:tc>
          <w:tcPr>
            <w:tcW w:type="dxa" w:w="4276"/>
            <w:vAlign w:val="top"/>
          </w:tcPr>
          <w:p>
            <w:pPr>
              <w:spacing w:after="60" w:line="259" w:lineRule="auto"/>
            </w:pPr>
            <w:r>
              <w:rPr>
                <w:rFonts w:ascii="Calibri" w:hAnsi="Calibri"/>
                <w:b w:val="0"/>
                <w:i w:val="0"/>
                <w:color w:val="212121"/>
                <w:sz w:val="19"/>
              </w:rPr>
              <w:t>Reduced cell-mediated immunity or endogenous/iatrogenic hypercortisolism allows widespread, atypical and treatment-resistant disease and frequent relapse.</w:t>
            </w:r>
          </w:p>
          <w:p>
            <w:pPr>
              <w:spacing w:after="40" w:before="60" w:line="259" w:lineRule="auto"/>
            </w:pPr>
            <w:r>
              <w:rPr>
                <w:rFonts w:ascii="Calibri" w:hAnsi="Calibri"/>
                <w:b w:val="0"/>
                <w:i w:val="0"/>
                <w:color w:val="212121"/>
                <w:sz w:val="19"/>
              </w:rPr>
              <w:t>Immunosuppression, corticosteroid therapy and Cushing’s syndrome are established factors for extensive/recurrent PV.</w:t>
            </w:r>
          </w:p>
          <w:p>
            <w:pPr>
              <w:spacing w:after="40" w:line="252" w:lineRule="auto"/>
            </w:pPr>
            <w:hyperlink r:id="rId14">
              <w:r>
                <w:rPr>
                  <w:rFonts w:ascii="Calibri" w:hAnsi="Calibri" w:cs="Calibri"/>
                  <w:sz w:val="18"/>
                  <w:color w:val="1155CC"/>
                  <w:u w:val="single"/>
                </w:rPr>
                <w:t xml:space="preserve">mdpi.com — PV narrative review (Life, 2023)</w:t>
              </w:r>
            </w:hyperlink>
          </w:p>
          <w:p>
            <w:pPr>
              <w:spacing w:before="60" w:after="40"/>
            </w:pPr>
            <w:r>
              <w:rPr>
                <w:rFonts w:ascii="Calibri" w:hAnsi="Calibri"/>
                <w:b w:val="0"/>
                <w:i w:val="0"/>
                <w:color w:val="5A5A5A"/>
                <w:sz w:val="18"/>
              </w:rPr>
              <w:t>#immunosuppression  #HIV  #corticosteroids  #cushings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Vigorous activity and sport increase sweating and skin-surface humidity and lipids, a primary trigger for Malassezia overgrowth; a history of increased sweating is reported by ~43% of patients. Activity itself is healthy — the issue is prompt drying/changing afterwards.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specific diet causes or cures PV; malnutrition and poor general health are weak predisposing factors, and oily-skin/sebum status matters more than diet.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link; adequate sleep supports general immune competence, and clean, dry, non-occlusive nightwear/bedding may reduce overnight sweat retention.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an established risk factor; any effect would be indirect via impaired cutaneous immunity and microcirculation.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recognised direct association; heavy use is relevant mainly because it affects the safety of oral azole antifungals used for extensive disease.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PV rarely harms health but chronic, visible, recurrent dyschromia — especially on the face — causes cosmetic distress, stigma and reduced self-esteem, particularly in adolescents.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status is not directly linked; skin drying, laundering of sweaty clothes and clean water for bathing are the water-related factors that matter.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known association between caffeine intake and pityriasis versicolor.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PV is an overgrowth of one’s OWN commensal yeast rather than a disease of poor hygiene, but sweat retention, infrequent bathing and unchanged occlusive clothing promote overgrowth; drying the skin and laundering clothing help control recurrence.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Classic provoking factors are heat, humidity, sweating, oily skin/emollients, occlusive clothing, corticosteroids, pregnancy, diabetes and immunosuppression — all of which tip the commensal yeast into its pathogenic hyphal form.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Post-exercise sweat management</w:t>
            </w:r>
          </w:p>
        </w:tc>
        <w:tc>
          <w:tcPr>
            <w:tcW w:type="dxa" w:w="1655"/>
            <w:vAlign w:val="top"/>
          </w:tcPr>
          <w:p>
            <w:pPr>
              <w:spacing w:after="40" w:before="0" w:line="259" w:lineRule="auto"/>
            </w:pPr>
            <w:r>
              <w:rPr>
                <w:rFonts w:ascii="Calibri" w:hAnsi="Calibri"/>
                <w:b w:val="0"/>
                <w:i w:val="0"/>
                <w:color w:val="212121"/>
                <w:sz w:val="19"/>
              </w:rPr>
              <w:t>Athletes, labourers, gym-goers</w:t>
            </w:r>
          </w:p>
        </w:tc>
        <w:tc>
          <w:tcPr>
            <w:tcW w:type="dxa" w:w="1512"/>
            <w:vAlign w:val="top"/>
          </w:tcPr>
          <w:p>
            <w:pPr>
              <w:spacing w:after="40" w:before="0" w:line="259" w:lineRule="auto"/>
            </w:pPr>
            <w:r>
              <w:rPr>
                <w:rFonts w:ascii="Calibri" w:hAnsi="Calibri"/>
                <w:b w:val="0"/>
                <w:i w:val="0"/>
                <w:color w:val="212121"/>
                <w:sz w:val="19"/>
              </w:rPr>
              <w:t>Shower and change out of sweat-soaked clothes promptly after activity</w:t>
            </w:r>
          </w:p>
        </w:tc>
        <w:tc>
          <w:tcPr>
            <w:tcW w:type="dxa" w:w="1512"/>
            <w:vAlign w:val="top"/>
          </w:tcPr>
          <w:p>
            <w:pPr>
              <w:spacing w:after="40" w:before="0" w:line="259" w:lineRule="auto"/>
            </w:pPr>
            <w:r>
              <w:rPr>
                <w:rFonts w:ascii="Calibri" w:hAnsi="Calibri"/>
                <w:b w:val="0"/>
                <w:i w:val="0"/>
                <w:color w:val="212121"/>
                <w:sz w:val="19"/>
              </w:rPr>
              <w:t>Staying in damp, occlusive sportswear</w:t>
            </w:r>
          </w:p>
        </w:tc>
        <w:tc>
          <w:tcPr>
            <w:tcW w:type="dxa" w:w="1468"/>
            <w:vAlign w:val="top"/>
          </w:tcPr>
          <w:p>
            <w:pPr>
              <w:spacing w:after="60" w:line="259" w:lineRule="auto"/>
            </w:pPr>
            <w:r>
              <w:rPr>
                <w:rFonts w:ascii="Calibri" w:hAnsi="Calibri"/>
                <w:b w:val="0"/>
                <w:i w:val="0"/>
                <w:color w:val="212121"/>
                <w:sz w:val="19"/>
              </w:rPr>
              <w:t>Sweating reported by ~43% of PV patients; the trigger is retained sweat, not exercise itself</w:t>
            </w:r>
          </w:p>
          <w:p>
            <w:pPr>
              <w:spacing w:after="40" w:line="252" w:lineRule="auto"/>
            </w:pPr>
            <w:hyperlink r:id="rId13">
              <w:r>
                <w:rPr>
                  <w:rFonts w:ascii="Calibri" w:hAnsi="Calibri" w:cs="Calibri"/>
                  <w:sz w:val="18"/>
                  <w:color w:val="1155CC"/>
                  <w:u w:val="single"/>
                </w:rPr>
                <w:t xml:space="preserve">https://pmc.ncbi.nlm.nih.gov/articles/PMC11784979/</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heat &amp; humidity exposure</w:t>
            </w:r>
          </w:p>
        </w:tc>
        <w:tc>
          <w:tcPr>
            <w:tcW w:type="dxa" w:w="1655"/>
            <w:vAlign w:val="top"/>
          </w:tcPr>
          <w:p>
            <w:pPr>
              <w:spacing w:after="40" w:before="0" w:line="259" w:lineRule="auto"/>
            </w:pPr>
            <w:r>
              <w:rPr>
                <w:rFonts w:ascii="Calibri" w:hAnsi="Calibri"/>
                <w:b w:val="0"/>
                <w:i w:val="0"/>
                <w:color w:val="212121"/>
                <w:sz w:val="19"/>
              </w:rPr>
              <w:t>Residents of hot/humid regions</w:t>
            </w:r>
          </w:p>
        </w:tc>
        <w:tc>
          <w:tcPr>
            <w:tcW w:type="dxa" w:w="1512"/>
            <w:vAlign w:val="top"/>
          </w:tcPr>
          <w:p>
            <w:pPr>
              <w:spacing w:after="40" w:before="0" w:line="259" w:lineRule="auto"/>
            </w:pPr>
            <w:r>
              <w:rPr>
                <w:rFonts w:ascii="Calibri" w:hAnsi="Calibri"/>
                <w:b w:val="0"/>
                <w:i w:val="0"/>
                <w:color w:val="212121"/>
                <w:sz w:val="19"/>
              </w:rPr>
              <w:t>Cool, well-ventilated, lower-humidity environment</w:t>
            </w:r>
          </w:p>
        </w:tc>
        <w:tc>
          <w:tcPr>
            <w:tcW w:type="dxa" w:w="1512"/>
            <w:vAlign w:val="top"/>
          </w:tcPr>
          <w:p>
            <w:pPr>
              <w:spacing w:after="40" w:before="0" w:line="259" w:lineRule="auto"/>
            </w:pPr>
            <w:r>
              <w:rPr>
                <w:rFonts w:ascii="Calibri" w:hAnsi="Calibri"/>
                <w:b w:val="0"/>
                <w:i w:val="0"/>
                <w:color w:val="212121"/>
                <w:sz w:val="19"/>
              </w:rPr>
              <w:t>Prolonged hot, humid conditions (summer/monsoon)</w:t>
            </w:r>
          </w:p>
        </w:tc>
        <w:tc>
          <w:tcPr>
            <w:tcW w:type="dxa" w:w="1468"/>
            <w:vAlign w:val="top"/>
          </w:tcPr>
          <w:p>
            <w:pPr>
              <w:spacing w:after="60" w:line="259" w:lineRule="auto"/>
            </w:pPr>
            <w:r>
              <w:rPr>
                <w:rFonts w:ascii="Calibri" w:hAnsi="Calibri"/>
                <w:b w:val="0"/>
                <w:i w:val="0"/>
                <w:color w:val="212121"/>
                <w:sz w:val="19"/>
              </w:rPr>
              <w:t>Tropical prevalence up to ~50% vs ~1% in cold climates</w:t>
            </w:r>
          </w:p>
          <w:p>
            <w:pPr>
              <w:spacing w:after="40" w:line="252" w:lineRule="auto"/>
            </w:pPr>
            <w:hyperlink r:id="rId12">
              <w:r>
                <w:rPr>
                  <w:rFonts w:ascii="Calibri" w:hAnsi="Calibri" w:cs="Calibri"/>
                  <w:sz w:val="18"/>
                  <w:color w:val="1155CC"/>
                  <w:u w:val="single"/>
                </w:rPr>
                <w:t xml:space="preserve">https://www.ncbi.nlm.nih.gov/books/NBK482500/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Clothing occlusion</w:t>
            </w:r>
          </w:p>
        </w:tc>
        <w:tc>
          <w:tcPr>
            <w:tcW w:type="dxa" w:w="1655"/>
            <w:vAlign w:val="top"/>
          </w:tcPr>
          <w:p>
            <w:pPr>
              <w:spacing w:after="40" w:before="0" w:line="259" w:lineRule="auto"/>
            </w:pPr>
            <w:r>
              <w:rPr>
                <w:rFonts w:ascii="Calibri" w:hAnsi="Calibri"/>
                <w:b w:val="0"/>
                <w:i w:val="0"/>
                <w:color w:val="212121"/>
                <w:sz w:val="19"/>
              </w:rPr>
              <w:t>All, uniformed/occupational</w:t>
            </w:r>
          </w:p>
        </w:tc>
        <w:tc>
          <w:tcPr>
            <w:tcW w:type="dxa" w:w="1512"/>
            <w:vAlign w:val="top"/>
          </w:tcPr>
          <w:p>
            <w:pPr>
              <w:spacing w:after="40" w:before="0" w:line="259" w:lineRule="auto"/>
            </w:pPr>
            <w:r>
              <w:rPr>
                <w:rFonts w:ascii="Calibri" w:hAnsi="Calibri"/>
                <w:b w:val="0"/>
                <w:i w:val="0"/>
                <w:color w:val="212121"/>
                <w:sz w:val="19"/>
              </w:rPr>
              <w:t>Loose, breathable cotton; change daily</w:t>
            </w:r>
          </w:p>
        </w:tc>
        <w:tc>
          <w:tcPr>
            <w:tcW w:type="dxa" w:w="1512"/>
            <w:vAlign w:val="top"/>
          </w:tcPr>
          <w:p>
            <w:pPr>
              <w:spacing w:after="40" w:before="0" w:line="259" w:lineRule="auto"/>
            </w:pPr>
            <w:r>
              <w:rPr>
                <w:rFonts w:ascii="Calibri" w:hAnsi="Calibri"/>
                <w:b w:val="0"/>
                <w:i w:val="0"/>
                <w:color w:val="212121"/>
                <w:sz w:val="19"/>
              </w:rPr>
              <w:t>Tight synthetic/occlusive clothing worn while sweating</w:t>
            </w:r>
          </w:p>
        </w:tc>
        <w:tc>
          <w:tcPr>
            <w:tcW w:type="dxa" w:w="1468"/>
            <w:vAlign w:val="top"/>
          </w:tcPr>
          <w:p>
            <w:pPr>
              <w:spacing w:after="60" w:line="259" w:lineRule="auto"/>
            </w:pPr>
            <w:r>
              <w:rPr>
                <w:rFonts w:ascii="Calibri" w:hAnsi="Calibri"/>
                <w:b w:val="0"/>
                <w:i w:val="0"/>
                <w:color w:val="212121"/>
                <w:sz w:val="19"/>
              </w:rPr>
              <w:t>Occlusion raises surface humidity and lipids that feed Malassezia</w:t>
            </w:r>
          </w:p>
          <w:p>
            <w:pPr>
              <w:spacing w:after="40" w:line="252" w:lineRule="auto"/>
            </w:pPr>
            <w:hyperlink r:id="rId14">
              <w:r>
                <w:rPr>
                  <w:rFonts w:ascii="Calibri" w:hAnsi="Calibri" w:cs="Calibri"/>
                  <w:sz w:val="18"/>
                  <w:color w:val="1155CC"/>
                  <w:u w:val="single"/>
                </w:rPr>
                <w:t xml:space="preserve">https://www.mdpi.com/2075-1729/13/10/2097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Prophylactic medicated wash frequency</w:t>
            </w:r>
          </w:p>
        </w:tc>
        <w:tc>
          <w:tcPr>
            <w:tcW w:type="dxa" w:w="1655"/>
            <w:vAlign w:val="top"/>
          </w:tcPr>
          <w:p>
            <w:pPr>
              <w:spacing w:after="40" w:before="0" w:line="259" w:lineRule="auto"/>
            </w:pPr>
            <w:r>
              <w:rPr>
                <w:rFonts w:ascii="Calibri" w:hAnsi="Calibri"/>
                <w:b w:val="0"/>
                <w:i w:val="0"/>
                <w:color w:val="212121"/>
                <w:sz w:val="19"/>
              </w:rPr>
              <w:t>Recurrence-prone PV</w:t>
            </w:r>
          </w:p>
        </w:tc>
        <w:tc>
          <w:tcPr>
            <w:tcW w:type="dxa" w:w="1512"/>
            <w:vAlign w:val="top"/>
          </w:tcPr>
          <w:p>
            <w:pPr>
              <w:spacing w:after="40" w:before="0" w:line="259" w:lineRule="auto"/>
            </w:pPr>
            <w:r>
              <w:rPr>
                <w:rFonts w:ascii="Calibri" w:hAnsi="Calibri"/>
                <w:b w:val="0"/>
                <w:i w:val="0"/>
                <w:color w:val="212121"/>
                <w:sz w:val="19"/>
              </w:rPr>
              <w:t>Ketoconazole 2% or selenium sulfide 2.5% wash periodically (e.g., weekly–monthly), esp. in warm months</w:t>
            </w:r>
          </w:p>
        </w:tc>
        <w:tc>
          <w:tcPr>
            <w:tcW w:type="dxa" w:w="1512"/>
            <w:vAlign w:val="top"/>
          </w:tcPr>
          <w:p>
            <w:pPr>
              <w:spacing w:after="40" w:before="0" w:line="259" w:lineRule="auto"/>
            </w:pPr>
            <w:r>
              <w:rPr>
                <w:rFonts w:ascii="Calibri" w:hAnsi="Calibri"/>
                <w:b w:val="0"/>
                <w:i w:val="0"/>
                <w:color w:val="212121"/>
                <w:sz w:val="19"/>
              </w:rPr>
              <w:t>No prophylaxis despite frequent relapse</w:t>
            </w:r>
          </w:p>
        </w:tc>
        <w:tc>
          <w:tcPr>
            <w:tcW w:type="dxa" w:w="1468"/>
            <w:vAlign w:val="top"/>
          </w:tcPr>
          <w:p>
            <w:pPr>
              <w:spacing w:after="60" w:line="259" w:lineRule="auto"/>
            </w:pPr>
            <w:r>
              <w:rPr>
                <w:rFonts w:ascii="Calibri" w:hAnsi="Calibri"/>
                <w:b w:val="0"/>
                <w:i w:val="0"/>
                <w:color w:val="212121"/>
                <w:sz w:val="19"/>
              </w:rPr>
              <w:t>Reduces the up-to-80% recurrence rate</w:t>
            </w:r>
          </w:p>
          <w:p>
            <w:pPr>
              <w:spacing w:after="40" w:line="252" w:lineRule="auto"/>
            </w:pPr>
            <w:hyperlink r:id="rId14">
              <w:r>
                <w:rPr>
                  <w:rFonts w:ascii="Calibri" w:hAnsi="Calibri" w:cs="Calibri"/>
                  <w:sz w:val="18"/>
                  <w:color w:val="1155CC"/>
                  <w:u w:val="single"/>
                </w:rPr>
                <w:t xml:space="preserve">https://www.mdpi.com/2075-1729/13/10/2097</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Corticosteroid / immunosuppressant exposure</w:t>
            </w:r>
          </w:p>
        </w:tc>
        <w:tc>
          <w:tcPr>
            <w:tcW w:type="dxa" w:w="1655"/>
            <w:vAlign w:val="top"/>
          </w:tcPr>
          <w:p>
            <w:pPr>
              <w:spacing w:after="40" w:before="0" w:line="259" w:lineRule="auto"/>
            </w:pPr>
            <w:r>
              <w:rPr>
                <w:rFonts w:ascii="Calibri" w:hAnsi="Calibri"/>
                <w:b w:val="0"/>
                <w:i w:val="0"/>
                <w:color w:val="212121"/>
                <w:sz w:val="19"/>
              </w:rPr>
              <w:t>Steroid users, transplant, HIV, Cushing’s</w:t>
            </w:r>
          </w:p>
        </w:tc>
        <w:tc>
          <w:tcPr>
            <w:tcW w:type="dxa" w:w="1512"/>
            <w:vAlign w:val="top"/>
          </w:tcPr>
          <w:p>
            <w:pPr>
              <w:spacing w:after="40" w:before="0" w:line="259" w:lineRule="auto"/>
            </w:pPr>
            <w:r>
              <w:rPr>
                <w:rFonts w:ascii="Calibri" w:hAnsi="Calibri"/>
                <w:b w:val="0"/>
                <w:i w:val="0"/>
                <w:color w:val="212121"/>
                <w:sz w:val="19"/>
              </w:rPr>
              <w:t>Lowest effective dose / none where avoidable</w:t>
            </w:r>
          </w:p>
        </w:tc>
        <w:tc>
          <w:tcPr>
            <w:tcW w:type="dxa" w:w="1512"/>
            <w:vAlign w:val="top"/>
          </w:tcPr>
          <w:p>
            <w:pPr>
              <w:spacing w:after="40" w:before="0" w:line="259" w:lineRule="auto"/>
            </w:pPr>
            <w:r>
              <w:rPr>
                <w:rFonts w:ascii="Calibri" w:hAnsi="Calibri"/>
                <w:b w:val="0"/>
                <w:i w:val="0"/>
                <w:color w:val="212121"/>
                <w:sz w:val="19"/>
              </w:rPr>
              <w:t>Systemic corticosteroids or immunosuppression</w:t>
            </w:r>
          </w:p>
        </w:tc>
        <w:tc>
          <w:tcPr>
            <w:tcW w:type="dxa" w:w="1468"/>
            <w:vAlign w:val="top"/>
          </w:tcPr>
          <w:p>
            <w:pPr>
              <w:spacing w:after="60" w:line="259" w:lineRule="auto"/>
            </w:pPr>
            <w:r>
              <w:rPr>
                <w:rFonts w:ascii="Calibri" w:hAnsi="Calibri"/>
                <w:b w:val="0"/>
                <w:i w:val="0"/>
                <w:color w:val="212121"/>
                <w:sz w:val="19"/>
              </w:rPr>
              <w:t>Predisposes to extensive, atypical, recurrent disease</w:t>
            </w:r>
          </w:p>
          <w:p>
            <w:pPr>
              <w:spacing w:after="40" w:line="252" w:lineRule="auto"/>
            </w:pPr>
            <w:hyperlink r:id="rId14">
              <w:r>
                <w:rPr>
                  <w:rFonts w:ascii="Calibri" w:hAnsi="Calibri" w:cs="Calibri"/>
                  <w:sz w:val="18"/>
                  <w:color w:val="1155CC"/>
                  <w:u w:val="single"/>
                </w:rPr>
                <w:t xml:space="preserve">https://www.mdpi.com/2075-1729/13/10/2097</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Overweight/obese adults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Obesity adds skin folds, sweat and diabetes risk that predispose to PV</w:t>
            </w:r>
          </w:p>
          <w:p>
            <w:pPr>
              <w:spacing w:after="40" w:line="252" w:lineRule="auto"/>
            </w:pPr>
            <w:hyperlink r:id="rId14">
              <w:r>
                <w:rPr>
                  <w:rFonts w:ascii="Calibri" w:hAnsi="Calibri" w:cs="Calibri"/>
                  <w:sz w:val="18"/>
                  <w:color w:val="1155CC"/>
                  <w:u w:val="single"/>
                </w:rPr>
                <w:t xml:space="preserve">https://www.mdpi.com/2075-1729/13/10/2097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blood glucose (screen in extensive/recurrent PV)</w:t>
            </w:r>
          </w:p>
        </w:tc>
        <w:tc>
          <w:tcPr>
            <w:tcW w:type="dxa" w:w="1655"/>
            <w:vAlign w:val="top"/>
          </w:tcPr>
          <w:p>
            <w:pPr>
              <w:spacing w:after="40" w:before="0" w:line="259" w:lineRule="auto"/>
            </w:pPr>
            <w:r>
              <w:rPr>
                <w:rFonts w:ascii="Calibri" w:hAnsi="Calibri"/>
                <w:b w:val="0"/>
                <w:i w:val="0"/>
                <w:color w:val="212121"/>
                <w:sz w:val="19"/>
              </w:rPr>
              <w:t>Extensive or recurrent PV</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60" w:line="259" w:lineRule="auto"/>
            </w:pPr>
            <w:r>
              <w:rPr>
                <w:rFonts w:ascii="Calibri" w:hAnsi="Calibri"/>
                <w:b w:val="0"/>
                <w:i w:val="0"/>
                <w:color w:val="212121"/>
                <w:sz w:val="19"/>
              </w:rPr>
              <w:t>Diabetes present in ~8% of PV patients in an Indian series</w:t>
            </w:r>
          </w:p>
          <w:p>
            <w:pPr>
              <w:spacing w:after="40" w:line="252" w:lineRule="auto"/>
            </w:pPr>
            <w:hyperlink r:id="rId11">
              <w:r>
                <w:rPr>
                  <w:rFonts w:ascii="Calibri" w:hAnsi="Calibri" w:cs="Calibri"/>
                  <w:sz w:val="18"/>
                  <w:color w:val="1155CC"/>
                  <w:u w:val="single"/>
                </w:rPr>
                <w:t xml:space="preserve">https://www.academicmed.org/Uploads/Volume5Issue3/149.%20%5B48.%20JAMP_Mohamed%20Ali%5D%20725-729.pdf</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Skin drying after bathing/sweating</w:t>
            </w:r>
          </w:p>
        </w:tc>
        <w:tc>
          <w:tcPr>
            <w:tcW w:type="dxa" w:w="1655"/>
            <w:vAlign w:val="top"/>
          </w:tcPr>
          <w:p>
            <w:pPr>
              <w:spacing w:after="40" w:before="0" w:line="259" w:lineRule="auto"/>
            </w:pPr>
            <w:r>
              <w:rPr>
                <w:rFonts w:ascii="Calibri" w:hAnsi="Calibri"/>
                <w:b w:val="0"/>
                <w:i w:val="0"/>
                <w:color w:val="212121"/>
                <w:sz w:val="19"/>
              </w:rPr>
              <w:t>All, hyperhidrosis</w:t>
            </w:r>
          </w:p>
        </w:tc>
        <w:tc>
          <w:tcPr>
            <w:tcW w:type="dxa" w:w="1512"/>
            <w:vAlign w:val="top"/>
          </w:tcPr>
          <w:p>
            <w:pPr>
              <w:spacing w:after="40" w:before="0" w:line="259" w:lineRule="auto"/>
            </w:pPr>
            <w:r>
              <w:rPr>
                <w:rFonts w:ascii="Calibri" w:hAnsi="Calibri"/>
                <w:b w:val="0"/>
                <w:i w:val="0"/>
                <w:color w:val="212121"/>
                <w:sz w:val="19"/>
              </w:rPr>
              <w:t>Dry skin thoroughly; avoid re-wearing damp clothing</w:t>
            </w:r>
          </w:p>
        </w:tc>
        <w:tc>
          <w:tcPr>
            <w:tcW w:type="dxa" w:w="1512"/>
            <w:vAlign w:val="top"/>
          </w:tcPr>
          <w:p>
            <w:pPr>
              <w:spacing w:after="40" w:before="0" w:line="259" w:lineRule="auto"/>
            </w:pPr>
            <w:r>
              <w:rPr>
                <w:rFonts w:ascii="Calibri" w:hAnsi="Calibri"/>
                <w:b w:val="0"/>
                <w:i w:val="0"/>
                <w:color w:val="212121"/>
                <w:sz w:val="19"/>
              </w:rPr>
              <w:t>Leaving skin/clothes damp</w:t>
            </w:r>
          </w:p>
        </w:tc>
        <w:tc>
          <w:tcPr>
            <w:tcW w:type="dxa" w:w="1468"/>
            <w:vAlign w:val="top"/>
          </w:tcPr>
          <w:p>
            <w:pPr>
              <w:spacing w:after="40" w:before="0" w:line="259" w:lineRule="auto"/>
            </w:pPr>
            <w:r>
              <w:rPr>
                <w:rFonts w:ascii="Calibri" w:hAnsi="Calibri"/>
                <w:b w:val="0"/>
                <w:i w:val="0"/>
                <w:color w:val="212121"/>
                <w:sz w:val="19"/>
              </w:rPr>
              <w:t>Residual surface moisture favours the yeast’s hyphal overgrowth</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w:t>
            </w:r>
          </w:p>
        </w:tc>
        <w:tc>
          <w:tcPr>
            <w:tcW w:type="dxa" w:w="1036"/>
            <w:vAlign w:val="top"/>
          </w:tcPr>
          <w:p>
            <w:pPr>
              <w:spacing w:after="40" w:before="0" w:line="259" w:lineRule="auto"/>
            </w:pPr>
            <w:r>
              <w:rPr>
                <w:rFonts w:ascii="Calibri" w:hAnsi="Calibri"/>
                <w:b w:val="0"/>
                <w:i w:val="0"/>
                <w:color w:val="212121"/>
                <w:sz w:val="16"/>
              </w:rPr>
              <w:t>Hyphae + yeast clusters (“spaghetti &amp; meatballs”)</w:t>
            </w:r>
          </w:p>
        </w:tc>
        <w:tc>
          <w:tcPr>
            <w:tcW w:type="dxa" w:w="892"/>
            <w:vAlign w:val="top"/>
          </w:tcPr>
          <w:p>
            <w:pPr>
              <w:spacing w:after="40" w:before="0" w:line="259" w:lineRule="auto"/>
            </w:pPr>
            <w:r>
              <w:rPr>
                <w:rFonts w:ascii="Calibri" w:hAnsi="Calibri"/>
                <w:b w:val="0"/>
                <w:i w:val="0"/>
                <w:color w:val="212121"/>
                <w:sz w:val="16"/>
              </w:rPr>
              <w:t>KOH mount (10–20%) of skin scrapings</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Short thick hyphae with clusters of round spores</w:t>
            </w:r>
          </w:p>
        </w:tc>
        <w:tc>
          <w:tcPr>
            <w:tcW w:type="dxa" w:w="1036"/>
            <w:vAlign w:val="top"/>
          </w:tcPr>
          <w:p>
            <w:pPr>
              <w:spacing w:after="40" w:before="0" w:line="259" w:lineRule="auto"/>
            </w:pPr>
            <w:r>
              <w:rPr>
                <w:rFonts w:ascii="Calibri" w:hAnsi="Calibri"/>
                <w:b w:val="0"/>
                <w:i w:val="0"/>
                <w:color w:val="212121"/>
                <w:sz w:val="16"/>
              </w:rPr>
              <w:t>Confirms Malassezia in the stratum corneum; simple, rapid, high-yield</w:t>
            </w:r>
          </w:p>
        </w:tc>
        <w:tc>
          <w:tcPr>
            <w:tcW w:type="dxa" w:w="1036"/>
            <w:vAlign w:val="top"/>
          </w:tcPr>
          <w:p>
            <w:pPr>
              <w:spacing w:after="40" w:before="0" w:line="259" w:lineRule="auto"/>
            </w:pPr>
            <w:r>
              <w:rPr>
                <w:rFonts w:ascii="Calibri" w:hAnsi="Calibri"/>
                <w:b w:val="0"/>
                <w:i w:val="0"/>
                <w:color w:val="212121"/>
                <w:sz w:val="16"/>
              </w:rPr>
              <w:t>All suspected PV</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Gold-standard bedside test</w:t>
            </w:r>
          </w:p>
        </w:tc>
        <w:tc>
          <w:tcPr>
            <w:tcW w:type="dxa" w:w="720"/>
            <w:vAlign w:val="top"/>
          </w:tcPr>
          <w:p>
            <w:pPr>
              <w:spacing w:after="40" w:before="0" w:line="259" w:lineRule="auto"/>
            </w:pPr>
            <w:r>
              <w:rPr>
                <w:rFonts w:ascii="Calibri" w:hAnsi="Calibri"/>
                <w:b w:val="0"/>
                <w:i w:val="0"/>
                <w:color w:val="212121"/>
                <w:sz w:val="16"/>
              </w:rPr>
              <w:t>Positive in ~90–95% of cases; scrape scaly lesion edge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Optical</w:t>
            </w:r>
          </w:p>
        </w:tc>
        <w:tc>
          <w:tcPr>
            <w:tcW w:type="dxa" w:w="1036"/>
            <w:vAlign w:val="top"/>
          </w:tcPr>
          <w:p>
            <w:pPr>
              <w:spacing w:after="40" w:before="0" w:line="259" w:lineRule="auto"/>
            </w:pPr>
            <w:r>
              <w:rPr>
                <w:rFonts w:ascii="Calibri" w:hAnsi="Calibri"/>
                <w:b w:val="0"/>
                <w:i w:val="0"/>
                <w:color w:val="212121"/>
                <w:sz w:val="16"/>
              </w:rPr>
              <w:t>Coppery-orange / golden-yellow fluorescence</w:t>
            </w:r>
          </w:p>
        </w:tc>
        <w:tc>
          <w:tcPr>
            <w:tcW w:type="dxa" w:w="892"/>
            <w:vAlign w:val="top"/>
          </w:tcPr>
          <w:p>
            <w:pPr>
              <w:spacing w:after="40" w:before="0" w:line="259" w:lineRule="auto"/>
            </w:pPr>
            <w:r>
              <w:rPr>
                <w:rFonts w:ascii="Calibri" w:hAnsi="Calibri"/>
                <w:b w:val="0"/>
                <w:i w:val="0"/>
                <w:color w:val="212121"/>
                <w:sz w:val="16"/>
              </w:rPr>
              <w:t>Wood’s lamp examination</w:t>
            </w:r>
          </w:p>
        </w:tc>
        <w:tc>
          <w:tcPr>
            <w:tcW w:type="dxa" w:w="950"/>
            <w:vAlign w:val="top"/>
          </w:tcPr>
          <w:p>
            <w:pPr>
              <w:spacing w:after="40" w:before="0" w:line="259" w:lineRule="auto"/>
            </w:pPr>
            <w:r>
              <w:rPr>
                <w:rFonts w:ascii="Calibri" w:hAnsi="Calibri"/>
                <w:b w:val="0"/>
                <w:i w:val="0"/>
                <w:color w:val="212121"/>
                <w:sz w:val="16"/>
              </w:rPr>
              <w:t>No fluorescence</w:t>
            </w:r>
          </w:p>
        </w:tc>
        <w:tc>
          <w:tcPr>
            <w:tcW w:type="dxa" w:w="950"/>
            <w:vAlign w:val="top"/>
          </w:tcPr>
          <w:p>
            <w:pPr>
              <w:spacing w:after="40" w:before="0" w:line="259" w:lineRule="auto"/>
            </w:pPr>
            <w:r>
              <w:rPr>
                <w:rFonts w:ascii="Calibri" w:hAnsi="Calibri"/>
                <w:b w:val="0"/>
                <w:i w:val="0"/>
                <w:color w:val="212121"/>
                <w:sz w:val="16"/>
              </w:rPr>
              <w:t>Yellow-gold/coppery fluorescence over lesions</w:t>
            </w:r>
          </w:p>
        </w:tc>
        <w:tc>
          <w:tcPr>
            <w:tcW w:type="dxa" w:w="1036"/>
            <w:vAlign w:val="top"/>
          </w:tcPr>
          <w:p>
            <w:pPr>
              <w:spacing w:after="40" w:before="0" w:line="259" w:lineRule="auto"/>
            </w:pPr>
            <w:r>
              <w:rPr>
                <w:rFonts w:ascii="Calibri" w:hAnsi="Calibri"/>
                <w:b w:val="0"/>
                <w:i w:val="0"/>
                <w:color w:val="212121"/>
                <w:sz w:val="16"/>
              </w:rPr>
              <w:t>Supports diagnosis and reveals subclinical extent</w:t>
            </w:r>
          </w:p>
        </w:tc>
        <w:tc>
          <w:tcPr>
            <w:tcW w:type="dxa" w:w="1036"/>
            <w:vAlign w:val="top"/>
          </w:tcPr>
          <w:p>
            <w:pPr>
              <w:spacing w:after="40" w:before="0" w:line="259" w:lineRule="auto"/>
            </w:pPr>
            <w:r>
              <w:rPr>
                <w:rFonts w:ascii="Calibri" w:hAnsi="Calibri"/>
                <w:b w:val="0"/>
                <w:i w:val="0"/>
                <w:color w:val="212121"/>
                <w:sz w:val="16"/>
              </w:rPr>
              <w:t>Suspected PV, extensive/recurrent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Useful adjunct</w:t>
            </w:r>
          </w:p>
        </w:tc>
        <w:tc>
          <w:tcPr>
            <w:tcW w:type="dxa" w:w="720"/>
            <w:vAlign w:val="top"/>
          </w:tcPr>
          <w:p>
            <w:pPr>
              <w:spacing w:after="40" w:before="0" w:line="259" w:lineRule="auto"/>
            </w:pPr>
            <w:r>
              <w:rPr>
                <w:rFonts w:ascii="Calibri" w:hAnsi="Calibri"/>
                <w:b w:val="0"/>
                <w:i w:val="0"/>
                <w:color w:val="212121"/>
                <w:sz w:val="16"/>
              </w:rPr>
              <w:t>Positive in under half of cases (up to ~76% in some Indian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Non-uniform pigmentation + perilesional/patchy fine scale</w:t>
            </w:r>
          </w:p>
        </w:tc>
        <w:tc>
          <w:tcPr>
            <w:tcW w:type="dxa" w:w="892"/>
            <w:vAlign w:val="top"/>
          </w:tcPr>
          <w:p>
            <w:pPr>
              <w:spacing w:after="40" w:before="0" w:line="259" w:lineRule="auto"/>
            </w:pPr>
            <w:r>
              <w:rPr>
                <w:rFonts w:ascii="Calibri" w:hAnsi="Calibri"/>
                <w:b w:val="0"/>
                <w:i w:val="0"/>
                <w:color w:val="212121"/>
                <w:sz w:val="16"/>
              </w:rPr>
              <w:t>Dermoscopic examination</w:t>
            </w:r>
          </w:p>
        </w:tc>
        <w:tc>
          <w:tcPr>
            <w:tcW w:type="dxa" w:w="950"/>
            <w:vAlign w:val="top"/>
          </w:tcPr>
          <w:p>
            <w:pPr>
              <w:spacing w:after="40" w:before="0" w:line="259" w:lineRule="auto"/>
            </w:pPr>
            <w:r>
              <w:rPr>
                <w:rFonts w:ascii="Calibri" w:hAnsi="Calibri"/>
                <w:b w:val="0"/>
                <w:i w:val="0"/>
                <w:color w:val="212121"/>
                <w:sz w:val="16"/>
              </w:rPr>
              <w:t>Uniform skin, no scale</w:t>
            </w:r>
          </w:p>
        </w:tc>
        <w:tc>
          <w:tcPr>
            <w:tcW w:type="dxa" w:w="950"/>
            <w:vAlign w:val="top"/>
          </w:tcPr>
          <w:p>
            <w:pPr>
              <w:spacing w:after="40" w:before="0" w:line="259" w:lineRule="auto"/>
            </w:pPr>
            <w:r>
              <w:rPr>
                <w:rFonts w:ascii="Calibri" w:hAnsi="Calibri"/>
                <w:b w:val="0"/>
                <w:i w:val="0"/>
                <w:color w:val="212121"/>
                <w:sz w:val="16"/>
              </w:rPr>
              <w:t>Scaling in furrows, contrast dyschromia, ‘sprinkled pepper’ pigment</w:t>
            </w:r>
          </w:p>
        </w:tc>
        <w:tc>
          <w:tcPr>
            <w:tcW w:type="dxa" w:w="1036"/>
            <w:vAlign w:val="top"/>
          </w:tcPr>
          <w:p>
            <w:pPr>
              <w:spacing w:after="40" w:before="0" w:line="259" w:lineRule="auto"/>
            </w:pPr>
            <w:r>
              <w:rPr>
                <w:rFonts w:ascii="Calibri" w:hAnsi="Calibri"/>
                <w:b w:val="0"/>
                <w:i w:val="0"/>
                <w:color w:val="212121"/>
                <w:sz w:val="16"/>
              </w:rPr>
              <w:t>Non-invasive confirmation in equivocal cases</w:t>
            </w:r>
          </w:p>
        </w:tc>
        <w:tc>
          <w:tcPr>
            <w:tcW w:type="dxa" w:w="1036"/>
            <w:vAlign w:val="top"/>
          </w:tcPr>
          <w:p>
            <w:pPr>
              <w:spacing w:after="40" w:before="0" w:line="259" w:lineRule="auto"/>
            </w:pPr>
            <w:r>
              <w:rPr>
                <w:rFonts w:ascii="Calibri" w:hAnsi="Calibri"/>
                <w:b w:val="0"/>
                <w:i w:val="0"/>
                <w:color w:val="212121"/>
                <w:sz w:val="16"/>
              </w:rPr>
              <w:t>Atypical or hypopigmentation mimics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Scaling seen in ~88.7%, pigment change in ~100%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Mycological culture</w:t>
            </w:r>
          </w:p>
        </w:tc>
        <w:tc>
          <w:tcPr>
            <w:tcW w:type="dxa" w:w="1036"/>
            <w:vAlign w:val="top"/>
          </w:tcPr>
          <w:p>
            <w:pPr>
              <w:spacing w:after="40" w:before="0" w:line="259" w:lineRule="auto"/>
            </w:pPr>
            <w:r>
              <w:rPr>
                <w:rFonts w:ascii="Calibri" w:hAnsi="Calibri"/>
                <w:b w:val="0"/>
                <w:i w:val="0"/>
                <w:color w:val="212121"/>
                <w:sz w:val="16"/>
              </w:rPr>
              <w:t>Malassezia growth &amp; species (M. globosa, etc.)</w:t>
            </w:r>
          </w:p>
        </w:tc>
        <w:tc>
          <w:tcPr>
            <w:tcW w:type="dxa" w:w="892"/>
            <w:vAlign w:val="top"/>
          </w:tcPr>
          <w:p>
            <w:pPr>
              <w:spacing w:after="40" w:before="0" w:line="259" w:lineRule="auto"/>
            </w:pPr>
            <w:r>
              <w:rPr>
                <w:rFonts w:ascii="Calibri" w:hAnsi="Calibri"/>
                <w:b w:val="0"/>
                <w:i w:val="0"/>
                <w:color w:val="212121"/>
                <w:sz w:val="16"/>
              </w:rPr>
              <w:t>Lipid-supplemented culture (Dixon / olive-oil-overlaid Sabouraud)</w:t>
            </w:r>
          </w:p>
        </w:tc>
        <w:tc>
          <w:tcPr>
            <w:tcW w:type="dxa" w:w="950"/>
            <w:vAlign w:val="top"/>
          </w:tcPr>
          <w:p>
            <w:pPr>
              <w:spacing w:after="40" w:before="0" w:line="259" w:lineRule="auto"/>
            </w:pPr>
            <w:r>
              <w:rPr>
                <w:rFonts w:ascii="Calibri" w:hAnsi="Calibri"/>
                <w:b w:val="0"/>
                <w:i w:val="0"/>
                <w:color w:val="212121"/>
                <w:sz w:val="16"/>
              </w:rPr>
              <w:t>No growth on routine media (lipid-dependent)</w:t>
            </w:r>
          </w:p>
        </w:tc>
        <w:tc>
          <w:tcPr>
            <w:tcW w:type="dxa" w:w="950"/>
            <w:vAlign w:val="top"/>
          </w:tcPr>
          <w:p>
            <w:pPr>
              <w:spacing w:after="40" w:before="0" w:line="259" w:lineRule="auto"/>
            </w:pPr>
            <w:r>
              <w:rPr>
                <w:rFonts w:ascii="Calibri" w:hAnsi="Calibri"/>
                <w:b w:val="0"/>
                <w:i w:val="0"/>
                <w:color w:val="212121"/>
                <w:sz w:val="16"/>
              </w:rPr>
              <w:t>Growth of lipophilic yeast; speciation</w:t>
            </w:r>
          </w:p>
        </w:tc>
        <w:tc>
          <w:tcPr>
            <w:tcW w:type="dxa" w:w="1036"/>
            <w:vAlign w:val="top"/>
          </w:tcPr>
          <w:p>
            <w:pPr>
              <w:spacing w:after="40" w:before="0" w:line="259" w:lineRule="auto"/>
            </w:pPr>
            <w:r>
              <w:rPr>
                <w:rFonts w:ascii="Calibri" w:hAnsi="Calibri"/>
                <w:b w:val="0"/>
                <w:i w:val="0"/>
                <w:color w:val="212121"/>
                <w:sz w:val="16"/>
              </w:rPr>
              <w:t>Species identification; research or atypical cases</w:t>
            </w:r>
          </w:p>
        </w:tc>
        <w:tc>
          <w:tcPr>
            <w:tcW w:type="dxa" w:w="1036"/>
            <w:vAlign w:val="top"/>
          </w:tcPr>
          <w:p>
            <w:pPr>
              <w:spacing w:after="40" w:before="0" w:line="259" w:lineRule="auto"/>
            </w:pPr>
            <w:r>
              <w:rPr>
                <w:rFonts w:ascii="Calibri" w:hAnsi="Calibri"/>
                <w:b w:val="0"/>
                <w:i w:val="0"/>
                <w:color w:val="212121"/>
                <w:sz w:val="16"/>
              </w:rPr>
              <w:t>Research, refractory, atypical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 research</w:t>
            </w:r>
          </w:p>
        </w:tc>
        <w:tc>
          <w:tcPr>
            <w:tcW w:type="dxa" w:w="720"/>
            <w:vAlign w:val="top"/>
          </w:tcPr>
          <w:p>
            <w:pPr>
              <w:spacing w:after="40" w:before="0" w:line="259" w:lineRule="auto"/>
            </w:pPr>
            <w:r>
              <w:rPr>
                <w:rFonts w:ascii="Calibri" w:hAnsi="Calibri"/>
                <w:b w:val="0"/>
                <w:i w:val="0"/>
                <w:color w:val="212121"/>
                <w:sz w:val="16"/>
              </w:rPr>
              <w:t>M. globosa is the commonest isolate (~57.5%) in central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&amp; HbA1c</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Screens for predisposing diabetes in widespread/recurrent disease</w:t>
            </w:r>
          </w:p>
        </w:tc>
        <w:tc>
          <w:tcPr>
            <w:tcW w:type="dxa" w:w="1036"/>
            <w:vAlign w:val="top"/>
          </w:tcPr>
          <w:p>
            <w:pPr>
              <w:spacing w:after="40" w:before="0" w:line="259" w:lineRule="auto"/>
            </w:pPr>
            <w:r>
              <w:rPr>
                <w:rFonts w:ascii="Calibri" w:hAnsi="Calibri"/>
                <w:b w:val="0"/>
                <w:i w:val="0"/>
                <w:color w:val="212121"/>
                <w:sz w:val="16"/>
              </w:rPr>
              <w:t>Extensive/recurrent PV, obese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(selective)</w:t>
            </w:r>
          </w:p>
        </w:tc>
        <w:tc>
          <w:tcPr>
            <w:tcW w:type="dxa" w:w="720"/>
            <w:vAlign w:val="top"/>
          </w:tcPr>
          <w:p>
            <w:pPr>
              <w:spacing w:after="40" w:before="0" w:line="259" w:lineRule="auto"/>
            </w:pPr>
            <w:r>
              <w:rPr>
                <w:rFonts w:ascii="Calibri" w:hAnsi="Calibri"/>
                <w:b w:val="0"/>
                <w:i w:val="0"/>
                <w:color w:val="212121"/>
                <w:sz w:val="16"/>
              </w:rPr>
              <w:t>Diabetes in ~8% of PV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Yeast + hyphae in stratum corneum (PAS+)</w:t>
            </w:r>
          </w:p>
        </w:tc>
        <w:tc>
          <w:tcPr>
            <w:tcW w:type="dxa" w:w="892"/>
            <w:vAlign w:val="top"/>
          </w:tcPr>
          <w:p>
            <w:pPr>
              <w:spacing w:after="40" w:before="0" w:line="259" w:lineRule="auto"/>
            </w:pPr>
            <w:r>
              <w:rPr>
                <w:rFonts w:ascii="Calibri" w:hAnsi="Calibri"/>
                <w:b w:val="0"/>
                <w:i w:val="0"/>
                <w:color w:val="212121"/>
                <w:sz w:val="16"/>
              </w:rPr>
              <w:t>Skin biopsy with PAS/special stain</w:t>
            </w:r>
          </w:p>
        </w:tc>
        <w:tc>
          <w:tcPr>
            <w:tcW w:type="dxa" w:w="950"/>
            <w:vAlign w:val="top"/>
          </w:tcPr>
          <w:p>
            <w:pPr>
              <w:spacing w:after="40" w:before="0" w:line="259" w:lineRule="auto"/>
            </w:pPr>
            <w:r>
              <w:rPr>
                <w:rFonts w:ascii="Calibri" w:hAnsi="Calibri"/>
                <w:b w:val="0"/>
                <w:i w:val="0"/>
                <w:color w:val="212121"/>
                <w:sz w:val="16"/>
              </w:rPr>
              <w:t>No organisms</w:t>
            </w:r>
          </w:p>
        </w:tc>
        <w:tc>
          <w:tcPr>
            <w:tcW w:type="dxa" w:w="950"/>
            <w:vAlign w:val="top"/>
          </w:tcPr>
          <w:p>
            <w:pPr>
              <w:spacing w:after="40" w:before="0" w:line="259" w:lineRule="auto"/>
            </w:pPr>
            <w:r>
              <w:rPr>
                <w:rFonts w:ascii="Calibri" w:hAnsi="Calibri"/>
                <w:b w:val="0"/>
                <w:i w:val="0"/>
                <w:color w:val="212121"/>
                <w:sz w:val="16"/>
              </w:rPr>
              <w:t>PAS-positive spores and short hyphae in horny layer</w:t>
            </w:r>
          </w:p>
        </w:tc>
        <w:tc>
          <w:tcPr>
            <w:tcW w:type="dxa" w:w="1036"/>
            <w:vAlign w:val="top"/>
          </w:tcPr>
          <w:p>
            <w:pPr>
              <w:spacing w:after="40" w:before="0" w:line="259" w:lineRule="auto"/>
            </w:pPr>
            <w:r>
              <w:rPr>
                <w:rFonts w:ascii="Calibri" w:hAnsi="Calibri"/>
                <w:b w:val="0"/>
                <w:i w:val="0"/>
                <w:color w:val="212121"/>
                <w:sz w:val="16"/>
              </w:rPr>
              <w:t>Reserved for atypical presentations or to exclude mimics</w:t>
            </w:r>
          </w:p>
        </w:tc>
        <w:tc>
          <w:tcPr>
            <w:tcW w:type="dxa" w:w="1036"/>
            <w:vAlign w:val="top"/>
          </w:tcPr>
          <w:p>
            <w:pPr>
              <w:spacing w:after="40" w:before="0" w:line="259" w:lineRule="auto"/>
            </w:pPr>
            <w:r>
              <w:rPr>
                <w:rFonts w:ascii="Calibri" w:hAnsi="Calibri"/>
                <w:b w:val="0"/>
                <w:i w:val="0"/>
                <w:color w:val="212121"/>
                <w:sz w:val="16"/>
              </w:rPr>
              <w:t>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Rarely required</w:t>
            </w:r>
          </w:p>
        </w:tc>
        <w:tc>
          <w:tcPr>
            <w:tcW w:type="dxa" w:w="720"/>
            <w:vAlign w:val="top"/>
          </w:tcPr>
          <w:p>
            <w:pPr>
              <w:spacing w:after="40" w:before="0" w:line="259" w:lineRule="auto"/>
            </w:pPr>
            <w:r>
              <w:rPr>
                <w:rFonts w:ascii="Calibri" w:hAnsi="Calibri"/>
                <w:b w:val="0"/>
                <w:i w:val="0"/>
                <w:color w:val="212121"/>
                <w:sz w:val="16"/>
              </w:rPr>
              <w:t>Not needed when KOH is diagnostic</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Discoloured patches, cosmetic concern, +/- mild itch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PV is often asymptomatic; consultation is usually cosmetic</w:t>
            </w:r>
          </w:p>
        </w:tc>
        <w:tc>
          <w:tcPr>
            <w:tcW w:type="dxa" w:w="1036"/>
            <w:vAlign w:val="top"/>
          </w:tcPr>
          <w:p>
            <w:pPr>
              <w:spacing w:after="40" w:before="0" w:line="259" w:lineRule="auto"/>
            </w:pPr>
            <w:r>
              <w:rPr>
                <w:rFonts w:ascii="Calibri" w:hAnsi="Calibri"/>
                <w:b w:val="0"/>
                <w:i w:val="0"/>
                <w:color w:val="212121"/>
                <w:sz w:val="16"/>
              </w:rPr>
              <w:t>Adolescents/young adults with truncal patches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~72% of patients are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Aggravating factors</w:t>
            </w:r>
          </w:p>
        </w:tc>
        <w:tc>
          <w:tcPr>
            <w:tcW w:type="dxa" w:w="979"/>
            <w:vAlign w:val="top"/>
          </w:tcPr>
          <w:p>
            <w:pPr>
              <w:spacing w:after="40" w:before="0" w:line="259" w:lineRule="auto"/>
            </w:pPr>
            <w:r>
              <w:rPr>
                <w:rFonts w:ascii="Calibri" w:hAnsi="Calibri"/>
                <w:b w:val="0"/>
                <w:i w:val="0"/>
                <w:color w:val="212121"/>
                <w:sz w:val="16"/>
              </w:rPr>
              <w:t>Sweating, heat, summer/monsoon, oil application, steroid use</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Guides trigger avoidance and prophylaxis</w:t>
            </w:r>
          </w:p>
        </w:tc>
        <w:tc>
          <w:tcPr>
            <w:tcW w:type="dxa" w:w="1036"/>
            <w:vAlign w:val="top"/>
          </w:tcPr>
          <w:p>
            <w:pPr>
              <w:spacing w:after="40" w:before="0" w:line="259" w:lineRule="auto"/>
            </w:pPr>
            <w:r>
              <w:rPr>
                <w:rFonts w:ascii="Calibri" w:hAnsi="Calibri"/>
                <w:b w:val="0"/>
                <w:i w:val="0"/>
                <w:color w:val="212121"/>
                <w:sz w:val="16"/>
              </w:rPr>
              <w:t>Athletes, outdoor workers, oil users</w:t>
            </w:r>
          </w:p>
        </w:tc>
        <w:tc>
          <w:tcPr>
            <w:tcW w:type="dxa" w:w="720"/>
            <w:vAlign w:val="top"/>
          </w:tcPr>
          <w:p>
            <w:pPr>
              <w:spacing w:after="40" w:before="0" w:line="259" w:lineRule="auto"/>
            </w:pPr>
            <w:r>
              <w:rPr>
                <w:rFonts w:ascii="Calibri" w:hAnsi="Calibri"/>
                <w:b w:val="0"/>
                <w:i w:val="0"/>
                <w:color w:val="212121"/>
                <w:sz w:val="16"/>
              </w:rPr>
              <w:t>Physical activity; Provoking factors</w:t>
            </w:r>
          </w:p>
        </w:tc>
        <w:tc>
          <w:tcPr>
            <w:tcW w:type="dxa" w:w="720"/>
            <w:vAlign w:val="top"/>
          </w:tcPr>
          <w:p>
            <w:pPr>
              <w:spacing w:after="40" w:before="0" w:line="259" w:lineRule="auto"/>
            </w:pPr>
            <w:r>
              <w:rPr>
                <w:rFonts w:ascii="Calibri" w:hAnsi="Calibri"/>
                <w:b w:val="0"/>
                <w:i w:val="0"/>
                <w:color w:val="212121"/>
                <w:sz w:val="16"/>
              </w:rPr>
              <w:t>Prognostic / preventive</w:t>
            </w:r>
          </w:p>
        </w:tc>
        <w:tc>
          <w:tcPr>
            <w:tcW w:type="dxa" w:w="720"/>
            <w:vAlign w:val="top"/>
          </w:tcPr>
          <w:p>
            <w:pPr>
              <w:spacing w:after="40" w:before="0" w:line="259" w:lineRule="auto"/>
            </w:pPr>
            <w:r>
              <w:rPr>
                <w:rFonts w:ascii="Calibri" w:hAnsi="Calibri"/>
                <w:b w:val="0"/>
                <w:i w:val="0"/>
                <w:color w:val="212121"/>
                <w:sz w:val="16"/>
              </w:rPr>
              <w:t>Sweating ~43%, summer aggravation ~24%</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Recurrence &amp; seasonality</w:t>
            </w:r>
          </w:p>
        </w:tc>
        <w:tc>
          <w:tcPr>
            <w:tcW w:type="dxa" w:w="979"/>
            <w:vAlign w:val="top"/>
          </w:tcPr>
          <w:p>
            <w:pPr>
              <w:spacing w:after="40" w:before="0" w:line="259" w:lineRule="auto"/>
            </w:pPr>
            <w:r>
              <w:rPr>
                <w:rFonts w:ascii="Calibri" w:hAnsi="Calibri"/>
                <w:b w:val="0"/>
                <w:i w:val="0"/>
                <w:color w:val="212121"/>
                <w:sz w:val="16"/>
              </w:rPr>
              <w:t>Prior episodes, relapse in warm months</w:t>
            </w:r>
          </w:p>
        </w:tc>
        <w:tc>
          <w:tcPr>
            <w:tcW w:type="dxa" w:w="950"/>
            <w:vAlign w:val="top"/>
          </w:tcPr>
          <w:p>
            <w:pPr>
              <w:spacing w:after="40" w:before="0" w:line="259" w:lineRule="auto"/>
            </w:pPr>
            <w:r>
              <w:rPr>
                <w:rFonts w:ascii="Calibri" w:hAnsi="Calibri"/>
                <w:b w:val="0"/>
                <w:i w:val="0"/>
                <w:color w:val="212121"/>
                <w:sz w:val="16"/>
              </w:rPr>
              <w:t>First, isolated episode</w:t>
            </w:r>
          </w:p>
        </w:tc>
        <w:tc>
          <w:tcPr>
            <w:tcW w:type="dxa" w:w="950"/>
            <w:vAlign w:val="top"/>
          </w:tcPr>
          <w:p>
            <w:pPr>
              <w:spacing w:after="40" w:before="0" w:line="259" w:lineRule="auto"/>
            </w:pPr>
            <w:r>
              <w:rPr>
                <w:rFonts w:ascii="Calibri" w:hAnsi="Calibri"/>
                <w:b w:val="0"/>
                <w:i w:val="0"/>
                <w:color w:val="212121"/>
                <w:sz w:val="16"/>
              </w:rPr>
              <w:t>Recurrent, seasonal relapses</w:t>
            </w:r>
          </w:p>
        </w:tc>
        <w:tc>
          <w:tcPr>
            <w:tcW w:type="dxa" w:w="1036"/>
            <w:vAlign w:val="top"/>
          </w:tcPr>
          <w:p>
            <w:pPr>
              <w:spacing w:after="40" w:before="0" w:line="259" w:lineRule="auto"/>
            </w:pPr>
            <w:r>
              <w:rPr>
                <w:rFonts w:ascii="Calibri" w:hAnsi="Calibri"/>
                <w:b w:val="0"/>
                <w:i w:val="0"/>
                <w:color w:val="212121"/>
                <w:sz w:val="16"/>
              </w:rPr>
              <w:t>High recurrence warrants maintenance prophylaxis</w:t>
            </w:r>
          </w:p>
        </w:tc>
        <w:tc>
          <w:tcPr>
            <w:tcW w:type="dxa" w:w="1036"/>
            <w:vAlign w:val="top"/>
          </w:tcPr>
          <w:p>
            <w:pPr>
              <w:spacing w:after="40" w:before="0" w:line="259" w:lineRule="auto"/>
            </w:pPr>
            <w:r>
              <w:rPr>
                <w:rFonts w:ascii="Calibri" w:hAnsi="Calibri"/>
                <w:b w:val="0"/>
                <w:i w:val="0"/>
                <w:color w:val="212121"/>
                <w:sz w:val="16"/>
              </w:rPr>
              <w:t>Recurrence-prone, humid-region residents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Recurrence up to ~80% without prophylaxis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predisposition</w:t>
            </w:r>
          </w:p>
        </w:tc>
        <w:tc>
          <w:tcPr>
            <w:tcW w:type="dxa" w:w="979"/>
            <w:vAlign w:val="top"/>
          </w:tcPr>
          <w:p>
            <w:pPr>
              <w:spacing w:after="40" w:before="0" w:line="259" w:lineRule="auto"/>
            </w:pPr>
            <w:r>
              <w:rPr>
                <w:rFonts w:ascii="Calibri" w:hAnsi="Calibri"/>
                <w:b w:val="0"/>
                <w:i w:val="0"/>
                <w:color w:val="212121"/>
                <w:sz w:val="16"/>
              </w:rPr>
              <w:t>Affected relatives, diabetes, immunosuppression, pregnancy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Identifies inherited susceptibility and modifiable predispositions</w:t>
            </w:r>
          </w:p>
        </w:tc>
        <w:tc>
          <w:tcPr>
            <w:tcW w:type="dxa" w:w="1036"/>
            <w:vAlign w:val="top"/>
          </w:tcPr>
          <w:p>
            <w:pPr>
              <w:spacing w:after="40" w:before="0" w:line="259" w:lineRule="auto"/>
            </w:pPr>
            <w:r>
              <w:rPr>
                <w:rFonts w:ascii="Calibri" w:hAnsi="Calibri"/>
                <w:b w:val="0"/>
                <w:i w:val="0"/>
                <w:color w:val="212121"/>
                <w:sz w:val="16"/>
              </w:rPr>
              <w:t>First-degree relatives, diabetics, immunosuppressed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Family history in ~15–21%</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Evoked-scale (Besnier’s) sign</w:t>
            </w:r>
          </w:p>
        </w:tc>
        <w:tc>
          <w:tcPr>
            <w:tcW w:type="dxa" w:w="979"/>
            <w:vAlign w:val="top"/>
          </w:tcPr>
          <w:p>
            <w:pPr>
              <w:spacing w:after="40" w:before="0" w:line="259" w:lineRule="auto"/>
            </w:pPr>
            <w:r>
              <w:rPr>
                <w:rFonts w:ascii="Calibri" w:hAnsi="Calibri"/>
                <w:b w:val="0"/>
                <w:i w:val="0"/>
                <w:color w:val="212121"/>
                <w:sz w:val="16"/>
              </w:rPr>
              <w:t>Fine bran-like scale on scratching/stretching</w:t>
            </w:r>
          </w:p>
        </w:tc>
        <w:tc>
          <w:tcPr>
            <w:tcW w:type="dxa" w:w="950"/>
            <w:vAlign w:val="top"/>
          </w:tcPr>
          <w:p>
            <w:pPr>
              <w:spacing w:after="40" w:before="0" w:line="259" w:lineRule="auto"/>
            </w:pPr>
            <w:r>
              <w:rPr>
                <w:rFonts w:ascii="Calibri" w:hAnsi="Calibri"/>
                <w:b w:val="0"/>
                <w:i w:val="0"/>
                <w:color w:val="212121"/>
                <w:sz w:val="16"/>
              </w:rPr>
              <w:t>No scale</w:t>
            </w:r>
          </w:p>
        </w:tc>
        <w:tc>
          <w:tcPr>
            <w:tcW w:type="dxa" w:w="950"/>
            <w:vAlign w:val="top"/>
          </w:tcPr>
          <w:p>
            <w:pPr>
              <w:spacing w:after="40" w:before="0" w:line="259" w:lineRule="auto"/>
            </w:pPr>
            <w:r>
              <w:rPr>
                <w:rFonts w:ascii="Calibri" w:hAnsi="Calibri"/>
                <w:b w:val="0"/>
                <w:i w:val="0"/>
                <w:color w:val="212121"/>
                <w:sz w:val="16"/>
              </w:rPr>
              <w:t>Furfuraceous scale elicited</w:t>
            </w:r>
          </w:p>
        </w:tc>
        <w:tc>
          <w:tcPr>
            <w:tcW w:type="dxa" w:w="1036"/>
            <w:vAlign w:val="top"/>
          </w:tcPr>
          <w:p>
            <w:pPr>
              <w:spacing w:after="40" w:before="0" w:line="259" w:lineRule="auto"/>
            </w:pPr>
            <w:r>
              <w:rPr>
                <w:rFonts w:ascii="Calibri" w:hAnsi="Calibri"/>
                <w:b w:val="0"/>
                <w:i w:val="0"/>
                <w:color w:val="212121"/>
                <w:sz w:val="16"/>
              </w:rPr>
              <w:t>Classic bedside confirmation of active PV</w:t>
            </w:r>
          </w:p>
        </w:tc>
        <w:tc>
          <w:tcPr>
            <w:tcW w:type="dxa" w:w="1036"/>
            <w:vAlign w:val="top"/>
          </w:tcPr>
          <w:p>
            <w:pPr>
              <w:spacing w:after="40" w:before="0" w:line="259" w:lineRule="auto"/>
            </w:pPr>
            <w:r>
              <w:rPr>
                <w:rFonts w:ascii="Calibri" w:hAnsi="Calibri"/>
                <w:b w:val="0"/>
                <w:i w:val="0"/>
                <w:color w:val="212121"/>
                <w:sz w:val="16"/>
              </w:rPr>
              <w:t>All suspected PV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Scale may be subtle in treated/resolving lesions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Distribution &amp; morphology</w:t>
            </w:r>
          </w:p>
        </w:tc>
        <w:tc>
          <w:tcPr>
            <w:tcW w:type="dxa" w:w="979"/>
            <w:vAlign w:val="top"/>
          </w:tcPr>
          <w:p>
            <w:pPr>
              <w:spacing w:after="40" w:before="0" w:line="259" w:lineRule="auto"/>
            </w:pPr>
            <w:r>
              <w:rPr>
                <w:rFonts w:ascii="Calibri" w:hAnsi="Calibri"/>
                <w:b w:val="0"/>
                <w:i w:val="0"/>
                <w:color w:val="212121"/>
                <w:sz w:val="16"/>
              </w:rPr>
              <w:t>Well-demarcated macules: trunk/back/neck (adults), face (children)</w:t>
            </w:r>
          </w:p>
        </w:tc>
        <w:tc>
          <w:tcPr>
            <w:tcW w:type="dxa" w:w="950"/>
            <w:vAlign w:val="top"/>
          </w:tcPr>
          <w:p>
            <w:pPr>
              <w:spacing w:after="40" w:before="0" w:line="259" w:lineRule="auto"/>
            </w:pPr>
            <w:r>
              <w:rPr>
                <w:rFonts w:ascii="Calibri" w:hAnsi="Calibri"/>
                <w:b w:val="0"/>
                <w:i w:val="0"/>
                <w:color w:val="212121"/>
                <w:sz w:val="16"/>
              </w:rPr>
              <w:t>Clear skin</w:t>
            </w:r>
          </w:p>
        </w:tc>
        <w:tc>
          <w:tcPr>
            <w:tcW w:type="dxa" w:w="950"/>
            <w:vAlign w:val="top"/>
          </w:tcPr>
          <w:p>
            <w:pPr>
              <w:spacing w:after="40" w:before="0" w:line="259" w:lineRule="auto"/>
            </w:pPr>
            <w:r>
              <w:rPr>
                <w:rFonts w:ascii="Calibri" w:hAnsi="Calibri"/>
                <w:b w:val="0"/>
                <w:i w:val="0"/>
                <w:color w:val="212121"/>
                <w:sz w:val="16"/>
              </w:rPr>
              <w:t>Characteristic hypo/hyper/erythematous macules coalescing into sheets</w:t>
            </w:r>
          </w:p>
        </w:tc>
        <w:tc>
          <w:tcPr>
            <w:tcW w:type="dxa" w:w="1036"/>
            <w:vAlign w:val="top"/>
          </w:tcPr>
          <w:p>
            <w:pPr>
              <w:spacing w:after="40" w:before="0" w:line="259" w:lineRule="auto"/>
            </w:pPr>
            <w:r>
              <w:rPr>
                <w:rFonts w:ascii="Calibri" w:hAnsi="Calibri"/>
                <w:b w:val="0"/>
                <w:i w:val="0"/>
                <w:color w:val="212121"/>
                <w:sz w:val="16"/>
              </w:rPr>
              <w:t>Pattern strongly suggests PV and guides mimicking differentials</w:t>
            </w:r>
          </w:p>
        </w:tc>
        <w:tc>
          <w:tcPr>
            <w:tcW w:type="dxa" w:w="1036"/>
            <w:vAlign w:val="top"/>
          </w:tcPr>
          <w:p>
            <w:pPr>
              <w:spacing w:after="40" w:before="0" w:line="259" w:lineRule="auto"/>
            </w:pPr>
            <w:r>
              <w:rPr>
                <w:rFonts w:ascii="Calibri" w:hAnsi="Calibri"/>
                <w:b w:val="0"/>
                <w:i w:val="0"/>
                <w:color w:val="212121"/>
                <w:sz w:val="16"/>
              </w:rPr>
              <w:t>Adults (truncal), children (facial)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Back, chest and neck are the commonest adult sites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Discoloured (hypo- or hyperpigmented)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main complaint — patches lighter or darker than surrounding skin (“versicolor”), usually on the trunk.</w:t>
            </w:r>
          </w:p>
        </w:tc>
      </w:tr>
      <w:tr>
        <w:trPr>
          <w:cantSplit/>
        </w:trPr>
        <w:tc>
          <w:tcPr>
            <w:tcW w:type="dxa" w:w="2304"/>
            <w:vAlign w:val="top"/>
          </w:tcPr>
          <w:p>
            <w:pPr>
              <w:spacing w:after="40" w:before="0" w:line="259" w:lineRule="auto"/>
            </w:pPr>
            <w:r>
              <w:rPr>
                <w:rFonts w:ascii="Calibri" w:hAnsi="Calibri"/>
                <w:b/>
                <w:i w:val="0"/>
                <w:color w:val="212121"/>
                <w:sz w:val="19"/>
              </w:rPr>
              <w:t>Fine, bran-like (furfuraceous) scaling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powdery scale becomes obvious when the patch is scratched or stretched.</w:t>
            </w:r>
          </w:p>
        </w:tc>
      </w:tr>
      <w:tr>
        <w:trPr>
          <w:cantSplit/>
        </w:trPr>
        <w:tc>
          <w:tcPr>
            <w:tcW w:type="dxa" w:w="2304"/>
            <w:vAlign w:val="top"/>
          </w:tcPr>
          <w:p>
            <w:pPr>
              <w:spacing w:after="40" w:before="0" w:line="259" w:lineRule="auto"/>
            </w:pPr>
            <w:r>
              <w:rPr>
                <w:rFonts w:ascii="Calibri" w:hAnsi="Calibri"/>
                <w:b/>
                <w:i w:val="0"/>
                <w:color w:val="212121"/>
                <w:sz w:val="19"/>
              </w:rPr>
              <w:t>Uneven skin tone / cosmetic disfigurement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Chief reason for consultation, especially on darker skin where contrast is marked.</w:t>
            </w:r>
          </w:p>
        </w:tc>
      </w:tr>
      <w:tr>
        <w:trPr>
          <w:cantSplit/>
        </w:trPr>
        <w:tc>
          <w:tcPr>
            <w:tcW w:type="dxa" w:w="2304"/>
            <w:vAlign w:val="top"/>
          </w:tcPr>
          <w:p>
            <w:pPr>
              <w:spacing w:after="40" w:before="0" w:line="259" w:lineRule="auto"/>
            </w:pPr>
            <w:r>
              <w:rPr>
                <w:rFonts w:ascii="Calibri" w:hAnsi="Calibri"/>
                <w:b/>
                <w:i w:val="0"/>
                <w:color w:val="212121"/>
                <w:sz w:val="19"/>
              </w:rPr>
              <w:t>Patches more noticeable after sun exposure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Affected skin fails to tan, so hypopigmented areas stand out after sun exposure.</w:t>
            </w:r>
          </w:p>
        </w:tc>
      </w:tr>
      <w:tr>
        <w:trPr>
          <w:cantSplit/>
        </w:trPr>
        <w:tc>
          <w:tcPr>
            <w:tcW w:type="dxa" w:w="2304"/>
            <w:vAlign w:val="top"/>
          </w:tcPr>
          <w:p>
            <w:pPr>
              <w:spacing w:after="40" w:before="0" w:line="259" w:lineRule="auto"/>
            </w:pPr>
            <w:r>
              <w:rPr>
                <w:rFonts w:ascii="Calibri" w:hAnsi="Calibri"/>
                <w:b/>
                <w:i w:val="0"/>
                <w:color w:val="212121"/>
                <w:sz w:val="19"/>
              </w:rPr>
              <w:t>Lesions on chest, back, neck, shoulders, upper arms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Distribution follows sebum-rich (seborrhoeic) areas.</w:t>
            </w:r>
          </w:p>
        </w:tc>
      </w:tr>
      <w:tr>
        <w:trPr>
          <w:cantSplit/>
        </w:trPr>
        <w:tc>
          <w:tcPr>
            <w:tcW w:type="dxa" w:w="2304"/>
            <w:vAlign w:val="top"/>
          </w:tcPr>
          <w:p>
            <w:pPr>
              <w:spacing w:after="40" w:before="0" w:line="259" w:lineRule="auto"/>
            </w:pPr>
            <w:r>
              <w:rPr>
                <w:rFonts w:ascii="Calibri" w:hAnsi="Calibri"/>
                <w:b/>
                <w:i w:val="0"/>
                <w:color w:val="212121"/>
                <w:sz w:val="19"/>
              </w:rPr>
              <w:t>Coalescing / enlarging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 macules merge into larger confluent sheets over time.</w:t>
            </w:r>
          </w:p>
        </w:tc>
      </w:tr>
      <w:tr>
        <w:trPr>
          <w:cantSplit/>
        </w:trPr>
        <w:tc>
          <w:tcPr>
            <w:tcW w:type="dxa" w:w="2304"/>
            <w:vAlign w:val="top"/>
          </w:tcPr>
          <w:p>
            <w:pPr>
              <w:spacing w:after="40" w:before="0" w:line="259" w:lineRule="auto"/>
            </w:pPr>
            <w:r>
              <w:rPr>
                <w:rFonts w:ascii="Calibri" w:hAnsi="Calibri"/>
                <w:b/>
                <w:i w:val="0"/>
                <w:color w:val="212121"/>
                <w:sz w:val="19"/>
              </w:rPr>
              <w:t>Recurrence in warm, humid seasons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Relapse each summer or monsoon is characteristic.</w:t>
            </w:r>
          </w:p>
        </w:tc>
      </w:tr>
      <w:tr>
        <w:trPr>
          <w:cantSplit/>
        </w:trPr>
        <w:tc>
          <w:tcPr>
            <w:tcW w:type="dxa" w:w="2304"/>
            <w:vAlign w:val="top"/>
          </w:tcPr>
          <w:p>
            <w:pPr>
              <w:spacing w:after="40" w:before="0" w:line="259" w:lineRule="auto"/>
            </w:pPr>
            <w:r>
              <w:rPr>
                <w:rFonts w:ascii="Calibri" w:hAnsi="Calibri"/>
                <w:b/>
                <w:i w:val="0"/>
                <w:color w:val="212121"/>
                <w:sz w:val="19"/>
              </w:rPr>
              <w:t>Mild itching (pruritus)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minority itch, usually mildly; most PV is asymptomatic (~72%).</w:t>
            </w:r>
          </w:p>
        </w:tc>
      </w:tr>
      <w:tr>
        <w:trPr>
          <w:cantSplit/>
        </w:trPr>
        <w:tc>
          <w:tcPr>
            <w:tcW w:type="dxa" w:w="2304"/>
            <w:vAlign w:val="top"/>
          </w:tcPr>
          <w:p>
            <w:pPr>
              <w:spacing w:after="40" w:before="0" w:line="259" w:lineRule="auto"/>
            </w:pPr>
            <w:r>
              <w:rPr>
                <w:rFonts w:ascii="Calibri" w:hAnsi="Calibri"/>
                <w:b/>
                <w:i w:val="0"/>
                <w:color w:val="212121"/>
                <w:sz w:val="19"/>
              </w:rPr>
              <w:t>Facial patches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Uncommon in adults but the usual, sometimes only, site in children.</w:t>
            </w:r>
          </w:p>
        </w:tc>
      </w:tr>
      <w:tr>
        <w:trPr>
          <w:cantSplit/>
        </w:trPr>
        <w:tc>
          <w:tcPr>
            <w:tcW w:type="dxa" w:w="2304"/>
            <w:vAlign w:val="top"/>
          </w:tcPr>
          <w:p>
            <w:pPr>
              <w:spacing w:after="40" w:before="0" w:line="259" w:lineRule="auto"/>
            </w:pPr>
            <w:r>
              <w:rPr>
                <w:rFonts w:ascii="Calibri" w:hAnsi="Calibri"/>
                <w:b/>
                <w:i w:val="0"/>
                <w:color w:val="212121"/>
                <w:sz w:val="19"/>
              </w:rPr>
              <w:t>Follicular papules / pustules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Overlap with Malassezia (Pityrosporum) folliculitis or a follicular PV variant.</w:t>
            </w:r>
          </w:p>
        </w:tc>
      </w:tr>
      <w:tr>
        <w:trPr>
          <w:cantSplit/>
        </w:trPr>
        <w:tc>
          <w:tcPr>
            <w:tcW w:type="dxa" w:w="2304"/>
            <w:vAlign w:val="top"/>
          </w:tcPr>
          <w:p>
            <w:pPr>
              <w:spacing w:after="40" w:before="0" w:line="259" w:lineRule="auto"/>
            </w:pPr>
            <w:r>
              <w:rPr>
                <w:rFonts w:ascii="Calibri" w:hAnsi="Calibri"/>
                <w:b/>
                <w:i w:val="0"/>
                <w:color w:val="212121"/>
                <w:sz w:val="19"/>
              </w:rPr>
              <w:t>Burning or irritation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Occasionally reported, usually with inflamed/erythematous lesions.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Well-demarcated hypopigmented (achromic) macules/patches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commonest presentation in Indian/pigmented skin (~70–91%); due to tyrosinase inhibition by fungal azelaic acid.</w:t>
            </w:r>
          </w:p>
        </w:tc>
      </w:tr>
      <w:tr>
        <w:trPr>
          <w:cantSplit/>
        </w:trPr>
        <w:tc>
          <w:tcPr>
            <w:tcW w:type="dxa" w:w="3456"/>
            <w:vAlign w:val="top"/>
          </w:tcPr>
          <w:p>
            <w:pPr>
              <w:spacing w:after="40" w:before="0" w:line="259" w:lineRule="auto"/>
            </w:pPr>
            <w:r>
              <w:rPr>
                <w:rFonts w:ascii="Calibri" w:hAnsi="Calibri"/>
                <w:b/>
                <w:i w:val="0"/>
                <w:color w:val="212121"/>
                <w:sz w:val="19"/>
              </w:rPr>
              <w:t>Hyperpigmented tan-brown macules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Inflammatory variant with enlarged melanosomes and thickened keratin.</w:t>
            </w:r>
          </w:p>
        </w:tc>
      </w:tr>
      <w:tr>
        <w:trPr>
          <w:cantSplit/>
        </w:trPr>
        <w:tc>
          <w:tcPr>
            <w:tcW w:type="dxa" w:w="3456"/>
            <w:vAlign w:val="top"/>
          </w:tcPr>
          <w:p>
            <w:pPr>
              <w:spacing w:after="40" w:before="0" w:line="259" w:lineRule="auto"/>
            </w:pPr>
            <w:r>
              <w:rPr>
                <w:rFonts w:ascii="Calibri" w:hAnsi="Calibri"/>
                <w:b/>
                <w:i w:val="0"/>
                <w:color w:val="212121"/>
                <w:sz w:val="19"/>
              </w:rPr>
              <w:t>Fine furfuraceous scale (evoked-scale / Besnier’s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Scratching or stretching a lesion elicits characteristic bran-like scale.</w:t>
            </w:r>
          </w:p>
        </w:tc>
      </w:tr>
      <w:tr>
        <w:trPr>
          <w:cantSplit/>
        </w:trPr>
        <w:tc>
          <w:tcPr>
            <w:tcW w:type="dxa" w:w="3456"/>
            <w:vAlign w:val="top"/>
          </w:tcPr>
          <w:p>
            <w:pPr>
              <w:spacing w:after="40" w:before="0" w:line="259" w:lineRule="auto"/>
            </w:pPr>
            <w:r>
              <w:rPr>
                <w:rFonts w:ascii="Calibri" w:hAnsi="Calibri"/>
                <w:b/>
                <w:i w:val="0"/>
                <w:color w:val="212121"/>
                <w:sz w:val="19"/>
              </w:rPr>
              <w:t>Truncal / upper-body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Chest, back, neck and shoulders — the sebum-rich sites.</w:t>
            </w:r>
          </w:p>
        </w:tc>
      </w:tr>
      <w:tr>
        <w:trPr>
          <w:cantSplit/>
        </w:trPr>
        <w:tc>
          <w:tcPr>
            <w:tcW w:type="dxa" w:w="3456"/>
            <w:vAlign w:val="top"/>
          </w:tcPr>
          <w:p>
            <w:pPr>
              <w:spacing w:after="40" w:before="0" w:line="259" w:lineRule="auto"/>
            </w:pPr>
            <w:r>
              <w:rPr>
                <w:rFonts w:ascii="Calibri" w:hAnsi="Calibri"/>
                <w:b/>
                <w:i w:val="0"/>
                <w:color w:val="212121"/>
                <w:sz w:val="19"/>
              </w:rPr>
              <w:t>Confluent sheets of macules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Coalescence of small macules into large geographic patches.</w:t>
            </w:r>
          </w:p>
        </w:tc>
      </w:tr>
      <w:tr>
        <w:trPr>
          <w:cantSplit/>
        </w:trPr>
        <w:tc>
          <w:tcPr>
            <w:tcW w:type="dxa" w:w="3456"/>
            <w:vAlign w:val="top"/>
          </w:tcPr>
          <w:p>
            <w:pPr>
              <w:spacing w:after="40" w:before="0" w:line="259" w:lineRule="auto"/>
            </w:pPr>
            <w:r>
              <w:rPr>
                <w:rFonts w:ascii="Calibri" w:hAnsi="Calibri"/>
                <w:b/>
                <w:i w:val="0"/>
                <w:color w:val="212121"/>
                <w:sz w:val="19"/>
              </w:rPr>
              <w:t>“Spaghetti and meatballs” on KOH 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Short hyphae with grape-like yeast clusters; positive in ~90–95%.</w:t>
            </w:r>
          </w:p>
        </w:tc>
      </w:tr>
      <w:tr>
        <w:trPr>
          <w:cantSplit/>
        </w:trPr>
        <w:tc>
          <w:tcPr>
            <w:tcW w:type="dxa" w:w="3456"/>
            <w:vAlign w:val="top"/>
          </w:tcPr>
          <w:p>
            <w:pPr>
              <w:spacing w:after="40" w:before="0" w:line="259" w:lineRule="auto"/>
            </w:pPr>
            <w:r>
              <w:rPr>
                <w:rFonts w:ascii="Calibri" w:hAnsi="Calibri"/>
                <w:b/>
                <w:i w:val="0"/>
                <w:color w:val="212121"/>
                <w:sz w:val="19"/>
              </w:rPr>
              <w:t>Coppery-orange / golden-yellow Wood’s lamp fluorescence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Present in under half of cases; also reveals subclinical extent.</w:t>
            </w:r>
          </w:p>
        </w:tc>
      </w:tr>
      <w:tr>
        <w:trPr>
          <w:cantSplit/>
        </w:trPr>
        <w:tc>
          <w:tcPr>
            <w:tcW w:type="dxa" w:w="3456"/>
            <w:vAlign w:val="top"/>
          </w:tcPr>
          <w:p>
            <w:pPr>
              <w:spacing w:after="40" w:before="0" w:line="259" w:lineRule="auto"/>
            </w:pPr>
            <w:r>
              <w:rPr>
                <w:rFonts w:ascii="Calibri" w:hAnsi="Calibri"/>
                <w:b/>
                <w:i w:val="0"/>
                <w:color w:val="212121"/>
                <w:sz w:val="19"/>
              </w:rPr>
              <w:t>Non-uniform pigment &amp; perilesional scale on dermoscopy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Scaling in furrows and contrast dyschromia; scaling ~89%, pigment change ~100%.</w:t>
            </w:r>
          </w:p>
        </w:tc>
      </w:tr>
      <w:tr>
        <w:trPr>
          <w:cantSplit/>
        </w:trPr>
        <w:tc>
          <w:tcPr>
            <w:tcW w:type="dxa" w:w="3456"/>
            <w:vAlign w:val="top"/>
          </w:tcPr>
          <w:p>
            <w:pPr>
              <w:spacing w:after="40" w:before="0" w:line="259" w:lineRule="auto"/>
            </w:pPr>
            <w:r>
              <w:rPr>
                <w:rFonts w:ascii="Calibri" w:hAnsi="Calibri"/>
                <w:b/>
                <w:i w:val="0"/>
                <w:color w:val="212121"/>
                <w:sz w:val="19"/>
              </w:rPr>
              <w:t>Facial macules in children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Face may be the only involved site in children (~40%).</w:t>
            </w:r>
          </w:p>
        </w:tc>
      </w:tr>
      <w:tr>
        <w:trPr>
          <w:cantSplit/>
        </w:trPr>
        <w:tc>
          <w:tcPr>
            <w:tcW w:type="dxa" w:w="3456"/>
            <w:vAlign w:val="top"/>
          </w:tcPr>
          <w:p>
            <w:pPr>
              <w:spacing w:after="40" w:before="0" w:line="259" w:lineRule="auto"/>
            </w:pPr>
            <w:r>
              <w:rPr>
                <w:rFonts w:ascii="Calibri" w:hAnsi="Calibri"/>
                <w:b/>
                <w:i w:val="0"/>
                <w:color w:val="212121"/>
                <w:sz w:val="19"/>
              </w:rPr>
              <w:t>Erythematous (pink) macules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Pityriasis versicolor rubra — the inflammatory colour variant.</w:t>
            </w:r>
          </w:p>
        </w:tc>
      </w:tr>
      <w:tr>
        <w:trPr>
          <w:cantSplit/>
        </w:trPr>
        <w:tc>
          <w:tcPr>
            <w:tcW w:type="dxa" w:w="3456"/>
            <w:vAlign w:val="top"/>
          </w:tcPr>
          <w:p>
            <w:pPr>
              <w:spacing w:after="40" w:before="0" w:line="259" w:lineRule="auto"/>
            </w:pPr>
            <w:r>
              <w:rPr>
                <w:rFonts w:ascii="Calibri" w:hAnsi="Calibri"/>
                <w:b/>
                <w:i w:val="0"/>
                <w:color w:val="212121"/>
                <w:sz w:val="19"/>
              </w:rPr>
              <w:t>Follicular papulopustules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overlapping Malassezia folliculitis.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 widespread confluent cutaneous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post-inflammatory dyschromia (hypo- or hyperpigmentation) lasting weeks to months after mycological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cosmetic disfigurement, especially on darker skin and the face</w:t>
            </w:r>
          </w:p>
        </w:tc>
        <w:tc>
          <w:tcPr>
            <w:tcW w:type="dxa" w:w="2980"/>
            <w:vAlign w:val="top"/>
          </w:tcPr>
          <w:p>
            <w:pPr>
              <w:spacing w:after="40" w:before="0" w:line="259" w:lineRule="auto"/>
            </w:pPr>
            <w:r>
              <w:rPr>
                <w:rFonts w:ascii="Calibri" w:hAnsi="Calibri"/>
                <w:b w:val="0"/>
                <w:i w:val="0"/>
                <w:color w:val="212121"/>
                <w:sz w:val="19"/>
              </w:rPr>
              <w:t>Direct effects of Malassezia overgrowth and its melanocyte-altering metabolites (azelaic/dicarboxylic acids).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recurrence (up to ~80%) requiring maintenance/prophylactic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Coexistence or overlap with Malassezia (Pityrosporum) folliculitis and seborrhoeic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 failure and ‘tinea incognito’ from inappropriate topical corticosteroid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Repeated re-seeding from scalp/facial (seborrhoeic) yeast reservoirs</w:t>
            </w:r>
          </w:p>
        </w:tc>
        <w:tc>
          <w:tcPr>
            <w:tcW w:type="dxa" w:w="2980"/>
            <w:vAlign w:val="top"/>
          </w:tcPr>
          <w:p>
            <w:pPr>
              <w:spacing w:after="40" w:before="0" w:line="259" w:lineRule="auto"/>
            </w:pPr>
            <w:r>
              <w:rPr>
                <w:rFonts w:ascii="Calibri" w:hAnsi="Calibri"/>
                <w:b w:val="0"/>
                <w:i w:val="0"/>
                <w:color w:val="212121"/>
                <w:sz w:val="19"/>
              </w:rPr>
              <w:t>Consequences of chronicity, the shared commensal-yeast reservoir and mismanagement.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distress, stigma, anxiety, low self-esteem and impaired quality of life from chronic visible dyschromia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invasive/systemic Malassezia infection (fungaemia, catheter-related sepsis) in neonates and immunocompromised patients on lipid infusions</w:t>
            </w:r>
          </w:p>
        </w:tc>
        <w:tc>
          <w:tcPr>
            <w:tcW w:type="dxa" w:w="2980"/>
            <w:vAlign w:val="top"/>
          </w:tcPr>
          <w:p>
            <w:pPr>
              <w:spacing w:after="40" w:before="0" w:line="259" w:lineRule="auto"/>
            </w:pPr>
            <w:r>
              <w:rPr>
                <w:rFonts w:ascii="Calibri" w:hAnsi="Calibri"/>
                <w:b w:val="0"/>
                <w:i w:val="0"/>
                <w:color w:val="212121"/>
                <w:sz w:val="19"/>
              </w:rPr>
              <w:t>Long-term psychosocial burden and, rarely, systemic disease in highly vulnerable hosts.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Seborrhoeic dermatitis / dandruff</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Driven by the same Malassezia commensal on sebum-rich skin; frequently coexists and the scalp/face acts as a yeast reservoir that re-seeds the trunk.</w:t>
            </w:r>
          </w:p>
          <w:p>
            <w:pPr>
              <w:spacing w:after="40" w:before="0" w:line="259" w:lineRule="auto"/>
            </w:pPr>
            <w:r>
              <w:rPr>
                <w:rFonts w:ascii="Calibri" w:hAnsi="Calibri"/>
                <w:b/>
                <w:i w:val="0"/>
                <w:color w:val="212121"/>
                <w:sz w:val="19"/>
              </w:rPr>
              <w:t>~9% (concurrent)</w:t>
            </w:r>
          </w:p>
        </w:tc>
      </w:tr>
      <w:tr>
        <w:trPr>
          <w:cantSplit/>
        </w:trPr>
        <w:tc>
          <w:tcPr>
            <w:tcW w:type="dxa" w:w="2232"/>
            <w:vAlign w:val="top"/>
          </w:tcPr>
          <w:p>
            <w:pPr>
              <w:spacing w:after="40" w:before="0" w:line="259" w:lineRule="auto"/>
            </w:pPr>
            <w:r>
              <w:rPr>
                <w:rFonts w:ascii="Calibri" w:hAnsi="Calibri"/>
                <w:b/>
                <w:i w:val="0"/>
                <w:color w:val="212121"/>
                <w:sz w:val="19"/>
              </w:rPr>
              <w:t>Malassezia (Pityrosporum) folliculitis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Same lipophilic yeast invading the pilosebaceous follicle; overlaps with the follicular PV variant and often needs concurrent treatment.</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and immune impairment favour more extensive, recurrent disease; widespread or relapsing PV should prompt diabetes screening.</w:t>
            </w:r>
          </w:p>
          <w:p>
            <w:pPr>
              <w:spacing w:after="40" w:before="0" w:line="259" w:lineRule="auto"/>
            </w:pPr>
            <w:r>
              <w:rPr>
                <w:rFonts w:ascii="Calibri" w:hAnsi="Calibri"/>
                <w:b/>
                <w:i w:val="0"/>
                <w:color w:val="212121"/>
                <w:sz w:val="19"/>
              </w:rPr>
              <w:t>~8%</w:t>
            </w:r>
          </w:p>
        </w:tc>
      </w:tr>
      <w:tr>
        <w:trPr>
          <w:cantSplit/>
        </w:trPr>
        <w:tc>
          <w:tcPr>
            <w:tcW w:type="dxa" w:w="2232"/>
            <w:vAlign w:val="top"/>
          </w:tcPr>
          <w:p>
            <w:pPr>
              <w:spacing w:after="40" w:before="0" w:line="259" w:lineRule="auto"/>
            </w:pPr>
            <w:r>
              <w:rPr>
                <w:rFonts w:ascii="Calibri" w:hAnsi="Calibri"/>
                <w:b/>
                <w:i w:val="0"/>
                <w:color w:val="212121"/>
                <w:sz w:val="19"/>
              </w:rPr>
              <w:t>Hyperhidrosis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Excessive sweating raises skin-surface humidity and lipids — a leading trigger reported by ~43% of patients.</w:t>
            </w:r>
          </w:p>
        </w:tc>
      </w:tr>
      <w:tr>
        <w:trPr>
          <w:cantSplit/>
        </w:trPr>
        <w:tc>
          <w:tcPr>
            <w:tcW w:type="dxa" w:w="2232"/>
            <w:vAlign w:val="top"/>
          </w:tcPr>
          <w:p>
            <w:pPr>
              <w:spacing w:after="40" w:before="0" w:line="259" w:lineRule="auto"/>
            </w:pPr>
            <w:r>
              <w:rPr>
                <w:rFonts w:ascii="Calibri" w:hAnsi="Calibri"/>
                <w:b/>
                <w:i w:val="0"/>
                <w:color w:val="212121"/>
                <w:sz w:val="19"/>
              </w:rPr>
              <w:t>Cushing’s syndrome / corticosteroid excess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Endogenous or iatrogenic hypercortisolism predisposes to widespread PV; topical steroids also mask and worsen lesions (tinea incognito).</w:t>
            </w:r>
          </w:p>
        </w:tc>
      </w:tr>
      <w:tr>
        <w:trPr>
          <w:cantSplit/>
        </w:trPr>
        <w:tc>
          <w:tcPr>
            <w:tcW w:type="dxa" w:w="2232"/>
            <w:vAlign w:val="top"/>
          </w:tcPr>
          <w:p>
            <w:pPr>
              <w:spacing w:after="40" w:before="0" w:line="259" w:lineRule="auto"/>
            </w:pPr>
            <w:r>
              <w:rPr>
                <w:rFonts w:ascii="Calibri" w:hAnsi="Calibri"/>
                <w:b/>
                <w:i w:val="0"/>
                <w:color w:val="212121"/>
                <w:sz w:val="19"/>
              </w:rPr>
              <w:t>HIV / immunosuppression (incl. transplant)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cell-mediated immunity permits extensive, atypical and treatment-resistant disease with frequent relapse.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Skin folds, increased sweating and sebum, plus associated insulin resistance, increase risk and extent.</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Raised sebum and altered immunity predispose; also constrains antifungal choice (systemic azoles generally avoided).</w:t>
            </w:r>
          </w:p>
        </w:tc>
      </w:tr>
      <w:tr>
        <w:trPr>
          <w:cantSplit/>
        </w:trPr>
        <w:tc>
          <w:tcPr>
            <w:tcW w:type="dxa" w:w="2232"/>
            <w:vAlign w:val="top"/>
          </w:tcPr>
          <w:p>
            <w:pPr>
              <w:spacing w:after="40" w:before="0" w:line="259" w:lineRule="auto"/>
            </w:pPr>
            <w:r>
              <w:rPr>
                <w:rFonts w:ascii="Calibri" w:hAnsi="Calibri"/>
                <w:b/>
                <w:i w:val="0"/>
                <w:color w:val="212121"/>
                <w:sz w:val="19"/>
              </w:rPr>
              <w:t>Atopic dermatitis (Malassezia-sensitised, head-and-neck)</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Malassezia hypersensitivity contributes to head-and-neck atopic dermatitis, overlapping the same yeast biology.</w:t>
            </w:r>
          </w:p>
        </w:tc>
      </w:tr>
      <w:tr>
        <w:trPr>
          <w:cantSplit/>
        </w:trPr>
        <w:tc>
          <w:tcPr>
            <w:tcW w:type="dxa" w:w="2232"/>
            <w:vAlign w:val="top"/>
          </w:tcPr>
          <w:p>
            <w:pPr>
              <w:spacing w:after="40" w:before="0" w:line="259" w:lineRule="auto"/>
            </w:pPr>
            <w:r>
              <w:rPr>
                <w:rFonts w:ascii="Calibri" w:hAnsi="Calibri"/>
                <w:b/>
                <w:i w:val="0"/>
                <w:color w:val="212121"/>
                <w:sz w:val="19"/>
              </w:rPr>
              <w:t>Post-inflammatory pigmentary alteration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Residual hypo-/hyperpigmentation persists for weeks to months after the yeast is cleared, driven by PV’s pigment-altering metabolites and inflammation.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pityriasis versicolor is an overgrowth of your OWN skin yeast — it is not caused by being dirty and is not meaningfully contagious.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skin cool and dry: shower after sweating, dry thoroughly, and change out of damp or occlusive clothing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breathable cotton and avoid tight synthetic fabrics, especially in hot, humid weather.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oils, greasy emollients and occlusive cosmetics on sebum-rich areas that feed the yeast.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recurrence-prone individuals, use a prophylactic medicated wash (ketoconazole 2% or selenium sulfide 2.5%) periodically, particularly before and during the summer/monsoon.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over-the-counter steroid or steroid-antifungal creams — they worsen and disguise the infection (tinea incognito).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the pigment change to take several weeks to months to fully normalise after the yeast is cured; this is not treatment failure.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PV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Humid-region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Recurrence-prone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topical antifungals (ketoconazole 2% or selenium sulfide 2.5% or zinc pyrithione shampoo/lotion) over the WHOLE trunk, not just visible spots; leave on 5–10 minutes before rinsing, as directed.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extensive, recurrent or refractory disease, take oral itraconazole or fluconazole exactly as prescribed for the full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maintenance prophylaxis (e.g., monthly oral azole or periodic medicated wash) to counter the up-to-80% recurrence 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seborrhoeic dermatitis, dandruff or Malassezia folliculitis to remove the yeast reservoir.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disease is widespread, recurrent or atypical, get screened for diabetes and other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even after the skin looks better, since residual discolouration does not mean live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Extensive/recurrent 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Immunosuppressed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seborrhoeic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but shower and change out of sweat-soaked kit promptly after exercise or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moisture-wicking or loose cotton sportswear and avoid re-wearing damp gym clothes.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Towel-dry skin folds and the back thoroughly after activity and bathing.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periodic antifungal body wash if you sweat heavily or are prone to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 out and dry sports gear, helmets and pads between sessions.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Manual/outdoor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Uniformed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hyperhidrosis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 specific food causes or cures PV, so avoid unproven ‘anti-fungal’ diets; focus on balanced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malnutrition and poor general health, which can predispose to more widespread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control blood sugar, as obesity and diabetes increase risk and extent.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excessive greasy/oily skin applications rather than restricting normal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to support general immune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light, breathable nightwear and bedding in hot weather to limit overnight sweating and occlusion.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Launder bedding and sleepwear regularly, and let mattresses/rooms stay well ventilated and dry.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hot/humid homes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Smoking is not an established cause of PV, but cessation supports overall skin and immune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tobacco-cessation support if needed, particularly if you have coexisting metabolic or vascular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smokers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direct link between alcohol and PV; keep intake within safe limits.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impairs immunity and liver function and affects the safety of oral azole antifungals used for extensive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alcohol intake before starting systemic antifungal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needing oral antifungals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cosmetic and psychosocial impact — chronic visible dyschromia, especially on the face, can affect confidence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the condition is benign, non-contagious and treatable, and that discolouration recovers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about slow pigment recovery and the likelihood of seasonal recurrence to reduce anxiety and treatment frustration.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support or referral for significant distress, stigma or low self-esteem, particularly in adolescents.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facial/visible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recurrent PV</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dvl.com/prevalence-of-different-malassezia-species-in-pityriasis-versicolor-in-central-india/" TargetMode="External"/><Relationship Id="rId10" Type="http://schemas.openxmlformats.org/officeDocument/2006/relationships/hyperlink" Target="https://ijdvl.com/pityriasis-versicolor-in-the-pediatric-age-group/" TargetMode="External"/><Relationship Id="rId11" Type="http://schemas.openxmlformats.org/officeDocument/2006/relationships/hyperlink" Target="https://www.academicmed.org/Uploads/Volume5Issue3/149.%20%5B48.%20JAMP_Mohamed%20Ali%5D%20725-729.pdf" TargetMode="External"/><Relationship Id="rId12" Type="http://schemas.openxmlformats.org/officeDocument/2006/relationships/hyperlink" Target="https://www.ncbi.nlm.nih.gov/books/NBK482500/" TargetMode="External"/><Relationship Id="rId13" Type="http://schemas.openxmlformats.org/officeDocument/2006/relationships/hyperlink" Target="https://pmc.ncbi.nlm.nih.gov/articles/PMC11784979/" TargetMode="External"/><Relationship Id="rId14" Type="http://schemas.openxmlformats.org/officeDocument/2006/relationships/hyperlink" Target="https://www.mdpi.com/2075-1729/13/10/2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