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Recalcitrant / Steroid-Modified Dermatophytosis</w:t>
      </w:r>
    </w:p>
    <w:p>
      <w:pPr>
        <w:spacing w:before="0" w:after="160"/>
      </w:pPr>
      <w:r>
        <w:rPr>
          <w:rFonts w:ascii="Calibri" w:hAnsi="Calibri"/>
          <w:b/>
          <w:i w:val="0"/>
          <w:color w:val="212121"/>
          <w:sz w:val="22"/>
        </w:rPr>
        <w:t xml:space="preserve">AKA </w:t>
      </w:r>
      <w:r>
        <w:rPr>
          <w:rFonts w:ascii="Calibri" w:hAnsi="Calibri"/>
          <w:b w:val="0"/>
          <w:i w:val="0"/>
          <w:color w:val="212121"/>
          <w:sz w:val="22"/>
        </w:rPr>
        <w:t>i.e., Steroid-modified tinea, Tinea incognito, Tinea pseudoimbricata, Chronic / recurrent / recalcitrant ringworm, Corticosteroid-modified dermatophytosis, “Daad” (Hindi)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Recalcitrant dermatophytosis is a chronic, relapsing or treatment-resistant superficial fungal (dermatophyte) infection of glabrous skin, hair or nails that persists or recurs despite conventionally adequate antifungal therapy. In its steroid-modified form (tinea incognito), the clinical appearance is altered—and the infection worsened—by inappropriate application of topical corticosteroids, most often irrational over-the-counter fixed-drug-combination (FDC) creams that suppress inflammation while permitting unchecked fungal proliferation. India is currently in the grip of an unprecedented epidemic of this entity, driven by rampant OTC steroid misuse and the emergence of the terbinafine-resistant species Trichophyton indotineae (formerly T. mentagrophytes ITS genotype VIII).</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Superficial dermatophytosis has reached epidemic proportions in India, with hospital-based prevalence estimates ranging from 6.09% to 61.5% (highest in North India). An estimated 15–20% of patients attending dermatology outpatient clinics now present with chronic, recurrent or recalcitrant disease, and 42–81% of these report prior use of steroid-containing combination creams. More than 60% (about 62.5%) have had symptoms for longer than three months, and family clustering is documented in 72–82% of cases.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Recalcitrant / steroid-modified dermatophytosis is diagnosed by combining a suggestive history (chronicity, prior topical steroid or combination-cream use, relief-then-flare cycles, affected household contacts) with mycological confirmation. Key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microscopy (KOH mount, 10–40% potassium hydroxide) of skin scrapings demonstrating septate, branching hyphae with or without arthroconidia — the first-line bedside test, ideally taken a few days after stopping all topical creams to raise sensitivity;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Sabouraud dextrose agar (± cycloheximide/chloramphenicol) for species identification, increasingly yielding Trichophyton mentagrophytes / T. indotineae rather than the historically dominant T. rubrum;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pattern of chronic (&gt;4 weeks), recurrent (relapse within weeks of stopping therapy) or recalcitrant (failure of adequately dosed therapy) disease, with steroid-modified features such as extensive, ill-defined, less-scaly, more pustular lesions and loss of the classic annular ('ring') morphology;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showing moth-eaten peripheral scaling with outward peeling, brownish dots, broken or wavy vellus hairs, plus superimposed steroid changes (atrophy, telangiectasia, striae);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Antifungal susceptibility testing / MIC determination (CLSI M38) for terbinafine and itraconazole in non-responders, with molecular sequencing of the squalene epoxidase (SQLE) gene (e.g., F397L, L393F) where available to confirm terbinafine resistance.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Recalcitrant / steroid-modified dermatophytosis is best described along several overlapping axes—clinical course, steroid modification, morphological variant, anatomical site and antifungal-resistance profile:</w:t>
      </w:r>
    </w:p>
    <w:p>
      <w:pPr>
        <w:spacing w:before="0" w:after="80"/>
      </w:pPr>
      <w:r>
        <w:rPr>
          <w:rFonts w:ascii="Calibri" w:hAnsi="Calibri"/>
          <w:b w:val="0"/>
          <w:i w:val="0"/>
          <w:color w:val="212121"/>
          <w:sz w:val="21"/>
        </w:rPr>
        <w:t>(1) By clinical course — chronic dermatophytosis (a single episode persisting &gt;4 weeks), recurrent dermatophytosis (reappearance after apparent cure, often within weeks of stopping treatment), and recalcitrant dermatophytosis (an umbrella term for relapse, re-infection, persistence or failure to respond to adequate therapy);</w:t>
      </w:r>
    </w:p>
    <w:p>
      <w:pPr>
        <w:spacing w:before="0" w:after="80"/>
      </w:pPr>
      <w:r>
        <w:rPr>
          <w:rFonts w:ascii="Calibri" w:hAnsi="Calibri"/>
          <w:b w:val="0"/>
          <w:i w:val="0"/>
          <w:color w:val="212121"/>
          <w:sz w:val="21"/>
        </w:rPr>
        <w:t>(2) Steroid-modified dermatophytosis / tinea incognito — infection whose morphology has been distorted by topical corticosteroid (usually FDC) use, presenting with widespread, poorly demarcated, minimally scaly or pustular lesions and steroid atrophy;</w:t>
      </w:r>
    </w:p>
    <w:p>
      <w:pPr>
        <w:spacing w:before="0" w:after="80"/>
      </w:pPr>
      <w:r>
        <w:rPr>
          <w:rFonts w:ascii="Calibri" w:hAnsi="Calibri"/>
          <w:b w:val="0"/>
          <w:i w:val="0"/>
          <w:color w:val="212121"/>
          <w:sz w:val="21"/>
        </w:rPr>
        <w:t>(3) By morphological variant — tinea pseudoimbricata (concentric rings from erratic steroid cycling), double-edged tinea (parallel inflammatory borders with central crusting), eczematous or psoriasiform tinea with incomplete central clearing, and erythrodermic dermatophytosis;</w:t>
      </w:r>
    </w:p>
    <w:p>
      <w:pPr>
        <w:spacing w:before="0" w:after="80"/>
      </w:pPr>
      <w:r>
        <w:rPr>
          <w:rFonts w:ascii="Calibri" w:hAnsi="Calibri"/>
          <w:b w:val="0"/>
          <w:i w:val="0"/>
          <w:color w:val="212121"/>
          <w:sz w:val="21"/>
        </w:rPr>
        <w:t>(4) By anatomical site — tinea corporis, tinea cruris and tinea faciei predominate, with a disproportionate rise in multisite disease and unusual sites (genital, tinea auricularis, tinea labialis, periocular skin);</w:t>
      </w:r>
    </w:p>
    <w:p>
      <w:pPr>
        <w:spacing w:before="0" w:after="80"/>
      </w:pPr>
      <w:r>
        <w:rPr>
          <w:rFonts w:ascii="Calibri" w:hAnsi="Calibri"/>
          <w:b w:val="0"/>
          <w:i w:val="0"/>
          <w:color w:val="212121"/>
          <w:sz w:val="21"/>
        </w:rPr>
        <w:t>(5) By resistance profile — terbinafine-susceptible disease versus terbinafine-resistant infection caused by T. indotineae harbouring squalene epoxidase mutations, which requires itraconazole and prolonged therapy.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Topical corticosteroid / FDC misuse: Potent or super-potent over-the-counter steroid–antifungal–antibacterial combination creams suppress local cell-mediated immunity and inflammation, allowing the dermatophyte to proliferate unchecked and modifying the clinical picture — the single most important driver of the Indian epidemic.</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Antifungal resistance (Trichophyton indotineae): Emergence of terbinafine-resistant T. mentagrophytes ITS genotype VIII (T. indotineae) carrying squalene epoxidase point mutations (most commonly F397L, also L393F/L393S) has rendered first-line terbinafine frequently ineffective.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Inadequate or irregular treatment: Sub-therapeutic doses, too-short courses, poor adherence, sharing of prescriptions and self-medication promote persistence and relapse.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and environmental factors: India's hot, humid climate, profuse sweating, obesity and occlusive tight synthetic clothing create a warm, moist microenvironment favouring fungal growth and reinfection.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Fomite and household transmission: Sharing of towels, clothing, soap and bathing stools sustains reinfection, producing whole-family ('connubial') clustering and an environmental reservoir on garments and linen.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and comorbidity: Uncontrolled diabetes mellitus, systemic immunosuppression (HIV, transplant, corticosteroids/biologics) and atopy lower host defence and predispose to extensive, treatment-resistant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(21–40 years)</w:t>
            </w:r>
          </w:p>
        </w:tc>
        <w:tc>
          <w:tcPr>
            <w:tcW w:type="dxa" w:w="4276"/>
            <w:vAlign w:val="top"/>
          </w:tcPr>
          <w:p>
            <w:pPr>
              <w:spacing w:after="60" w:line="259" w:lineRule="auto"/>
            </w:pPr>
            <w:r>
              <w:rPr>
                <w:rFonts w:ascii="Calibri" w:hAnsi="Calibri"/>
                <w:b w:val="0"/>
                <w:i w:val="0"/>
                <w:color w:val="212121"/>
                <w:sz w:val="19"/>
              </w:rPr>
              <w:t>Working-age adults have the greatest cumulative exposure to sweating, occlusive clothing, shared living spaces and self-purchased combination creams, and form the bulk of the Indian dermatophytosis epidemic.</w:t>
            </w:r>
          </w:p>
          <w:p>
            <w:pPr>
              <w:spacing w:after="40" w:before="60" w:line="259" w:lineRule="auto"/>
            </w:pPr>
            <w:r>
              <w:rPr>
                <w:rFonts w:ascii="Calibri" w:hAnsi="Calibri"/>
                <w:b w:val="0"/>
                <w:i w:val="0"/>
                <w:color w:val="212121"/>
                <w:sz w:val="19"/>
              </w:rPr>
              <w:t>In Indian epidemic-era series the majority of cases cluster in the 21–40 year age group.</w:t>
            </w:r>
          </w:p>
          <w:p>
            <w:pPr>
              <w:spacing w:after="40" w:line="252" w:lineRule="auto"/>
            </w:pPr>
            <w:hyperlink r:id="rId9">
              <w:r>
                <w:rPr>
                  <w:rFonts w:ascii="Calibri" w:hAnsi="Calibri" w:cs="Calibri"/>
                  <w:sz w:val="18"/>
                  <w:color w:val="1155CC"/>
                  <w:u w:val="single"/>
                </w:rPr>
                <w:t xml:space="preserve">ijdvl.com — epidemic of dermatophytosis in India, part I</w:t>
              </w:r>
            </w:hyperlink>
          </w:p>
          <w:p>
            <w:pPr>
              <w:spacing w:before="60" w:after="40"/>
            </w:pPr>
            <w:r>
              <w:rPr>
                <w:rFonts w:ascii="Calibri" w:hAnsi="Calibri"/>
                <w:b w:val="0"/>
                <w:i w:val="0"/>
                <w:color w:val="5A5A5A"/>
                <w:sz w:val="18"/>
              </w:rPr>
              <w:t>#tinea  #workingage  #sweating  #OTCsteroid  #recurrence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Immunosenescence, diabetes, polypharmacy and thin skin make the elderly prone to extensive, steroid-modified disease; potent topical steroids also cause more marked atrophy and dyspigmentation in aged skin.</w:t>
            </w:r>
          </w:p>
          <w:p>
            <w:pPr>
              <w:spacing w:after="40" w:before="60" w:line="259" w:lineRule="auto"/>
            </w:pPr>
            <w:r>
              <w:rPr>
                <w:rFonts w:ascii="Calibri" w:hAnsi="Calibri"/>
                <w:b w:val="0"/>
                <w:i w:val="0"/>
                <w:color w:val="212121"/>
                <w:sz w:val="19"/>
              </w:rPr>
              <w:t>Risk is higher in older, immunocompromised and diabetic patients, in whom infection is more extensive and slower to clear.</w:t>
            </w:r>
          </w:p>
          <w:p>
            <w:pPr>
              <w:spacing w:after="40" w:line="252" w:lineRule="auto"/>
            </w:pPr>
            <w:hyperlink r:id="rId10">
              <w:r>
                <w:rPr>
                  <w:rFonts w:ascii="Calibri" w:hAnsi="Calibri" w:cs="Calibri"/>
                  <w:sz w:val="18"/>
                  <w:color w:val="1155CC"/>
                  <w:u w:val="single"/>
                </w:rPr>
                <w:t xml:space="preserve">pmc.ncbi.nlm.nih.gov — tinea incognito review</w:t>
              </w:r>
            </w:hyperlink>
          </w:p>
          <w:p>
            <w:pPr>
              <w:spacing w:before="60" w:after="40"/>
            </w:pPr>
            <w:r>
              <w:rPr>
                <w:rFonts w:ascii="Calibri" w:hAnsi="Calibri"/>
                <w:b w:val="0"/>
                <w:i w:val="0"/>
                <w:color w:val="5A5A5A"/>
                <w:sz w:val="18"/>
              </w:rPr>
              <w:t>#elderly  #immunosenescence  #diabetes  #skinatrophy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Fairness- and acne-driven facial steroid use, and combination creams applied to intertriginous folds, disproportionately affect women; the historical male preponderance has narrowed sharply.</w:t>
            </w:r>
          </w:p>
          <w:p>
            <w:pPr>
              <w:spacing w:after="40" w:before="60" w:line="259" w:lineRule="auto"/>
            </w:pPr>
            <w:r>
              <w:rPr>
                <w:rFonts w:ascii="Calibri" w:hAnsi="Calibri"/>
                <w:b w:val="0"/>
                <w:i w:val="0"/>
                <w:color w:val="212121"/>
                <w:sz w:val="19"/>
              </w:rPr>
              <w:t>Women make up ~72% of topical-steroid-damaged-face cohorts, and the male:female ratio in dermatophytosis has fallen to &lt;2:1 (reversed to ~0.88:1 in some series).</w:t>
            </w:r>
          </w:p>
          <w:p>
            <w:pPr>
              <w:spacing w:after="40" w:line="252" w:lineRule="auto"/>
            </w:pPr>
            <w:hyperlink r:id="rId11">
              <w:r>
                <w:rPr>
                  <w:rFonts w:ascii="Calibri" w:hAnsi="Calibri" w:cs="Calibri"/>
                  <w:sz w:val="18"/>
                  <w:color w:val="1155CC"/>
                  <w:u w:val="single"/>
                </w:rPr>
                <w:t xml:space="preserve">cureus.com — topical steroid damaged/dependent face, N. India</w:t>
              </w:r>
            </w:hyperlink>
          </w:p>
          <w:p>
            <w:pPr>
              <w:spacing w:before="60" w:after="40"/>
            </w:pPr>
            <w:r>
              <w:rPr>
                <w:rFonts w:ascii="Calibri" w:hAnsi="Calibri"/>
                <w:b w:val="0"/>
                <w:i w:val="0"/>
                <w:color w:val="5A5A5A"/>
                <w:sz w:val="18"/>
              </w:rPr>
              <w:t>#TSDF  #fairnesscream  #faciei  #gendershift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for tinea cruris and among outdoor, uniformed and manual occupations that involve heavy sweating and occlusion, favouring groin and body infection.</w:t>
            </w:r>
          </w:p>
          <w:p>
            <w:pPr>
              <w:spacing w:after="40" w:before="60" w:line="259" w:lineRule="auto"/>
            </w:pPr>
            <w:r>
              <w:rPr>
                <w:rFonts w:ascii="Calibri" w:hAnsi="Calibri"/>
                <w:b w:val="0"/>
                <w:i w:val="0"/>
                <w:color w:val="212121"/>
                <w:sz w:val="19"/>
              </w:rPr>
              <w:t>58.9% of affected individuals in an Indian familial study had occupations involving excessive sweating; ~54% of the affected were male.</w:t>
            </w:r>
          </w:p>
          <w:p>
            <w:pPr>
              <w:spacing w:after="40" w:line="252" w:lineRule="auto"/>
            </w:pPr>
            <w:hyperlink r:id="rId12">
              <w:r>
                <w:rPr>
                  <w:rFonts w:ascii="Calibri" w:hAnsi="Calibri" w:cs="Calibri"/>
                  <w:sz w:val="18"/>
                  <w:color w:val="1155CC"/>
                  <w:u w:val="single"/>
                </w:rPr>
                <w:t xml:space="preserve">jcadonline.com — familial dermatophytosis in India</w:t>
              </w:r>
            </w:hyperlink>
          </w:p>
          <w:p>
            <w:pPr>
              <w:spacing w:before="60" w:after="40"/>
            </w:pPr>
            <w:r>
              <w:rPr>
                <w:rFonts w:ascii="Calibri" w:hAnsi="Calibri"/>
                <w:b w:val="0"/>
                <w:i w:val="0"/>
                <w:color w:val="5A5A5A"/>
                <w:sz w:val="18"/>
              </w:rPr>
              <w:t>#cruris  #sweat  #occupation  #occlusion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socioeconomic strata</w:t>
            </w:r>
          </w:p>
        </w:tc>
        <w:tc>
          <w:tcPr>
            <w:tcW w:type="dxa" w:w="4276"/>
            <w:vAlign w:val="top"/>
          </w:tcPr>
          <w:p>
            <w:pPr>
              <w:spacing w:after="60" w:line="259" w:lineRule="auto"/>
            </w:pPr>
            <w:r>
              <w:rPr>
                <w:rFonts w:ascii="Calibri" w:hAnsi="Calibri"/>
                <w:b w:val="0"/>
                <w:i w:val="0"/>
                <w:color w:val="212121"/>
                <w:sz w:val="19"/>
              </w:rPr>
              <w:t>Overcrowding, shared bathing facilities and towels, limited access to dermatologists and reliance on cheap OTC combination creams concentrate recalcitrant disease in lower-income groups.</w:t>
            </w:r>
          </w:p>
          <w:p>
            <w:pPr>
              <w:spacing w:after="40" w:before="60" w:line="259" w:lineRule="auto"/>
            </w:pPr>
            <w:r>
              <w:rPr>
                <w:rFonts w:ascii="Calibri" w:hAnsi="Calibri"/>
                <w:b w:val="0"/>
                <w:i w:val="0"/>
                <w:color w:val="212121"/>
                <w:sz w:val="19"/>
              </w:rPr>
              <w:t>61–67% of patients in Indian series belong to lower socioeconomic strata.</w:t>
            </w:r>
          </w:p>
          <w:p>
            <w:pPr>
              <w:spacing w:after="40" w:line="252" w:lineRule="auto"/>
            </w:pPr>
            <w:hyperlink r:id="rId9">
              <w:r>
                <w:rPr>
                  <w:rFonts w:ascii="Calibri" w:hAnsi="Calibri" w:cs="Calibri"/>
                  <w:sz w:val="18"/>
                  <w:color w:val="1155CC"/>
                  <w:u w:val="single"/>
                </w:rPr>
                <w:t xml:space="preserve">ijdvl.com — epidemic of dermatophytosis in India, part I</w:t>
              </w:r>
            </w:hyperlink>
          </w:p>
          <w:p>
            <w:pPr>
              <w:spacing w:before="60" w:after="40"/>
            </w:pPr>
            <w:r>
              <w:rPr>
                <w:rFonts w:ascii="Calibri" w:hAnsi="Calibri"/>
                <w:b w:val="0"/>
                <w:i w:val="0"/>
                <w:color w:val="5A5A5A"/>
                <w:sz w:val="18"/>
              </w:rPr>
              <w:t>#poverty  #overcrowding  #OTCcream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Indian population</w:t>
            </w:r>
          </w:p>
        </w:tc>
        <w:tc>
          <w:tcPr>
            <w:tcW w:type="dxa" w:w="4276"/>
            <w:vAlign w:val="top"/>
          </w:tcPr>
          <w:p>
            <w:pPr>
              <w:spacing w:after="60" w:line="259" w:lineRule="auto"/>
            </w:pPr>
            <w:r>
              <w:rPr>
                <w:rFonts w:ascii="Calibri" w:hAnsi="Calibri"/>
                <w:b w:val="0"/>
                <w:i w:val="0"/>
                <w:color w:val="212121"/>
                <w:sz w:val="19"/>
              </w:rPr>
              <w:t>Hospital-based studies record markedly higher dermatophytosis prevalence in North India than the South, reflecting climate, clothing, self-medication and referral patterns.</w:t>
            </w:r>
          </w:p>
          <w:p>
            <w:pPr>
              <w:spacing w:after="40" w:before="60" w:line="259" w:lineRule="auto"/>
            </w:pPr>
            <w:r>
              <w:rPr>
                <w:rFonts w:ascii="Calibri" w:hAnsi="Calibri"/>
                <w:b w:val="0"/>
                <w:i w:val="0"/>
                <w:color w:val="212121"/>
                <w:sz w:val="19"/>
              </w:rPr>
              <w:t>Prevalence reaches ~61.5% in North India versus 6.09–27.6% in parts of South India.</w:t>
            </w:r>
          </w:p>
          <w:p>
            <w:pPr>
              <w:spacing w:after="40" w:line="252" w:lineRule="auto"/>
            </w:pPr>
            <w:hyperlink r:id="rId9">
              <w:r>
                <w:rPr>
                  <w:rFonts w:ascii="Calibri" w:hAnsi="Calibri" w:cs="Calibri"/>
                  <w:sz w:val="18"/>
                  <w:color w:val="1155CC"/>
                  <w:u w:val="single"/>
                </w:rPr>
                <w:t xml:space="preserve">ijdvl.com — epidemic of dermatophytosis in India, part I</w:t>
              </w:r>
            </w:hyperlink>
          </w:p>
          <w:p>
            <w:pPr>
              <w:spacing w:before="60" w:after="40"/>
            </w:pPr>
            <w:r>
              <w:rPr>
                <w:rFonts w:ascii="Calibri" w:hAnsi="Calibri"/>
                <w:b w:val="0"/>
                <w:i w:val="0"/>
                <w:color w:val="5A5A5A"/>
                <w:sz w:val="18"/>
              </w:rPr>
              <w:t>#northindia  #regional  #prevalence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&amp; humid tropical zones</w:t>
            </w:r>
          </w:p>
        </w:tc>
        <w:tc>
          <w:tcPr>
            <w:tcW w:type="dxa" w:w="4276"/>
            <w:vAlign w:val="top"/>
          </w:tcPr>
          <w:p>
            <w:pPr>
              <w:spacing w:after="60" w:line="259" w:lineRule="auto"/>
            </w:pPr>
            <w:r>
              <w:rPr>
                <w:rFonts w:ascii="Calibri" w:hAnsi="Calibri"/>
                <w:b w:val="0"/>
                <w:i w:val="0"/>
                <w:color w:val="212121"/>
                <w:sz w:val="19"/>
              </w:rPr>
              <w:t>High ambient temperature and humidity increase sweating and skin surface moisture, promoting dermatophyte acquisition and perpetuation and driving seasonal summer/monsoon peaks.</w:t>
            </w:r>
          </w:p>
          <w:p>
            <w:pPr>
              <w:spacing w:after="40" w:before="60" w:line="259" w:lineRule="auto"/>
            </w:pPr>
            <w:r>
              <w:rPr>
                <w:rFonts w:ascii="Calibri" w:hAnsi="Calibri"/>
                <w:b w:val="0"/>
                <w:i w:val="0"/>
                <w:color w:val="212121"/>
                <w:sz w:val="19"/>
              </w:rPr>
              <w:t>India's high temperatures and humidity promote both fungal acquisition and persistence.</w:t>
            </w:r>
          </w:p>
          <w:p>
            <w:pPr>
              <w:spacing w:after="40" w:line="252" w:lineRule="auto"/>
            </w:pPr>
            <w:hyperlink r:id="rId10">
              <w:r>
                <w:rPr>
                  <w:rFonts w:ascii="Calibri" w:hAnsi="Calibri" w:cs="Calibri"/>
                  <w:sz w:val="18"/>
                  <w:color w:val="1155CC"/>
                  <w:u w:val="single"/>
                </w:rPr>
                <w:t xml:space="preserve">pmc.ncbi.nlm.nih.gov — tinea incognito review</w:t>
              </w:r>
            </w:hyperlink>
          </w:p>
          <w:p>
            <w:pPr>
              <w:spacing w:before="60" w:after="40"/>
            </w:pPr>
            <w:r>
              <w:rPr>
                <w:rFonts w:ascii="Calibri" w:hAnsi="Calibri"/>
                <w:b w:val="0"/>
                <w:i w:val="0"/>
                <w:color w:val="5A5A5A"/>
                <w:sz w:val="18"/>
              </w:rPr>
              <w:t>#humidity  #tropical  #sweat  #monsoon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occlusive clothing &amp; sweating</w:t>
            </w:r>
          </w:p>
        </w:tc>
        <w:tc>
          <w:tcPr>
            <w:tcW w:type="dxa" w:w="2160"/>
            <w:vAlign w:val="top"/>
          </w:tcPr>
          <w:p>
            <w:pPr>
              <w:spacing w:after="40" w:before="0" w:line="259" w:lineRule="auto"/>
            </w:pPr>
            <w:r>
              <w:rPr>
                <w:rFonts w:ascii="Calibri" w:hAnsi="Calibri"/>
                <w:b w:val="0"/>
                <w:i w:val="0"/>
                <w:color w:val="212121"/>
                <w:sz w:val="19"/>
              </w:rPr>
              <w:t>Uniformed workers, athletes, tight-synthetic-clothing users</w:t>
            </w:r>
          </w:p>
        </w:tc>
        <w:tc>
          <w:tcPr>
            <w:tcW w:type="dxa" w:w="4276"/>
            <w:vAlign w:val="top"/>
          </w:tcPr>
          <w:p>
            <w:pPr>
              <w:spacing w:after="60" w:line="259" w:lineRule="auto"/>
            </w:pPr>
            <w:r>
              <w:rPr>
                <w:rFonts w:ascii="Calibri" w:hAnsi="Calibri"/>
                <w:b w:val="0"/>
                <w:i w:val="0"/>
                <w:color w:val="212121"/>
                <w:sz w:val="19"/>
              </w:rPr>
              <w:t>Prolonged occlusion by tight or synthetic clothing traps sweat against the skin, raising local humidity and maceration and providing an ideal niche for dermatophyte growth, especially in body folds.</w:t>
            </w:r>
          </w:p>
          <w:p>
            <w:pPr>
              <w:spacing w:after="40" w:before="60" w:line="259" w:lineRule="auto"/>
            </w:pPr>
            <w:r>
              <w:rPr>
                <w:rFonts w:ascii="Calibri" w:hAnsi="Calibri"/>
                <w:b w:val="0"/>
                <w:i w:val="0"/>
                <w:color w:val="212121"/>
                <w:sz w:val="19"/>
              </w:rPr>
              <w:t>Occupations involving excessive sweating were present in 58.9% of affected individuals.</w:t>
            </w:r>
          </w:p>
          <w:p>
            <w:pPr>
              <w:spacing w:after="40" w:line="252" w:lineRule="auto"/>
            </w:pPr>
            <w:hyperlink r:id="rId12">
              <w:r>
                <w:rPr>
                  <w:rFonts w:ascii="Calibri" w:hAnsi="Calibri" w:cs="Calibri"/>
                  <w:sz w:val="18"/>
                  <w:color w:val="1155CC"/>
                  <w:u w:val="single"/>
                </w:rPr>
                <w:t xml:space="preserve">jcadonline.com — familial dermatophytosis in India</w:t>
              </w:r>
            </w:hyperlink>
          </w:p>
          <w:p>
            <w:pPr>
              <w:spacing w:before="60" w:after="40"/>
            </w:pPr>
            <w:r>
              <w:rPr>
                <w:rFonts w:ascii="Calibri" w:hAnsi="Calibri"/>
                <w:b w:val="0"/>
                <w:i w:val="0"/>
                <w:color w:val="5A5A5A"/>
                <w:sz w:val="18"/>
              </w:rPr>
              <w:t>#occlusion  #synthetic  #sweat  #intertrigo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impairs cutaneous microcirculation and cell-mediated immunity, which may favour chronicity and delayed clearance; direct causal evidence in dermatophytosis remains limited and it is best regarded as an aggravating rather than primary factor.</w:t>
            </w:r>
          </w:p>
          <w:p>
            <w:pPr>
              <w:spacing w:before="60" w:after="40"/>
            </w:pPr>
            <w:r>
              <w:rPr>
                <w:rFonts w:ascii="Calibri" w:hAnsi="Calibri"/>
                <w:b w:val="0"/>
                <w:i w:val="0"/>
                <w:color w:val="5A5A5A"/>
                <w:sz w:val="18"/>
              </w:rPr>
              <w:t>#smoking  #immunity  #microcirculation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Chronic heavy drinking impairs immune competence, worsens glycaemic control and interacts with azole antifungals (hepatotoxicity, drug levels); direct dermatophytosis-risk data are limited, so it chiefly complicates management and comorbidity.</w:t>
            </w:r>
          </w:p>
          <w:p>
            <w:pPr>
              <w:spacing w:before="60" w:after="40"/>
            </w:pPr>
            <w:r>
              <w:rPr>
                <w:rFonts w:ascii="Calibri" w:hAnsi="Calibri"/>
                <w:b w:val="0"/>
                <w:i w:val="0"/>
                <w:color w:val="5A5A5A"/>
                <w:sz w:val="18"/>
              </w:rPr>
              <w:t>#alcohol  #immunity  #azoleinteraction  #hepatotoxicity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Self-medication / OTC steroid use</w:t>
            </w:r>
          </w:p>
        </w:tc>
        <w:tc>
          <w:tcPr>
            <w:tcW w:type="dxa" w:w="2160"/>
            <w:vAlign w:val="top"/>
          </w:tcPr>
          <w:p>
            <w:pPr>
              <w:spacing w:after="40" w:before="0" w:line="259" w:lineRule="auto"/>
            </w:pPr>
            <w:r>
              <w:rPr>
                <w:rFonts w:ascii="Calibri" w:hAnsi="Calibri"/>
                <w:b w:val="0"/>
                <w:i w:val="0"/>
                <w:color w:val="212121"/>
                <w:sz w:val="19"/>
              </w:rPr>
              <w:t>Users of steroid-antifungal-antibacterial combination creams</w:t>
            </w:r>
          </w:p>
        </w:tc>
        <w:tc>
          <w:tcPr>
            <w:tcW w:type="dxa" w:w="4276"/>
            <w:vAlign w:val="top"/>
          </w:tcPr>
          <w:p>
            <w:pPr>
              <w:spacing w:after="60" w:line="259" w:lineRule="auto"/>
            </w:pPr>
            <w:r>
              <w:rPr>
                <w:rFonts w:ascii="Calibri" w:hAnsi="Calibri"/>
                <w:b w:val="0"/>
                <w:i w:val="0"/>
                <w:color w:val="212121"/>
                <w:sz w:val="19"/>
              </w:rPr>
              <w:t>Easy over-the-counter access to potent steroid FDC creams leads patients to apply them for any itch; transient relief encourages repeated use that suppresses immunity and converts simple tinea into recalcitrant, steroid-modified disease.</w:t>
            </w:r>
          </w:p>
          <w:p>
            <w:pPr>
              <w:spacing w:after="40" w:before="60" w:line="259" w:lineRule="auto"/>
            </w:pPr>
            <w:r>
              <w:rPr>
                <w:rFonts w:ascii="Calibri" w:hAnsi="Calibri"/>
                <w:b w:val="0"/>
                <w:i w:val="0"/>
                <w:color w:val="212121"/>
                <w:sz w:val="19"/>
              </w:rPr>
              <w:t>Prior use of steroid-containing combination creams is reported in 42–81% of chronic/recalcitrant cases; 100% of clustered families reported OTC combination-cream use.</w:t>
            </w:r>
          </w:p>
          <w:p>
            <w:pPr>
              <w:spacing w:after="40" w:line="252" w:lineRule="auto"/>
            </w:pPr>
            <w:hyperlink r:id="rId9">
              <w:r>
                <w:rPr>
                  <w:rFonts w:ascii="Calibri" w:hAnsi="Calibri" w:cs="Calibri"/>
                  <w:sz w:val="18"/>
                  <w:color w:val="1155CC"/>
                  <w:u w:val="single"/>
                </w:rPr>
                <w:t xml:space="preserve">ijdvl.com — epidemic of dermatophytosis in India, part I</w:t>
              </w:r>
            </w:hyperlink>
          </w:p>
          <w:p>
            <w:pPr>
              <w:spacing w:before="60" w:after="40"/>
            </w:pPr>
            <w:r>
              <w:rPr>
                <w:rFonts w:ascii="Calibri" w:hAnsi="Calibri"/>
                <w:b w:val="0"/>
                <w:i w:val="0"/>
                <w:color w:val="5A5A5A"/>
                <w:sz w:val="18"/>
              </w:rPr>
              <w:t>#FDC  #clobetasol  #selfmedication  #tineaincognito  #steroidmisuse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fomite sharing</w:t>
            </w:r>
          </w:p>
        </w:tc>
        <w:tc>
          <w:tcPr>
            <w:tcW w:type="dxa" w:w="2160"/>
            <w:vAlign w:val="top"/>
          </w:tcPr>
          <w:p>
            <w:pPr>
              <w:spacing w:after="40" w:before="0" w:line="259" w:lineRule="auto"/>
            </w:pPr>
            <w:r>
              <w:rPr>
                <w:rFonts w:ascii="Calibri" w:hAnsi="Calibri"/>
                <w:b w:val="0"/>
                <w:i w:val="0"/>
                <w:color w:val="212121"/>
                <w:sz w:val="19"/>
              </w:rPr>
              <w:t>Households sharing towels, clothing, soap &amp; bathing stools</w:t>
            </w:r>
          </w:p>
        </w:tc>
        <w:tc>
          <w:tcPr>
            <w:tcW w:type="dxa" w:w="4276"/>
            <w:vAlign w:val="top"/>
          </w:tcPr>
          <w:p>
            <w:pPr>
              <w:spacing w:after="60" w:line="259" w:lineRule="auto"/>
            </w:pPr>
            <w:r>
              <w:rPr>
                <w:rFonts w:ascii="Calibri" w:hAnsi="Calibri"/>
                <w:b w:val="0"/>
                <w:i w:val="0"/>
                <w:color w:val="212121"/>
                <w:sz w:val="19"/>
              </w:rPr>
              <w:t>Sharing of personal items and washing all family clothes together transfers arthroconidia between household members and re-inoculates treated skin from contaminated fomites, sustaining relapse.</w:t>
            </w:r>
          </w:p>
          <w:p>
            <w:pPr>
              <w:spacing w:after="40" w:before="60" w:line="259" w:lineRule="auto"/>
            </w:pPr>
            <w:r>
              <w:rPr>
                <w:rFonts w:ascii="Calibri" w:hAnsi="Calibri"/>
                <w:b w:val="0"/>
                <w:i w:val="0"/>
                <w:color w:val="212121"/>
                <w:sz w:val="19"/>
              </w:rPr>
              <w:t>37% of families shared towels and habitually washed all clothes together in an Indian familial dermatophytosis study.</w:t>
            </w:r>
          </w:p>
          <w:p>
            <w:pPr>
              <w:spacing w:after="40" w:line="252" w:lineRule="auto"/>
            </w:pPr>
            <w:hyperlink r:id="rId12">
              <w:r>
                <w:rPr>
                  <w:rFonts w:ascii="Calibri" w:hAnsi="Calibri" w:cs="Calibri"/>
                  <w:sz w:val="18"/>
                  <w:color w:val="1155CC"/>
                  <w:u w:val="single"/>
                </w:rPr>
                <w:t xml:space="preserve">jcadonline.com — familial dermatophytosis in India</w:t>
              </w:r>
            </w:hyperlink>
          </w:p>
          <w:p>
            <w:pPr>
              <w:spacing w:before="60" w:after="40"/>
            </w:pPr>
            <w:r>
              <w:rPr>
                <w:rFonts w:ascii="Calibri" w:hAnsi="Calibri"/>
                <w:b w:val="0"/>
                <w:i w:val="0"/>
                <w:color w:val="5A5A5A"/>
                <w:sz w:val="18"/>
              </w:rPr>
              <w:t>#fomites  #towels  #reinfection  #hygiene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&amp; obese individuals</w:t>
            </w:r>
          </w:p>
        </w:tc>
        <w:tc>
          <w:tcPr>
            <w:tcW w:type="dxa" w:w="4276"/>
            <w:vAlign w:val="top"/>
          </w:tcPr>
          <w:p>
            <w:pPr>
              <w:spacing w:after="60" w:line="259" w:lineRule="auto"/>
            </w:pPr>
            <w:r>
              <w:rPr>
                <w:rFonts w:ascii="Calibri" w:hAnsi="Calibri"/>
                <w:b w:val="0"/>
                <w:i w:val="0"/>
                <w:color w:val="212121"/>
                <w:sz w:val="19"/>
              </w:rPr>
              <w:t>Excess weight creates deep, warm, moist and occluded skin folds (groin, inframammary, abdominal) that are ideal for dermatophyte growth and hard to keep dry, favouring extensive intertriginous tinea.</w:t>
            </w:r>
          </w:p>
          <w:p>
            <w:pPr>
              <w:spacing w:after="40" w:before="60" w:line="259" w:lineRule="auto"/>
            </w:pPr>
            <w:r>
              <w:rPr>
                <w:rFonts w:ascii="Calibri" w:hAnsi="Calibri"/>
                <w:b w:val="0"/>
                <w:i w:val="0"/>
                <w:color w:val="212121"/>
                <w:sz w:val="19"/>
              </w:rPr>
              <w:t>Weight reduction is specifically advised for obese and hyperhidrotic patients to reduce sweating and recurrence.</w:t>
            </w:r>
          </w:p>
          <w:p>
            <w:pPr>
              <w:spacing w:after="40" w:line="252" w:lineRule="auto"/>
            </w:pPr>
            <w:hyperlink r:id="rId10">
              <w:r>
                <w:rPr>
                  <w:rFonts w:ascii="Calibri" w:hAnsi="Calibri" w:cs="Calibri"/>
                  <w:sz w:val="18"/>
                  <w:color w:val="1155CC"/>
                  <w:u w:val="single"/>
                </w:rPr>
                <w:t xml:space="preserve">pmc.ncbi.nlm.nih.gov — tinea incognito review</w:t>
              </w:r>
            </w:hyperlink>
          </w:p>
          <w:p>
            <w:pPr>
              <w:spacing w:before="60" w:after="40"/>
            </w:pPr>
            <w:r>
              <w:rPr>
                <w:rFonts w:ascii="Calibri" w:hAnsi="Calibri"/>
                <w:b w:val="0"/>
                <w:i w:val="0"/>
                <w:color w:val="5A5A5A"/>
                <w:sz w:val="18"/>
              </w:rPr>
              <w:t>#obesity  #skinfolds  #intertrigo  #sweat</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obesogenic diet</w:t>
            </w:r>
          </w:p>
        </w:tc>
        <w:tc>
          <w:tcPr>
            <w:tcW w:type="dxa" w:w="4276"/>
            <w:vAlign w:val="top"/>
          </w:tcPr>
          <w:p>
            <w:pPr>
              <w:spacing w:after="60" w:line="259" w:lineRule="auto"/>
            </w:pPr>
            <w:r>
              <w:rPr>
                <w:rFonts w:ascii="Calibri" w:hAnsi="Calibri"/>
                <w:b w:val="0"/>
                <w:i w:val="0"/>
                <w:color w:val="212121"/>
                <w:sz w:val="19"/>
              </w:rPr>
              <w:t>Diets rich in refined carbohydrate and energy promote obesity and dysglycaemia; poor glycaemic control in turn markedly raises susceptibility to tinea, linking diet to infection risk indirectly through metabolic health.</w:t>
            </w:r>
          </w:p>
          <w:p>
            <w:pPr>
              <w:spacing w:after="40" w:before="60" w:line="259" w:lineRule="auto"/>
            </w:pPr>
            <w:r>
              <w:rPr>
                <w:rFonts w:ascii="Calibri" w:hAnsi="Calibri"/>
                <w:b w:val="0"/>
                <w:i w:val="0"/>
                <w:color w:val="212121"/>
                <w:sz w:val="19"/>
              </w:rPr>
              <w:t>Uncontrolled diabetes raises tinea corporis risk about 3.5-fold (OR 3.55, 95% CI 1.19–10.58).</w:t>
            </w:r>
          </w:p>
          <w:p>
            <w:pPr>
              <w:spacing w:after="40" w:line="252" w:lineRule="auto"/>
            </w:pPr>
            <w:hyperlink r:id="rId13">
              <w:r>
                <w:rPr>
                  <w:rFonts w:ascii="Calibri" w:hAnsi="Calibri" w:cs="Calibri"/>
                  <w:sz w:val="18"/>
                  <w:color w:val="1155CC"/>
                  <w:u w:val="single"/>
                </w:rPr>
                <w:t xml:space="preserve">healthcare-bulletin.co.uk — tinea corporis &amp; diabetes, Haldia</w:t>
              </w:r>
            </w:hyperlink>
          </w:p>
          <w:p>
            <w:pPr>
              <w:spacing w:before="60" w:after="40"/>
            </w:pPr>
            <w:r>
              <w:rPr>
                <w:rFonts w:ascii="Calibri" w:hAnsi="Calibri"/>
                <w:b w:val="0"/>
                <w:i w:val="0"/>
                <w:color w:val="5A5A5A"/>
                <w:sz w:val="18"/>
              </w:rPr>
              <w:t>#glycemia  #refinedcarbs  #obesity  #diabetesrisk</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&amp; household contacts</w:t>
            </w:r>
          </w:p>
        </w:tc>
        <w:tc>
          <w:tcPr>
            <w:tcW w:type="dxa" w:w="4276"/>
            <w:vAlign w:val="top"/>
          </w:tcPr>
          <w:p>
            <w:pPr>
              <w:spacing w:after="60" w:line="259" w:lineRule="auto"/>
            </w:pPr>
            <w:r>
              <w:rPr>
                <w:rFonts w:ascii="Calibri" w:hAnsi="Calibri"/>
                <w:b w:val="0"/>
                <w:i w:val="0"/>
                <w:color w:val="212121"/>
                <w:sz w:val="19"/>
              </w:rPr>
              <w:t>Shared genetics, environment and fomites cause striking familial clustering; treating the index case without the family almost guarantees reinfection.</w:t>
            </w:r>
          </w:p>
          <w:p>
            <w:pPr>
              <w:spacing w:after="40" w:before="60" w:line="259" w:lineRule="auto"/>
            </w:pPr>
            <w:r>
              <w:rPr>
                <w:rFonts w:ascii="Calibri" w:hAnsi="Calibri"/>
                <w:b w:val="0"/>
                <w:i w:val="0"/>
                <w:color w:val="212121"/>
                <w:sz w:val="19"/>
              </w:rPr>
              <w:t>72–82% of patients report a positive family history, and 55.4% of household members were affected in an Indian familial study.</w:t>
            </w:r>
          </w:p>
          <w:p>
            <w:pPr>
              <w:spacing w:after="40" w:line="252" w:lineRule="auto"/>
            </w:pPr>
            <w:hyperlink r:id="rId12">
              <w:r>
                <w:rPr>
                  <w:rFonts w:ascii="Calibri" w:hAnsi="Calibri" w:cs="Calibri"/>
                  <w:sz w:val="18"/>
                  <w:color w:val="1155CC"/>
                  <w:u w:val="single"/>
                </w:rPr>
                <w:t xml:space="preserve">jcadonline.com — familial dermatophytosis in India</w:t>
              </w:r>
            </w:hyperlink>
          </w:p>
          <w:p>
            <w:pPr>
              <w:spacing w:before="60" w:after="40"/>
            </w:pPr>
            <w:r>
              <w:rPr>
                <w:rFonts w:ascii="Calibri" w:hAnsi="Calibri"/>
                <w:b w:val="0"/>
                <w:i w:val="0"/>
                <w:color w:val="5A5A5A"/>
                <w:sz w:val="18"/>
              </w:rPr>
              <w:t>#familyhistory  #connubial  #clustering  #contacts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Atopy / barrier &amp; immune predisposition</w:t>
            </w:r>
          </w:p>
        </w:tc>
        <w:tc>
          <w:tcPr>
            <w:tcW w:type="dxa" w:w="2160"/>
            <w:vAlign w:val="top"/>
          </w:tcPr>
          <w:p>
            <w:pPr>
              <w:spacing w:after="40" w:before="0" w:line="259" w:lineRule="auto"/>
            </w:pPr>
            <w:r>
              <w:rPr>
                <w:rFonts w:ascii="Calibri" w:hAnsi="Calibri"/>
                <w:b w:val="0"/>
                <w:i w:val="0"/>
                <w:color w:val="212121"/>
                <w:sz w:val="19"/>
              </w:rPr>
              <w:t>Atopic / barrier-impaired individuals</w:t>
            </w:r>
          </w:p>
        </w:tc>
        <w:tc>
          <w:tcPr>
            <w:tcW w:type="dxa" w:w="4276"/>
            <w:vAlign w:val="top"/>
          </w:tcPr>
          <w:p>
            <w:pPr>
              <w:spacing w:after="60" w:line="259" w:lineRule="auto"/>
            </w:pPr>
            <w:r>
              <w:rPr>
                <w:rFonts w:ascii="Calibri" w:hAnsi="Calibri"/>
                <w:b w:val="0"/>
                <w:i w:val="0"/>
                <w:color w:val="212121"/>
                <w:sz w:val="19"/>
              </w:rPr>
              <w:t>An impaired skin barrier and atopic tendency both increase colonisation and lead clinicians and patients to mistake tinea for eczema, prompting steroid use that unmasks or worsens the infection (tinea incognito).</w:t>
            </w:r>
          </w:p>
          <w:p>
            <w:pPr>
              <w:spacing w:before="60" w:after="40"/>
            </w:pPr>
            <w:r>
              <w:rPr>
                <w:rFonts w:ascii="Calibri" w:hAnsi="Calibri"/>
                <w:b w:val="0"/>
                <w:i w:val="0"/>
                <w:color w:val="5A5A5A"/>
                <w:sz w:val="18"/>
              </w:rPr>
              <w:t>#atopy  #barrier  #misdiagnosis  #eczematoustinea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uncontrolled diabetes</w:t>
            </w:r>
          </w:p>
        </w:tc>
        <w:tc>
          <w:tcPr>
            <w:tcW w:type="dxa" w:w="4276"/>
            <w:vAlign w:val="top"/>
          </w:tcPr>
          <w:p>
            <w:pPr>
              <w:spacing w:after="60" w:line="259" w:lineRule="auto"/>
            </w:pPr>
            <w:r>
              <w:rPr>
                <w:rFonts w:ascii="Calibri" w:hAnsi="Calibri"/>
                <w:b w:val="0"/>
                <w:i w:val="0"/>
                <w:color w:val="212121"/>
                <w:sz w:val="19"/>
              </w:rPr>
              <w:t>Hyperglycaemia impairs neutrophil function and skin immunity and raises tissue glucose, favouring fungal growth; glycaemic control, not diabetes duration, is the key determinant of infection.</w:t>
            </w:r>
          </w:p>
          <w:p>
            <w:pPr>
              <w:spacing w:after="40" w:before="60" w:line="259" w:lineRule="auto"/>
            </w:pPr>
            <w:r>
              <w:rPr>
                <w:rFonts w:ascii="Calibri" w:hAnsi="Calibri"/>
                <w:b w:val="0"/>
                <w:i w:val="0"/>
                <w:color w:val="212121"/>
                <w:sz w:val="19"/>
              </w:rPr>
              <w:t>63.3% of diabetics had tinea corporis; among uncontrolled diabetics 68.57% were affected versus 36% of controlled diabetics (OR 3.55).</w:t>
            </w:r>
          </w:p>
          <w:p>
            <w:pPr>
              <w:spacing w:after="40" w:line="252" w:lineRule="auto"/>
            </w:pPr>
            <w:hyperlink r:id="rId13">
              <w:r>
                <w:rPr>
                  <w:rFonts w:ascii="Calibri" w:hAnsi="Calibri" w:cs="Calibri"/>
                  <w:sz w:val="18"/>
                  <w:color w:val="1155CC"/>
                  <w:u w:val="single"/>
                </w:rPr>
                <w:t xml:space="preserve">healthcare-bulletin.co.uk — tinea corporis &amp; diabetes, Haldia</w:t>
              </w:r>
            </w:hyperlink>
          </w:p>
          <w:p>
            <w:pPr>
              <w:spacing w:before="60" w:after="40"/>
            </w:pPr>
            <w:r>
              <w:rPr>
                <w:rFonts w:ascii="Calibri" w:hAnsi="Calibri"/>
                <w:b w:val="0"/>
                <w:i w:val="0"/>
                <w:color w:val="5A5A5A"/>
                <w:sz w:val="18"/>
              </w:rPr>
              <w:t>#diabetes  #hyperglycemia  #immunity  #glycemiccontrol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transplant, systemic steroid/immunosuppressant users</w:t>
            </w:r>
          </w:p>
        </w:tc>
        <w:tc>
          <w:tcPr>
            <w:tcW w:type="dxa" w:w="4276"/>
            <w:vAlign w:val="top"/>
          </w:tcPr>
          <w:p>
            <w:pPr>
              <w:spacing w:after="60" w:line="259" w:lineRule="auto"/>
            </w:pPr>
            <w:r>
              <w:rPr>
                <w:rFonts w:ascii="Calibri" w:hAnsi="Calibri"/>
                <w:b w:val="0"/>
                <w:i w:val="0"/>
                <w:color w:val="212121"/>
                <w:sz w:val="19"/>
              </w:rPr>
              <w:t>Depressed cell-mediated immunity permits extensive, deep (Majocchi granuloma) and treatment-resistant dermatophytosis and raises the risk of atypical, widespread presentations.</w:t>
            </w:r>
          </w:p>
          <w:p>
            <w:pPr>
              <w:spacing w:after="40" w:before="60" w:line="259" w:lineRule="auto"/>
            </w:pPr>
            <w:r>
              <w:rPr>
                <w:rFonts w:ascii="Calibri" w:hAnsi="Calibri"/>
                <w:b w:val="0"/>
                <w:i w:val="0"/>
                <w:color w:val="212121"/>
                <w:sz w:val="19"/>
              </w:rPr>
              <w:t>Immunocompromised patients are at higher risk of extensive, recalcitrant tinea.</w:t>
            </w:r>
          </w:p>
          <w:p>
            <w:pPr>
              <w:spacing w:after="40" w:line="252" w:lineRule="auto"/>
            </w:pPr>
            <w:hyperlink r:id="rId10">
              <w:r>
                <w:rPr>
                  <w:rFonts w:ascii="Calibri" w:hAnsi="Calibri" w:cs="Calibri"/>
                  <w:sz w:val="18"/>
                  <w:color w:val="1155CC"/>
                  <w:u w:val="single"/>
                </w:rPr>
                <w:t xml:space="preserve">pmc.ncbi.nlm.nih.gov — tinea incognito review</w:t>
              </w:r>
            </w:hyperlink>
          </w:p>
          <w:p>
            <w:pPr>
              <w:spacing w:before="60" w:after="40"/>
            </w:pPr>
            <w:r>
              <w:rPr>
                <w:rFonts w:ascii="Calibri" w:hAnsi="Calibri"/>
                <w:b w:val="0"/>
                <w:i w:val="0"/>
                <w:color w:val="5A5A5A"/>
                <w:sz w:val="18"/>
              </w:rPr>
              <w:t>#immunosuppression  #HIV  #transplant  #Majocchi</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itself is protective for metabolic health, but intense exertion in occlusive synthetic sportswear traps sweat and promotes tinea cruris/corporis; obesity and sedentary metabolic disease indirectly raise susceptibility. Prompt showering and drying after activity reduces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High-glycaemic, obesogenic diets drive obesity and poor glycaemic control, and uncontrolled diabetes raises tinea corporis risk ~3.5-fold (OR 3.55); the dietary link is largely mediated through metabolic health rather than direct.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deprivation impairs cell-mediated immunity and, with relentless nocturnal pruritus, sleep is often disrupted in chronic disease; direct evidence that sleep quantity alters dermatophytosis risk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cutaneous microcirculation and immunity, plausibly favouring chronicity, but robust direct evidence linking smoking to dermatophytosis severity is lacking.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impairs immunity and glycaemic control and interacts with azole antifungals (hepatotoxicity, altered levels); it mainly complicates treatment rather than causing infection.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recalcitrant tinea causes substantial psychological morbidity—moderate-to-very-large quality-of-life impairment (DLQI) in about half of patients, with measurable anxiety and depression; stress may in turn worsen immune clearance, creating a bidirectional loop.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role, but bathing water hygiene and keeping skin folds dry after washing matter; damp, poorly dried skin promotes reinfection.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dermatophyte infection or its recalcitrance.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Personal and laundry hygiene is central: sharing towels/clothes (37% of families) and failing to hot-wash, sun-dry and iron garments perpetuate fomite reinfection; rigorous garment hygiene and treating contacts are core to cure.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Inappropriate topical corticosteroid / FDC cream use is the dominant provoking factor—reported in 42–81% of recalcitrant cases—converting simple tinea into steroid-modified, extensive disease; occlusion, heat, humidity and profuse sweating are additional provokers.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Topical corticosteroid / FDC exposure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Zero use of topical steroids/combination creams on tinea</w:t>
            </w:r>
          </w:p>
        </w:tc>
        <w:tc>
          <w:tcPr>
            <w:tcW w:type="dxa" w:w="1512"/>
            <w:vAlign w:val="top"/>
          </w:tcPr>
          <w:p>
            <w:pPr>
              <w:spacing w:after="40" w:before="0" w:line="259" w:lineRule="auto"/>
            </w:pPr>
            <w:r>
              <w:rPr>
                <w:rFonts w:ascii="Calibri" w:hAnsi="Calibri"/>
                <w:b w:val="0"/>
                <w:i w:val="0"/>
                <w:color w:val="212121"/>
                <w:sz w:val="19"/>
              </w:rPr>
              <w:t>Any use of potent/super-potent steroid or steroid-antifungal FDC cream</w:t>
            </w:r>
          </w:p>
        </w:tc>
        <w:tc>
          <w:tcPr>
            <w:tcW w:type="dxa" w:w="1468"/>
            <w:vAlign w:val="top"/>
          </w:tcPr>
          <w:p>
            <w:pPr>
              <w:spacing w:after="60" w:line="259" w:lineRule="auto"/>
            </w:pPr>
            <w:r>
              <w:rPr>
                <w:rFonts w:ascii="Calibri" w:hAnsi="Calibri"/>
                <w:b w:val="0"/>
                <w:i w:val="0"/>
                <w:color w:val="212121"/>
                <w:sz w:val="19"/>
              </w:rPr>
              <w:t>Steroids suppress inflammation but do not reduce fungal proliferation; stopping them is essential.</w:t>
            </w:r>
          </w:p>
          <w:p>
            <w:pPr>
              <w:spacing w:after="40" w:line="252" w:lineRule="auto"/>
            </w:pPr>
            <w:hyperlink r:id="rId14">
              <w:r>
                <w:rPr>
                  <w:rFonts w:ascii="Calibri" w:hAnsi="Calibri" w:cs="Calibri"/>
                  <w:sz w:val="18"/>
                  <w:color w:val="1155CC"/>
                  <w:u w:val="single"/>
                </w:rPr>
                <w:t xml:space="preserve">https://ijdvl.com/the-unprecedented-epidemic-like-scenario-of-dermatophytosis-in-india-iii-antifungal-resistance-and-treatment-options/</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Garment laundering practice</w:t>
            </w:r>
          </w:p>
        </w:tc>
        <w:tc>
          <w:tcPr>
            <w:tcW w:type="dxa" w:w="1655"/>
            <w:vAlign w:val="top"/>
          </w:tcPr>
          <w:p>
            <w:pPr>
              <w:spacing w:after="40" w:before="0" w:line="259" w:lineRule="auto"/>
            </w:pPr>
            <w:r>
              <w:rPr>
                <w:rFonts w:ascii="Calibri" w:hAnsi="Calibri"/>
                <w:b w:val="0"/>
                <w:i w:val="0"/>
                <w:color w:val="212121"/>
                <w:sz w:val="19"/>
              </w:rPr>
              <w:t>All patients &amp; contacts</w:t>
            </w:r>
          </w:p>
        </w:tc>
        <w:tc>
          <w:tcPr>
            <w:tcW w:type="dxa" w:w="1512"/>
            <w:vAlign w:val="top"/>
          </w:tcPr>
          <w:p>
            <w:pPr>
              <w:spacing w:after="40" w:before="0" w:line="259" w:lineRule="auto"/>
            </w:pPr>
            <w:r>
              <w:rPr>
                <w:rFonts w:ascii="Calibri" w:hAnsi="Calibri"/>
                <w:b w:val="0"/>
                <w:i w:val="0"/>
                <w:color w:val="212121"/>
                <w:sz w:val="19"/>
              </w:rPr>
              <w:t>Daily hot-water wash, sun-drying and ironing of clothes, undergarments &amp; socks</w:t>
            </w:r>
          </w:p>
        </w:tc>
        <w:tc>
          <w:tcPr>
            <w:tcW w:type="dxa" w:w="1512"/>
            <w:vAlign w:val="top"/>
          </w:tcPr>
          <w:p>
            <w:pPr>
              <w:spacing w:after="40" w:before="0" w:line="259" w:lineRule="auto"/>
            </w:pPr>
            <w:r>
              <w:rPr>
                <w:rFonts w:ascii="Calibri" w:hAnsi="Calibri"/>
                <w:b w:val="0"/>
                <w:i w:val="0"/>
                <w:color w:val="212121"/>
                <w:sz w:val="19"/>
              </w:rPr>
              <w:t>Re-wearing unwashed clothes; cold-wash; no ironing/sun-drying</w:t>
            </w:r>
          </w:p>
        </w:tc>
        <w:tc>
          <w:tcPr>
            <w:tcW w:type="dxa" w:w="1468"/>
            <w:vAlign w:val="top"/>
          </w:tcPr>
          <w:p>
            <w:pPr>
              <w:spacing w:after="60" w:line="259" w:lineRule="auto"/>
            </w:pPr>
            <w:r>
              <w:rPr>
                <w:rFonts w:ascii="Calibri" w:hAnsi="Calibri"/>
                <w:b w:val="0"/>
                <w:i w:val="0"/>
                <w:color w:val="212121"/>
                <w:sz w:val="19"/>
              </w:rPr>
              <w:t>Kills arthroconidia on fomites and prevents re-inoculation of treated skin.</w:t>
            </w:r>
          </w:p>
          <w:p>
            <w:pPr>
              <w:spacing w:after="40" w:line="252" w:lineRule="auto"/>
            </w:pPr>
            <w:hyperlink r:id="rId14">
              <w:r>
                <w:rPr>
                  <w:rFonts w:ascii="Calibri" w:hAnsi="Calibri" w:cs="Calibri"/>
                  <w:sz w:val="18"/>
                  <w:color w:val="1155CC"/>
                  <w:u w:val="single"/>
                </w:rPr>
                <w:t xml:space="preserve">https://ijdvl.com/the-unprecedented-epidemic-like-scenario-of-dermatophytosis-in-india-iii-antifungal-resistance-and-treatment-options/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Sharing of towels / clothing</w:t>
            </w:r>
          </w:p>
        </w:tc>
        <w:tc>
          <w:tcPr>
            <w:tcW w:type="dxa" w:w="1655"/>
            <w:vAlign w:val="top"/>
          </w:tcPr>
          <w:p>
            <w:pPr>
              <w:spacing w:after="40" w:before="0" w:line="259" w:lineRule="auto"/>
            </w:pPr>
            <w:r>
              <w:rPr>
                <w:rFonts w:ascii="Calibri" w:hAnsi="Calibri"/>
                <w:b w:val="0"/>
                <w:i w:val="0"/>
                <w:color w:val="212121"/>
                <w:sz w:val="19"/>
              </w:rPr>
              <w:t>Household members</w:t>
            </w:r>
          </w:p>
        </w:tc>
        <w:tc>
          <w:tcPr>
            <w:tcW w:type="dxa" w:w="1512"/>
            <w:vAlign w:val="top"/>
          </w:tcPr>
          <w:p>
            <w:pPr>
              <w:spacing w:after="40" w:before="0" w:line="259" w:lineRule="auto"/>
            </w:pPr>
            <w:r>
              <w:rPr>
                <w:rFonts w:ascii="Calibri" w:hAnsi="Calibri"/>
                <w:b w:val="0"/>
                <w:i w:val="0"/>
                <w:color w:val="212121"/>
                <w:sz w:val="19"/>
              </w:rPr>
              <w:t>No sharing of towels, clothes, soap or bathing stool</w:t>
            </w:r>
          </w:p>
        </w:tc>
        <w:tc>
          <w:tcPr>
            <w:tcW w:type="dxa" w:w="1512"/>
            <w:vAlign w:val="top"/>
          </w:tcPr>
          <w:p>
            <w:pPr>
              <w:spacing w:after="40" w:before="0" w:line="259" w:lineRule="auto"/>
            </w:pPr>
            <w:r>
              <w:rPr>
                <w:rFonts w:ascii="Calibri" w:hAnsi="Calibri"/>
                <w:b w:val="0"/>
                <w:i w:val="0"/>
                <w:color w:val="212121"/>
                <w:sz w:val="19"/>
              </w:rPr>
              <w:t>Shared towels/clothes within household</w:t>
            </w:r>
          </w:p>
        </w:tc>
        <w:tc>
          <w:tcPr>
            <w:tcW w:type="dxa" w:w="1468"/>
            <w:vAlign w:val="top"/>
          </w:tcPr>
          <w:p>
            <w:pPr>
              <w:spacing w:after="60" w:line="259" w:lineRule="auto"/>
            </w:pPr>
            <w:r>
              <w:rPr>
                <w:rFonts w:ascii="Calibri" w:hAnsi="Calibri"/>
                <w:b w:val="0"/>
                <w:i w:val="0"/>
                <w:color w:val="212121"/>
                <w:sz w:val="19"/>
              </w:rPr>
              <w:t>37% of affected families shared towels; sharing drives connubial/familial spread.</w:t>
            </w:r>
          </w:p>
          <w:p>
            <w:pPr>
              <w:spacing w:after="40" w:line="252" w:lineRule="auto"/>
            </w:pPr>
            <w:hyperlink r:id="rId12">
              <w:r>
                <w:rPr>
                  <w:rFonts w:ascii="Calibri" w:hAnsi="Calibri" w:cs="Calibri"/>
                  <w:sz w:val="18"/>
                  <w:color w:val="1155CC"/>
                  <w:u w:val="single"/>
                </w:rPr>
                <w:t xml:space="preserve">https://jcadonline.com/familial-dermatophytosis-india/</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Clothing type &amp; occlusion</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Loose, breathable cotton garments</w:t>
            </w:r>
          </w:p>
        </w:tc>
        <w:tc>
          <w:tcPr>
            <w:tcW w:type="dxa" w:w="1512"/>
            <w:vAlign w:val="top"/>
          </w:tcPr>
          <w:p>
            <w:pPr>
              <w:spacing w:after="40" w:before="0" w:line="259" w:lineRule="auto"/>
            </w:pPr>
            <w:r>
              <w:rPr>
                <w:rFonts w:ascii="Calibri" w:hAnsi="Calibri"/>
                <w:b w:val="0"/>
                <w:i w:val="0"/>
                <w:color w:val="212121"/>
                <w:sz w:val="19"/>
              </w:rPr>
              <w:t>Tight, occlusive synthetic clothing</w:t>
            </w:r>
          </w:p>
        </w:tc>
        <w:tc>
          <w:tcPr>
            <w:tcW w:type="dxa" w:w="1468"/>
            <w:vAlign w:val="top"/>
          </w:tcPr>
          <w:p>
            <w:pPr>
              <w:spacing w:after="60" w:line="259" w:lineRule="auto"/>
            </w:pPr>
            <w:r>
              <w:rPr>
                <w:rFonts w:ascii="Calibri" w:hAnsi="Calibri"/>
                <w:b w:val="0"/>
                <w:i w:val="0"/>
                <w:color w:val="212121"/>
                <w:sz w:val="19"/>
              </w:rPr>
              <w:t>Occlusion and trapped sweat raise skin humidity and favour dermatophyte growth.</w:t>
            </w:r>
          </w:p>
          <w:p>
            <w:pPr>
              <w:spacing w:after="40" w:line="252" w:lineRule="auto"/>
            </w:pPr>
            <w:hyperlink r:id="rId15">
              <w:r>
                <w:rPr>
                  <w:rFonts w:ascii="Calibri" w:hAnsi="Calibri" w:cs="Calibri"/>
                  <w:sz w:val="18"/>
                  <w:color w:val="1155CC"/>
                  <w:u w:val="single"/>
                </w:rPr>
                <w:t xml:space="preserve">https://link.springer.com/article/10.1186/s12895-018-0073-1</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 (Asian-Indian)</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Obesity deepens moist, occluded skin folds that harbour dermatophytes.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 / fasting glucose)</w:t>
            </w:r>
          </w:p>
        </w:tc>
        <w:tc>
          <w:tcPr>
            <w:tcW w:type="dxa" w:w="1655"/>
            <w:vAlign w:val="top"/>
          </w:tcPr>
          <w:p>
            <w:pPr>
              <w:spacing w:after="40" w:before="0" w:line="259" w:lineRule="auto"/>
            </w:pPr>
            <w:r>
              <w:rPr>
                <w:rFonts w:ascii="Calibri" w:hAnsi="Calibri"/>
                <w:b w:val="0"/>
                <w:i w:val="0"/>
                <w:color w:val="212121"/>
                <w:sz w:val="19"/>
              </w:rPr>
              <w:t>Diabetic / at-risk adults</w:t>
            </w:r>
          </w:p>
        </w:tc>
        <w:tc>
          <w:tcPr>
            <w:tcW w:type="dxa" w:w="1512"/>
            <w:vAlign w:val="top"/>
          </w:tcPr>
          <w:p>
            <w:pPr>
              <w:spacing w:after="40" w:before="0" w:line="259" w:lineRule="auto"/>
            </w:pPr>
            <w:r>
              <w:rPr>
                <w:rFonts w:ascii="Calibri" w:hAnsi="Calibri"/>
                <w:b w:val="0"/>
                <w:i w:val="0"/>
                <w:color w:val="212121"/>
                <w:sz w:val="19"/>
              </w:rPr>
              <w:t>HbA1c &lt; 7%; FPG &lt; 100 mg/dL</w:t>
            </w:r>
          </w:p>
        </w:tc>
        <w:tc>
          <w:tcPr>
            <w:tcW w:type="dxa" w:w="1512"/>
            <w:vAlign w:val="top"/>
          </w:tcPr>
          <w:p>
            <w:pPr>
              <w:spacing w:after="40" w:before="0" w:line="259" w:lineRule="auto"/>
            </w:pPr>
            <w:r>
              <w:rPr>
                <w:rFonts w:ascii="Calibri" w:hAnsi="Calibri"/>
                <w:b w:val="0"/>
                <w:i w:val="0"/>
                <w:color w:val="212121"/>
                <w:sz w:val="19"/>
              </w:rPr>
              <w:t>HbA1c ≥ 7%; uncontrolled hyperglycaemia</w:t>
            </w:r>
          </w:p>
        </w:tc>
        <w:tc>
          <w:tcPr>
            <w:tcW w:type="dxa" w:w="1468"/>
            <w:vAlign w:val="top"/>
          </w:tcPr>
          <w:p>
            <w:pPr>
              <w:spacing w:after="60" w:line="259" w:lineRule="auto"/>
            </w:pPr>
            <w:r>
              <w:rPr>
                <w:rFonts w:ascii="Calibri" w:hAnsi="Calibri"/>
                <w:b w:val="0"/>
                <w:i w:val="0"/>
                <w:color w:val="212121"/>
                <w:sz w:val="19"/>
              </w:rPr>
              <w:t>Uncontrolled diabetes raises tinea corporis risk ~3.5-fold (OR 3.55).</w:t>
            </w:r>
          </w:p>
          <w:p>
            <w:pPr>
              <w:spacing w:after="40" w:line="252" w:lineRule="auto"/>
            </w:pPr>
            <w:hyperlink r:id="rId13">
              <w:r>
                <w:rPr>
                  <w:rFonts w:ascii="Calibri" w:hAnsi="Calibri" w:cs="Calibri"/>
                  <w:sz w:val="18"/>
                  <w:color w:val="1155CC"/>
                  <w:u w:val="single"/>
                </w:rPr>
                <w:t xml:space="preserve">https://healthcare-bulletin.co.uk/article/to-evaluate-the-prevalence-of-tinea-corporis-in-general-population-and-its-association-with-diabetes-in-tertiary-centre-of-haldia--2860/</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Terbinafine MIC (antifungal susceptibility)</w:t>
            </w:r>
          </w:p>
        </w:tc>
        <w:tc>
          <w:tcPr>
            <w:tcW w:type="dxa" w:w="1655"/>
            <w:vAlign w:val="top"/>
          </w:tcPr>
          <w:p>
            <w:pPr>
              <w:spacing w:after="40" w:before="0" w:line="259" w:lineRule="auto"/>
            </w:pPr>
            <w:r>
              <w:rPr>
                <w:rFonts w:ascii="Calibri" w:hAnsi="Calibri"/>
                <w:b w:val="0"/>
                <w:i w:val="0"/>
                <w:color w:val="212121"/>
                <w:sz w:val="19"/>
              </w:rPr>
              <w:t>Recalcitrant / non-responding cases</w:t>
            </w:r>
          </w:p>
        </w:tc>
        <w:tc>
          <w:tcPr>
            <w:tcW w:type="dxa" w:w="1512"/>
            <w:vAlign w:val="top"/>
          </w:tcPr>
          <w:p>
            <w:pPr>
              <w:spacing w:after="40" w:before="0" w:line="259" w:lineRule="auto"/>
            </w:pPr>
            <w:r>
              <w:rPr>
                <w:rFonts w:ascii="Calibri" w:hAnsi="Calibri"/>
                <w:b w:val="0"/>
                <w:i w:val="0"/>
                <w:color w:val="212121"/>
                <w:sz w:val="19"/>
              </w:rPr>
              <w:t>≤ 1 µg/mL (likely to respond to terbinafine)</w:t>
            </w:r>
          </w:p>
        </w:tc>
        <w:tc>
          <w:tcPr>
            <w:tcW w:type="dxa" w:w="1512"/>
            <w:vAlign w:val="top"/>
          </w:tcPr>
          <w:p>
            <w:pPr>
              <w:spacing w:after="40" w:before="0" w:line="259" w:lineRule="auto"/>
            </w:pPr>
            <w:r>
              <w:rPr>
                <w:rFonts w:ascii="Calibri" w:hAnsi="Calibri"/>
                <w:b w:val="0"/>
                <w:i w:val="0"/>
                <w:color w:val="212121"/>
                <w:sz w:val="19"/>
              </w:rPr>
              <w:t>&gt; 1 µg/mL (resistant; up to 32 µg/mL in T. indotineae)</w:t>
            </w:r>
          </w:p>
        </w:tc>
        <w:tc>
          <w:tcPr>
            <w:tcW w:type="dxa" w:w="1468"/>
            <w:vAlign w:val="top"/>
          </w:tcPr>
          <w:p>
            <w:pPr>
              <w:spacing w:after="60" w:line="259" w:lineRule="auto"/>
            </w:pPr>
            <w:r>
              <w:rPr>
                <w:rFonts w:ascii="Calibri" w:hAnsi="Calibri"/>
                <w:b w:val="0"/>
                <w:i w:val="0"/>
                <w:color w:val="212121"/>
                <w:sz w:val="19"/>
              </w:rPr>
              <w:t>Patients with terbinafine MIC ≤ 1 µg/mL are ~2.5× more likely to respond to terbinafine.</w:t>
            </w:r>
          </w:p>
          <w:p>
            <w:pPr>
              <w:spacing w:after="40" w:line="252" w:lineRule="auto"/>
            </w:pPr>
            <w:hyperlink r:id="rId14">
              <w:r>
                <w:rPr>
                  <w:rFonts w:ascii="Calibri" w:hAnsi="Calibri" w:cs="Calibri"/>
                  <w:sz w:val="18"/>
                  <w:color w:val="1155CC"/>
                  <w:u w:val="single"/>
                </w:rPr>
                <w:t xml:space="preserve">https://ijdvl.com/the-unprecedented-epidemic-like-scenario-of-dermatophytosis-in-india-iii-antifungal-resistance-and-treatment-options/</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Excessive sweating (hyperhidrosis)</w:t>
            </w:r>
          </w:p>
        </w:tc>
        <w:tc>
          <w:tcPr>
            <w:tcW w:type="dxa" w:w="1655"/>
            <w:vAlign w:val="top"/>
          </w:tcPr>
          <w:p>
            <w:pPr>
              <w:spacing w:after="40" w:before="0" w:line="259" w:lineRule="auto"/>
            </w:pPr>
            <w:r>
              <w:rPr>
                <w:rFonts w:ascii="Calibri" w:hAnsi="Calibri"/>
                <w:b w:val="0"/>
                <w:i w:val="0"/>
                <w:color w:val="212121"/>
                <w:sz w:val="19"/>
              </w:rPr>
              <w:t>Manual/outdoor workers, athletes</w:t>
            </w:r>
          </w:p>
        </w:tc>
        <w:tc>
          <w:tcPr>
            <w:tcW w:type="dxa" w:w="1512"/>
            <w:vAlign w:val="top"/>
          </w:tcPr>
          <w:p>
            <w:pPr>
              <w:spacing w:after="40" w:before="0" w:line="259" w:lineRule="auto"/>
            </w:pPr>
            <w:r>
              <w:rPr>
                <w:rFonts w:ascii="Calibri" w:hAnsi="Calibri"/>
                <w:b w:val="0"/>
                <w:i w:val="0"/>
                <w:color w:val="212121"/>
                <w:sz w:val="19"/>
              </w:rPr>
              <w:t>Skin kept dry; sweat wiped and folds dried</w:t>
            </w:r>
          </w:p>
        </w:tc>
        <w:tc>
          <w:tcPr>
            <w:tcW w:type="dxa" w:w="1512"/>
            <w:vAlign w:val="top"/>
          </w:tcPr>
          <w:p>
            <w:pPr>
              <w:spacing w:after="40" w:before="0" w:line="259" w:lineRule="auto"/>
            </w:pPr>
            <w:r>
              <w:rPr>
                <w:rFonts w:ascii="Calibri" w:hAnsi="Calibri"/>
                <w:b w:val="0"/>
                <w:i w:val="0"/>
                <w:color w:val="212121"/>
                <w:sz w:val="19"/>
              </w:rPr>
              <w:t>Persistently damp, macerated skin folds</w:t>
            </w:r>
          </w:p>
        </w:tc>
        <w:tc>
          <w:tcPr>
            <w:tcW w:type="dxa" w:w="1468"/>
            <w:vAlign w:val="top"/>
          </w:tcPr>
          <w:p>
            <w:pPr>
              <w:spacing w:after="60" w:line="259" w:lineRule="auto"/>
            </w:pPr>
            <w:r>
              <w:rPr>
                <w:rFonts w:ascii="Calibri" w:hAnsi="Calibri"/>
                <w:b w:val="0"/>
                <w:i w:val="0"/>
                <w:color w:val="212121"/>
                <w:sz w:val="19"/>
              </w:rPr>
              <w:t>Sweat-inducing occupations were present in 58.9% of affected individuals.</w:t>
            </w:r>
          </w:p>
          <w:p>
            <w:pPr>
              <w:spacing w:after="40" w:line="252" w:lineRule="auto"/>
            </w:pPr>
            <w:hyperlink r:id="rId12">
              <w:r>
                <w:rPr>
                  <w:rFonts w:ascii="Calibri" w:hAnsi="Calibri" w:cs="Calibri"/>
                  <w:sz w:val="18"/>
                  <w:color w:val="1155CC"/>
                  <w:u w:val="single"/>
                </w:rPr>
                <w:t xml:space="preserve">https://jcadonline.com/familial-dermatophytosis-india/</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KOH direct microscopy (10–40%)</w:t>
            </w:r>
          </w:p>
        </w:tc>
        <w:tc>
          <w:tcPr>
            <w:tcW w:type="dxa" w:w="892"/>
            <w:vAlign w:val="top"/>
          </w:tcPr>
          <w:p>
            <w:pPr>
              <w:spacing w:after="40" w:before="0" w:line="259" w:lineRule="auto"/>
            </w:pPr>
            <w:r>
              <w:rPr>
                <w:rFonts w:ascii="Calibri" w:hAnsi="Calibri"/>
                <w:b w:val="0"/>
                <w:i w:val="0"/>
                <w:color w:val="212121"/>
                <w:sz w:val="16"/>
              </w:rPr>
              <w:t>Skin scraping KOH mount</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Septate branching hyphae ± arthroconidia</w:t>
            </w:r>
          </w:p>
        </w:tc>
        <w:tc>
          <w:tcPr>
            <w:tcW w:type="dxa" w:w="1036"/>
            <w:vAlign w:val="top"/>
          </w:tcPr>
          <w:p>
            <w:pPr>
              <w:spacing w:after="40" w:before="0" w:line="259" w:lineRule="auto"/>
            </w:pPr>
            <w:r>
              <w:rPr>
                <w:rFonts w:ascii="Calibri" w:hAnsi="Calibri"/>
                <w:b w:val="0"/>
                <w:i w:val="0"/>
                <w:color w:val="212121"/>
                <w:sz w:val="16"/>
              </w:rPr>
              <w:t>Confirms active dermatophyte infection at the bedside</w:t>
            </w:r>
          </w:p>
        </w:tc>
        <w:tc>
          <w:tcPr>
            <w:tcW w:type="dxa" w:w="1036"/>
            <w:vAlign w:val="top"/>
          </w:tcPr>
          <w:p>
            <w:pPr>
              <w:spacing w:after="40" w:before="0" w:line="259" w:lineRule="auto"/>
            </w:pPr>
            <w:r>
              <w:rPr>
                <w:rFonts w:ascii="Calibri" w:hAnsi="Calibri"/>
                <w:b w:val="0"/>
                <w:i w:val="0"/>
                <w:color w:val="212121"/>
                <w:sz w:val="16"/>
              </w:rPr>
              <w:t>All suspected cases; steroid-modified/atypical lesions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 (screening)</w:t>
            </w:r>
          </w:p>
        </w:tc>
        <w:tc>
          <w:tcPr>
            <w:tcW w:type="dxa" w:w="720"/>
            <w:vAlign w:val="top"/>
          </w:tcPr>
          <w:p>
            <w:pPr>
              <w:spacing w:after="40" w:before="0" w:line="259" w:lineRule="auto"/>
            </w:pPr>
            <w:r>
              <w:rPr>
                <w:rFonts w:ascii="Calibri" w:hAnsi="Calibri"/>
                <w:b w:val="0"/>
                <w:i w:val="0"/>
                <w:color w:val="212121"/>
                <w:sz w:val="16"/>
              </w:rPr>
              <w:t>Sensitivity rises if creams stopped a few days before sampling; DMSO/Chicago Sky Blue aids visualisation.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Fungal culture (SDA ± cycloheximide)</w:t>
            </w:r>
          </w:p>
        </w:tc>
        <w:tc>
          <w:tcPr>
            <w:tcW w:type="dxa" w:w="892"/>
            <w:vAlign w:val="top"/>
          </w:tcPr>
          <w:p>
            <w:pPr>
              <w:spacing w:after="40" w:before="0" w:line="259" w:lineRule="auto"/>
            </w:pPr>
            <w:r>
              <w:rPr>
                <w:rFonts w:ascii="Calibri" w:hAnsi="Calibri"/>
                <w:b w:val="0"/>
                <w:i w:val="0"/>
                <w:color w:val="212121"/>
                <w:sz w:val="16"/>
              </w:rPr>
              <w:t>Culture &amp; species identification</w:t>
            </w:r>
          </w:p>
        </w:tc>
        <w:tc>
          <w:tcPr>
            <w:tcW w:type="dxa" w:w="950"/>
            <w:vAlign w:val="top"/>
          </w:tcPr>
          <w:p>
            <w:pPr>
              <w:spacing w:after="40" w:before="0" w:line="259" w:lineRule="auto"/>
            </w:pPr>
            <w:r>
              <w:rPr>
                <w:rFonts w:ascii="Calibri" w:hAnsi="Calibri"/>
                <w:b w:val="0"/>
                <w:i w:val="0"/>
                <w:color w:val="212121"/>
                <w:sz w:val="16"/>
              </w:rPr>
              <w:t>No dermatophyte growth</w:t>
            </w:r>
          </w:p>
        </w:tc>
        <w:tc>
          <w:tcPr>
            <w:tcW w:type="dxa" w:w="950"/>
            <w:vAlign w:val="top"/>
          </w:tcPr>
          <w:p>
            <w:pPr>
              <w:spacing w:after="40" w:before="0" w:line="259" w:lineRule="auto"/>
            </w:pPr>
            <w:r>
              <w:rPr>
                <w:rFonts w:ascii="Calibri" w:hAnsi="Calibri"/>
                <w:b w:val="0"/>
                <w:i w:val="0"/>
                <w:color w:val="212121"/>
                <w:sz w:val="16"/>
              </w:rPr>
              <w:t>Growth of Trichophyton spp. (T. mentagrophytes/indotineae, T. rubrum)</w:t>
            </w:r>
          </w:p>
        </w:tc>
        <w:tc>
          <w:tcPr>
            <w:tcW w:type="dxa" w:w="1036"/>
            <w:vAlign w:val="top"/>
          </w:tcPr>
          <w:p>
            <w:pPr>
              <w:spacing w:after="40" w:before="0" w:line="259" w:lineRule="auto"/>
            </w:pPr>
            <w:r>
              <w:rPr>
                <w:rFonts w:ascii="Calibri" w:hAnsi="Calibri"/>
                <w:b w:val="0"/>
                <w:i w:val="0"/>
                <w:color w:val="212121"/>
                <w:sz w:val="16"/>
              </w:rPr>
              <w:t>Identifies species; documents shift to T. mentagrophytes/indotineae</w:t>
            </w:r>
          </w:p>
        </w:tc>
        <w:tc>
          <w:tcPr>
            <w:tcW w:type="dxa" w:w="1036"/>
            <w:vAlign w:val="top"/>
          </w:tcPr>
          <w:p>
            <w:pPr>
              <w:spacing w:after="40" w:before="0" w:line="259" w:lineRule="auto"/>
            </w:pPr>
            <w:r>
              <w:rPr>
                <w:rFonts w:ascii="Calibri" w:hAnsi="Calibri"/>
                <w:b w:val="0"/>
                <w:i w:val="0"/>
                <w:color w:val="212121"/>
                <w:sz w:val="16"/>
              </w:rPr>
              <w:t>Recalcitrant, recurrent or 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Takes 1–4 weeks; needed before susceptibility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Antifungal susceptibility / MIC (CLSI M38)</w:t>
            </w:r>
          </w:p>
        </w:tc>
        <w:tc>
          <w:tcPr>
            <w:tcW w:type="dxa" w:w="892"/>
            <w:vAlign w:val="top"/>
          </w:tcPr>
          <w:p>
            <w:pPr>
              <w:spacing w:after="40" w:before="0" w:line="259" w:lineRule="auto"/>
            </w:pPr>
            <w:r>
              <w:rPr>
                <w:rFonts w:ascii="Calibri" w:hAnsi="Calibri"/>
                <w:b w:val="0"/>
                <w:i w:val="0"/>
                <w:color w:val="212121"/>
                <w:sz w:val="16"/>
              </w:rPr>
              <w:t>Terbinafine &amp; itraconazole MIC</w:t>
            </w:r>
          </w:p>
        </w:tc>
        <w:tc>
          <w:tcPr>
            <w:tcW w:type="dxa" w:w="950"/>
            <w:vAlign w:val="top"/>
          </w:tcPr>
          <w:p>
            <w:pPr>
              <w:spacing w:after="40" w:before="0" w:line="259" w:lineRule="auto"/>
            </w:pPr>
            <w:r>
              <w:rPr>
                <w:rFonts w:ascii="Calibri" w:hAnsi="Calibri"/>
                <w:b w:val="0"/>
                <w:i w:val="0"/>
                <w:color w:val="212121"/>
                <w:sz w:val="16"/>
              </w:rPr>
              <w:t>Terbinafine MIC ≤ 1 µg/mL</w:t>
            </w:r>
          </w:p>
        </w:tc>
        <w:tc>
          <w:tcPr>
            <w:tcW w:type="dxa" w:w="950"/>
            <w:vAlign w:val="top"/>
          </w:tcPr>
          <w:p>
            <w:pPr>
              <w:spacing w:after="40" w:before="0" w:line="259" w:lineRule="auto"/>
            </w:pPr>
            <w:r>
              <w:rPr>
                <w:rFonts w:ascii="Calibri" w:hAnsi="Calibri"/>
                <w:b w:val="0"/>
                <w:i w:val="0"/>
                <w:color w:val="212121"/>
                <w:sz w:val="16"/>
              </w:rPr>
              <w:t>Terbinafine MIC &gt; 1 µg/mL (up to 32 µg/mL)</w:t>
            </w:r>
          </w:p>
        </w:tc>
        <w:tc>
          <w:tcPr>
            <w:tcW w:type="dxa" w:w="1036"/>
            <w:vAlign w:val="top"/>
          </w:tcPr>
          <w:p>
            <w:pPr>
              <w:spacing w:after="40" w:before="0" w:line="259" w:lineRule="auto"/>
            </w:pPr>
            <w:r>
              <w:rPr>
                <w:rFonts w:ascii="Calibri" w:hAnsi="Calibri"/>
                <w:b w:val="0"/>
                <w:i w:val="0"/>
                <w:color w:val="212121"/>
                <w:sz w:val="16"/>
              </w:rPr>
              <w:t>High terbinafine MIC predicts treatment failure; guides switch to itraconazole</w:t>
            </w:r>
          </w:p>
        </w:tc>
        <w:tc>
          <w:tcPr>
            <w:tcW w:type="dxa" w:w="1036"/>
            <w:vAlign w:val="top"/>
          </w:tcPr>
          <w:p>
            <w:pPr>
              <w:spacing w:after="40" w:before="0" w:line="259" w:lineRule="auto"/>
            </w:pPr>
            <w:r>
              <w:rPr>
                <w:rFonts w:ascii="Calibri" w:hAnsi="Calibri"/>
                <w:b w:val="0"/>
                <w:i w:val="0"/>
                <w:color w:val="212121"/>
                <w:sz w:val="16"/>
              </w:rPr>
              <w:t>Non-responders, suspected T. indotineae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(resistance)</w:t>
            </w:r>
          </w:p>
        </w:tc>
        <w:tc>
          <w:tcPr>
            <w:tcW w:type="dxa" w:w="720"/>
            <w:vAlign w:val="top"/>
          </w:tcPr>
          <w:p>
            <w:pPr>
              <w:spacing w:after="40" w:before="0" w:line="259" w:lineRule="auto"/>
            </w:pPr>
            <w:r>
              <w:rPr>
                <w:rFonts w:ascii="Calibri" w:hAnsi="Calibri"/>
                <w:b w:val="0"/>
                <w:i w:val="0"/>
                <w:color w:val="212121"/>
                <w:sz w:val="16"/>
              </w:rPr>
              <w:t>MIC ≤ 1 µg/mL ≈ 2.5× higher chance of terbinafine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Squalene epoxidase (SQLE) gene sequencing</w:t>
            </w:r>
          </w:p>
        </w:tc>
        <w:tc>
          <w:tcPr>
            <w:tcW w:type="dxa" w:w="892"/>
            <w:vAlign w:val="top"/>
          </w:tcPr>
          <w:p>
            <w:pPr>
              <w:spacing w:after="40" w:before="0" w:line="259" w:lineRule="auto"/>
            </w:pPr>
            <w:r>
              <w:rPr>
                <w:rFonts w:ascii="Calibri" w:hAnsi="Calibri"/>
                <w:b w:val="0"/>
                <w:i w:val="0"/>
                <w:color w:val="212121"/>
                <w:sz w:val="16"/>
              </w:rPr>
              <w:t>Resistance-mutation detection</w:t>
            </w:r>
          </w:p>
        </w:tc>
        <w:tc>
          <w:tcPr>
            <w:tcW w:type="dxa" w:w="950"/>
            <w:vAlign w:val="top"/>
          </w:tcPr>
          <w:p>
            <w:pPr>
              <w:spacing w:after="40" w:before="0" w:line="259" w:lineRule="auto"/>
            </w:pPr>
            <w:r>
              <w:rPr>
                <w:rFonts w:ascii="Calibri" w:hAnsi="Calibri"/>
                <w:b w:val="0"/>
                <w:i w:val="0"/>
                <w:color w:val="212121"/>
                <w:sz w:val="16"/>
              </w:rPr>
              <w:t>Wild-type SQLE</w:t>
            </w:r>
          </w:p>
        </w:tc>
        <w:tc>
          <w:tcPr>
            <w:tcW w:type="dxa" w:w="950"/>
            <w:vAlign w:val="top"/>
          </w:tcPr>
          <w:p>
            <w:pPr>
              <w:spacing w:after="40" w:before="0" w:line="259" w:lineRule="auto"/>
            </w:pPr>
            <w:r>
              <w:rPr>
                <w:rFonts w:ascii="Calibri" w:hAnsi="Calibri"/>
                <w:b w:val="0"/>
                <w:i w:val="0"/>
                <w:color w:val="212121"/>
                <w:sz w:val="16"/>
              </w:rPr>
              <w:t>Point mutation (F397L, L393F/L393S, etc.)</w:t>
            </w:r>
          </w:p>
        </w:tc>
        <w:tc>
          <w:tcPr>
            <w:tcW w:type="dxa" w:w="1036"/>
            <w:vAlign w:val="top"/>
          </w:tcPr>
          <w:p>
            <w:pPr>
              <w:spacing w:after="40" w:before="0" w:line="259" w:lineRule="auto"/>
            </w:pPr>
            <w:r>
              <w:rPr>
                <w:rFonts w:ascii="Calibri" w:hAnsi="Calibri"/>
                <w:b w:val="0"/>
                <w:i w:val="0"/>
                <w:color w:val="212121"/>
                <w:sz w:val="16"/>
              </w:rPr>
              <w:t>Confirms molecular basis of terbinafine resistance in T. indotineae</w:t>
            </w:r>
          </w:p>
        </w:tc>
        <w:tc>
          <w:tcPr>
            <w:tcW w:type="dxa" w:w="1036"/>
            <w:vAlign w:val="top"/>
          </w:tcPr>
          <w:p>
            <w:pPr>
              <w:spacing w:after="40" w:before="0" w:line="259" w:lineRule="auto"/>
            </w:pPr>
            <w:r>
              <w:rPr>
                <w:rFonts w:ascii="Calibri" w:hAnsi="Calibri"/>
                <w:b w:val="0"/>
                <w:i w:val="0"/>
                <w:color w:val="212121"/>
                <w:sz w:val="16"/>
              </w:rPr>
              <w:t>Terbinafine non-responders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(research/reference labs)</w:t>
            </w:r>
          </w:p>
        </w:tc>
        <w:tc>
          <w:tcPr>
            <w:tcW w:type="dxa" w:w="720"/>
            <w:vAlign w:val="top"/>
          </w:tcPr>
          <w:p>
            <w:pPr>
              <w:spacing w:after="40" w:before="0" w:line="259" w:lineRule="auto"/>
            </w:pPr>
            <w:r>
              <w:rPr>
                <w:rFonts w:ascii="Calibri" w:hAnsi="Calibri"/>
                <w:b w:val="0"/>
                <w:i w:val="0"/>
                <w:color w:val="212121"/>
                <w:sz w:val="16"/>
              </w:rPr>
              <w:t>F397L found in ~77% of high-MIC isolates in Indian data.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Dermoscopic pattern</w:t>
            </w:r>
          </w:p>
        </w:tc>
        <w:tc>
          <w:tcPr>
            <w:tcW w:type="dxa" w:w="892"/>
            <w:vAlign w:val="top"/>
          </w:tcPr>
          <w:p>
            <w:pPr>
              <w:spacing w:after="40" w:before="0" w:line="259" w:lineRule="auto"/>
            </w:pPr>
            <w:r>
              <w:rPr>
                <w:rFonts w:ascii="Calibri" w:hAnsi="Calibri"/>
                <w:b w:val="0"/>
                <w:i w:val="0"/>
                <w:color w:val="212121"/>
                <w:sz w:val="16"/>
              </w:rPr>
              <w:t>Dermatophytosis dermoscopy</w:t>
            </w:r>
          </w:p>
        </w:tc>
        <w:tc>
          <w:tcPr>
            <w:tcW w:type="dxa" w:w="950"/>
            <w:vAlign w:val="top"/>
          </w:tcPr>
          <w:p>
            <w:pPr>
              <w:spacing w:after="40" w:before="0" w:line="259" w:lineRule="auto"/>
            </w:pPr>
            <w:r>
              <w:rPr>
                <w:rFonts w:ascii="Calibri" w:hAnsi="Calibri"/>
                <w:b w:val="0"/>
                <w:i w:val="0"/>
                <w:color w:val="212121"/>
                <w:sz w:val="16"/>
              </w:rPr>
              <w:t>No moth-eaten scale or steroid changes</w:t>
            </w:r>
          </w:p>
        </w:tc>
        <w:tc>
          <w:tcPr>
            <w:tcW w:type="dxa" w:w="950"/>
            <w:vAlign w:val="top"/>
          </w:tcPr>
          <w:p>
            <w:pPr>
              <w:spacing w:after="40" w:before="0" w:line="259" w:lineRule="auto"/>
            </w:pPr>
            <w:r>
              <w:rPr>
                <w:rFonts w:ascii="Calibri" w:hAnsi="Calibri"/>
                <w:b w:val="0"/>
                <w:i w:val="0"/>
                <w:color w:val="212121"/>
                <w:sz w:val="16"/>
              </w:rPr>
              <w:t>Moth-eaten peripheral scale, brown dots, broken/wavy hairs; steroid atrophy &amp; telangiectasia</w:t>
            </w:r>
          </w:p>
        </w:tc>
        <w:tc>
          <w:tcPr>
            <w:tcW w:type="dxa" w:w="1036"/>
            <w:vAlign w:val="top"/>
          </w:tcPr>
          <w:p>
            <w:pPr>
              <w:spacing w:after="40" w:before="0" w:line="259" w:lineRule="auto"/>
            </w:pPr>
            <w:r>
              <w:rPr>
                <w:rFonts w:ascii="Calibri" w:hAnsi="Calibri"/>
                <w:b w:val="0"/>
                <w:i w:val="0"/>
                <w:color w:val="212121"/>
                <w:sz w:val="16"/>
              </w:rPr>
              <w:t>Supports diagnosis and reveals superimposed steroid damage</w:t>
            </w:r>
          </w:p>
        </w:tc>
        <w:tc>
          <w:tcPr>
            <w:tcW w:type="dxa" w:w="1036"/>
            <w:vAlign w:val="top"/>
          </w:tcPr>
          <w:p>
            <w:pPr>
              <w:spacing w:after="40" w:before="0" w:line="259" w:lineRule="auto"/>
            </w:pPr>
            <w:r>
              <w:rPr>
                <w:rFonts w:ascii="Calibri" w:hAnsi="Calibri"/>
                <w:b w:val="0"/>
                <w:i w:val="0"/>
                <w:color w:val="212121"/>
                <w:sz w:val="16"/>
              </w:rPr>
              <w:t>Steroid-modified/atypical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Non-invasive; helps distinguish tinea incognito from eczema/psoriasis.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HbA1c &lt; 5.7%; FPG &lt; 100 mg/dL</w:t>
            </w:r>
          </w:p>
        </w:tc>
        <w:tc>
          <w:tcPr>
            <w:tcW w:type="dxa" w:w="950"/>
            <w:vAlign w:val="top"/>
          </w:tcPr>
          <w:p>
            <w:pPr>
              <w:spacing w:after="40" w:before="0" w:line="259" w:lineRule="auto"/>
            </w:pPr>
            <w:r>
              <w:rPr>
                <w:rFonts w:ascii="Calibri" w:hAnsi="Calibri"/>
                <w:b w:val="0"/>
                <w:i w:val="0"/>
                <w:color w:val="212121"/>
                <w:sz w:val="16"/>
              </w:rPr>
              <w:t>HbA1c ≥ 6.5%; FPG ≥ 126 mg/dL</w:t>
            </w:r>
          </w:p>
        </w:tc>
        <w:tc>
          <w:tcPr>
            <w:tcW w:type="dxa" w:w="1036"/>
            <w:vAlign w:val="top"/>
          </w:tcPr>
          <w:p>
            <w:pPr>
              <w:spacing w:after="40" w:before="0" w:line="259" w:lineRule="auto"/>
            </w:pPr>
            <w:r>
              <w:rPr>
                <w:rFonts w:ascii="Calibri" w:hAnsi="Calibri"/>
                <w:b w:val="0"/>
                <w:i w:val="0"/>
                <w:color w:val="212121"/>
                <w:sz w:val="16"/>
              </w:rPr>
              <w:t>Detects underlying diabetes driving recalcitrance</w:t>
            </w:r>
          </w:p>
        </w:tc>
        <w:tc>
          <w:tcPr>
            <w:tcW w:type="dxa" w:w="1036"/>
            <w:vAlign w:val="top"/>
          </w:tcPr>
          <w:p>
            <w:pPr>
              <w:spacing w:after="40" w:before="0" w:line="259" w:lineRule="auto"/>
            </w:pPr>
            <w:r>
              <w:rPr>
                <w:rFonts w:ascii="Calibri" w:hAnsi="Calibri"/>
                <w:b w:val="0"/>
                <w:i w:val="0"/>
                <w:color w:val="212121"/>
                <w:sz w:val="16"/>
              </w:rPr>
              <w:t>Extensive/recurrent disease, obese adults, elderly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 (comorbidity)</w:t>
            </w:r>
          </w:p>
        </w:tc>
        <w:tc>
          <w:tcPr>
            <w:tcW w:type="dxa" w:w="720"/>
            <w:vAlign w:val="top"/>
          </w:tcPr>
          <w:p>
            <w:pPr>
              <w:spacing w:after="40" w:before="0" w:line="259" w:lineRule="auto"/>
            </w:pPr>
            <w:r>
              <w:rPr>
                <w:rFonts w:ascii="Calibri" w:hAnsi="Calibri"/>
                <w:b w:val="0"/>
                <w:i w:val="0"/>
                <w:color w:val="212121"/>
                <w:sz w:val="16"/>
              </w:rPr>
              <w:t>Uncontrolled diabetes strongly predicts recurrence.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Gram stain / bacterial swab</w:t>
            </w:r>
          </w:p>
        </w:tc>
        <w:tc>
          <w:tcPr>
            <w:tcW w:type="dxa" w:w="892"/>
            <w:vAlign w:val="top"/>
          </w:tcPr>
          <w:p>
            <w:pPr>
              <w:spacing w:after="40" w:before="0" w:line="259" w:lineRule="auto"/>
            </w:pPr>
            <w:r>
              <w:rPr>
                <w:rFonts w:ascii="Calibri" w:hAnsi="Calibri"/>
                <w:b w:val="0"/>
                <w:i w:val="0"/>
                <w:color w:val="212121"/>
                <w:sz w:val="16"/>
              </w:rPr>
              <w:t>Secondary-infection workup</w:t>
            </w:r>
          </w:p>
        </w:tc>
        <w:tc>
          <w:tcPr>
            <w:tcW w:type="dxa" w:w="950"/>
            <w:vAlign w:val="top"/>
          </w:tcPr>
          <w:p>
            <w:pPr>
              <w:spacing w:after="40" w:before="0" w:line="259" w:lineRule="auto"/>
            </w:pPr>
            <w:r>
              <w:rPr>
                <w:rFonts w:ascii="Calibri" w:hAnsi="Calibri"/>
                <w:b w:val="0"/>
                <w:i w:val="0"/>
                <w:color w:val="212121"/>
                <w:sz w:val="16"/>
              </w:rPr>
              <w:t>No pathogenic bacteria</w:t>
            </w:r>
          </w:p>
        </w:tc>
        <w:tc>
          <w:tcPr>
            <w:tcW w:type="dxa" w:w="950"/>
            <w:vAlign w:val="top"/>
          </w:tcPr>
          <w:p>
            <w:pPr>
              <w:spacing w:after="40" w:before="0" w:line="259" w:lineRule="auto"/>
            </w:pPr>
            <w:r>
              <w:rPr>
                <w:rFonts w:ascii="Calibri" w:hAnsi="Calibri"/>
                <w:b w:val="0"/>
                <w:i w:val="0"/>
                <w:color w:val="212121"/>
                <w:sz w:val="16"/>
              </w:rPr>
              <w:t>S. aureus / streptococci on impetiginised lesions</w:t>
            </w:r>
          </w:p>
        </w:tc>
        <w:tc>
          <w:tcPr>
            <w:tcW w:type="dxa" w:w="1036"/>
            <w:vAlign w:val="top"/>
          </w:tcPr>
          <w:p>
            <w:pPr>
              <w:spacing w:after="40" w:before="0" w:line="259" w:lineRule="auto"/>
            </w:pPr>
            <w:r>
              <w:rPr>
                <w:rFonts w:ascii="Calibri" w:hAnsi="Calibri"/>
                <w:b w:val="0"/>
                <w:i w:val="0"/>
                <w:color w:val="212121"/>
                <w:sz w:val="16"/>
              </w:rPr>
              <w:t>Identifies secondary bacterial infection needing antibiotics</w:t>
            </w:r>
          </w:p>
        </w:tc>
        <w:tc>
          <w:tcPr>
            <w:tcW w:type="dxa" w:w="1036"/>
            <w:vAlign w:val="top"/>
          </w:tcPr>
          <w:p>
            <w:pPr>
              <w:spacing w:after="40" w:before="0" w:line="259" w:lineRule="auto"/>
            </w:pPr>
            <w:r>
              <w:rPr>
                <w:rFonts w:ascii="Calibri" w:hAnsi="Calibri"/>
                <w:b w:val="0"/>
                <w:i w:val="0"/>
                <w:color w:val="212121"/>
                <w:sz w:val="16"/>
              </w:rPr>
              <w:t>Pustular, oozing or crusted steroid-modified lesions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Common where potent steroids and scratching coexist.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Topical steroid / combination-cream use</w:t>
            </w:r>
          </w:p>
        </w:tc>
        <w:tc>
          <w:tcPr>
            <w:tcW w:type="dxa" w:w="979"/>
            <w:vAlign w:val="top"/>
          </w:tcPr>
          <w:p>
            <w:pPr>
              <w:spacing w:after="40" w:before="0" w:line="259" w:lineRule="auto"/>
            </w:pPr>
            <w:r>
              <w:rPr>
                <w:rFonts w:ascii="Calibri" w:hAnsi="Calibri"/>
                <w:b w:val="0"/>
                <w:i w:val="0"/>
                <w:color w:val="212121"/>
                <w:sz w:val="16"/>
              </w:rPr>
              <w:t>Prior/ongoing OTC steroid or FDC cream</w:t>
            </w:r>
          </w:p>
        </w:tc>
        <w:tc>
          <w:tcPr>
            <w:tcW w:type="dxa" w:w="950"/>
            <w:vAlign w:val="top"/>
          </w:tcPr>
          <w:p>
            <w:pPr>
              <w:spacing w:after="40" w:before="0" w:line="259" w:lineRule="auto"/>
            </w:pPr>
            <w:r>
              <w:rPr>
                <w:rFonts w:ascii="Calibri" w:hAnsi="Calibri"/>
                <w:b w:val="0"/>
                <w:i w:val="0"/>
                <w:color w:val="212121"/>
                <w:sz w:val="16"/>
              </w:rPr>
              <w:t>No steroid/FDC use</w:t>
            </w:r>
          </w:p>
        </w:tc>
        <w:tc>
          <w:tcPr>
            <w:tcW w:type="dxa" w:w="950"/>
            <w:vAlign w:val="top"/>
          </w:tcPr>
          <w:p>
            <w:pPr>
              <w:spacing w:after="40" w:before="0" w:line="259" w:lineRule="auto"/>
            </w:pPr>
            <w:r>
              <w:rPr>
                <w:rFonts w:ascii="Calibri" w:hAnsi="Calibri"/>
                <w:b w:val="0"/>
                <w:i w:val="0"/>
                <w:color w:val="212121"/>
                <w:sz w:val="16"/>
              </w:rPr>
              <w:t>History of potent steroid or combination-cream application</w:t>
            </w:r>
          </w:p>
        </w:tc>
        <w:tc>
          <w:tcPr>
            <w:tcW w:type="dxa" w:w="1036"/>
            <w:vAlign w:val="top"/>
          </w:tcPr>
          <w:p>
            <w:pPr>
              <w:spacing w:after="40" w:before="0" w:line="259" w:lineRule="auto"/>
            </w:pPr>
            <w:r>
              <w:rPr>
                <w:rFonts w:ascii="Calibri" w:hAnsi="Calibri"/>
                <w:b w:val="0"/>
                <w:i w:val="0"/>
                <w:color w:val="212121"/>
                <w:sz w:val="16"/>
              </w:rPr>
              <w:t>Defines steroid-modified disease and the key modifiable driver</w:t>
            </w:r>
          </w:p>
        </w:tc>
        <w:tc>
          <w:tcPr>
            <w:tcW w:type="dxa" w:w="1036"/>
            <w:vAlign w:val="top"/>
          </w:tcPr>
          <w:p>
            <w:pPr>
              <w:spacing w:after="40" w:before="0" w:line="259" w:lineRule="auto"/>
            </w:pPr>
            <w:r>
              <w:rPr>
                <w:rFonts w:ascii="Calibri" w:hAnsi="Calibri"/>
                <w:b w:val="0"/>
                <w:i w:val="0"/>
                <w:color w:val="212121"/>
                <w:sz w:val="16"/>
              </w:rPr>
              <w:t>All chronic/recalcitrant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(critical)</w:t>
            </w:r>
          </w:p>
        </w:tc>
        <w:tc>
          <w:tcPr>
            <w:tcW w:type="dxa" w:w="720"/>
            <w:vAlign w:val="top"/>
          </w:tcPr>
          <w:p>
            <w:pPr>
              <w:spacing w:after="40" w:before="0" w:line="259" w:lineRule="auto"/>
            </w:pPr>
            <w:r>
              <w:rPr>
                <w:rFonts w:ascii="Calibri" w:hAnsi="Calibri"/>
                <w:b w:val="0"/>
                <w:i w:val="0"/>
                <w:color w:val="212121"/>
                <w:sz w:val="16"/>
              </w:rPr>
              <w:t>Ask about pharmacist/friend-recommended 'fast-relief' creams by brand.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&amp; disease course</w:t>
            </w:r>
          </w:p>
        </w:tc>
        <w:tc>
          <w:tcPr>
            <w:tcW w:type="dxa" w:w="979"/>
            <w:vAlign w:val="top"/>
          </w:tcPr>
          <w:p>
            <w:pPr>
              <w:spacing w:after="40" w:before="0" w:line="259" w:lineRule="auto"/>
            </w:pPr>
            <w:r>
              <w:rPr>
                <w:rFonts w:ascii="Calibri" w:hAnsi="Calibri"/>
                <w:b w:val="0"/>
                <w:i w:val="0"/>
                <w:color w:val="212121"/>
                <w:sz w:val="16"/>
              </w:rPr>
              <w:t>Itch, spreading rash, relief-then-flare cycle, duration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Intense pruritus, centrifugal spread, relapse on stopping cream, &gt;4 weeks</w:t>
            </w:r>
          </w:p>
        </w:tc>
        <w:tc>
          <w:tcPr>
            <w:tcW w:type="dxa" w:w="1036"/>
            <w:vAlign w:val="top"/>
          </w:tcPr>
          <w:p>
            <w:pPr>
              <w:spacing w:after="40" w:before="0" w:line="259" w:lineRule="auto"/>
            </w:pPr>
            <w:r>
              <w:rPr>
                <w:rFonts w:ascii="Calibri" w:hAnsi="Calibri"/>
                <w:b w:val="0"/>
                <w:i w:val="0"/>
                <w:color w:val="212121"/>
                <w:sz w:val="16"/>
              </w:rPr>
              <w:t>Chronicity and steroid relief-flare pattern are hallmark</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Relief-then-worsening cycle strongly suggests tinea incognito.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 contact history</w:t>
            </w:r>
          </w:p>
        </w:tc>
        <w:tc>
          <w:tcPr>
            <w:tcW w:type="dxa" w:w="979"/>
            <w:vAlign w:val="top"/>
          </w:tcPr>
          <w:p>
            <w:pPr>
              <w:spacing w:after="40" w:before="0" w:line="259" w:lineRule="auto"/>
            </w:pPr>
            <w:r>
              <w:rPr>
                <w:rFonts w:ascii="Calibri" w:hAnsi="Calibri"/>
                <w:b w:val="0"/>
                <w:i w:val="0"/>
                <w:color w:val="212121"/>
                <w:sz w:val="16"/>
              </w:rPr>
              <w:t>Household members with tinea</w:t>
            </w:r>
          </w:p>
        </w:tc>
        <w:tc>
          <w:tcPr>
            <w:tcW w:type="dxa" w:w="950"/>
            <w:vAlign w:val="top"/>
          </w:tcPr>
          <w:p>
            <w:pPr>
              <w:spacing w:after="40" w:before="0" w:line="259" w:lineRule="auto"/>
            </w:pPr>
            <w:r>
              <w:rPr>
                <w:rFonts w:ascii="Calibri" w:hAnsi="Calibri"/>
                <w:b w:val="0"/>
                <w:i w:val="0"/>
                <w:color w:val="212121"/>
                <w:sz w:val="16"/>
              </w:rPr>
              <w:t>No affected contacts</w:t>
            </w:r>
          </w:p>
        </w:tc>
        <w:tc>
          <w:tcPr>
            <w:tcW w:type="dxa" w:w="950"/>
            <w:vAlign w:val="top"/>
          </w:tcPr>
          <w:p>
            <w:pPr>
              <w:spacing w:after="40" w:before="0" w:line="259" w:lineRule="auto"/>
            </w:pPr>
            <w:r>
              <w:rPr>
                <w:rFonts w:ascii="Calibri" w:hAnsi="Calibri"/>
                <w:b w:val="0"/>
                <w:i w:val="0"/>
                <w:color w:val="212121"/>
                <w:sz w:val="16"/>
              </w:rPr>
              <w:t>≥ 1 affected household/close contact</w:t>
            </w:r>
          </w:p>
        </w:tc>
        <w:tc>
          <w:tcPr>
            <w:tcW w:type="dxa" w:w="1036"/>
            <w:vAlign w:val="top"/>
          </w:tcPr>
          <w:p>
            <w:pPr>
              <w:spacing w:after="40" w:before="0" w:line="259" w:lineRule="auto"/>
            </w:pPr>
            <w:r>
              <w:rPr>
                <w:rFonts w:ascii="Calibri" w:hAnsi="Calibri"/>
                <w:b w:val="0"/>
                <w:i w:val="0"/>
                <w:color w:val="212121"/>
                <w:sz w:val="16"/>
              </w:rPr>
              <w:t>Identifies reservoir requiring simultaneous treatment</w:t>
            </w:r>
          </w:p>
        </w:tc>
        <w:tc>
          <w:tcPr>
            <w:tcW w:type="dxa" w:w="1036"/>
            <w:vAlign w:val="top"/>
          </w:tcPr>
          <w:p>
            <w:pPr>
              <w:spacing w:after="40" w:before="0" w:line="259" w:lineRule="auto"/>
            </w:pPr>
            <w:r>
              <w:rPr>
                <w:rFonts w:ascii="Calibri" w:hAnsi="Calibri"/>
                <w:b w:val="0"/>
                <w:i w:val="0"/>
                <w:color w:val="212121"/>
                <w:sz w:val="16"/>
              </w:rPr>
              <w:t>Familial/recurrent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72–82% report positive family history; treat all together.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antifungal treatment</w:t>
            </w:r>
          </w:p>
        </w:tc>
        <w:tc>
          <w:tcPr>
            <w:tcW w:type="dxa" w:w="979"/>
            <w:vAlign w:val="top"/>
          </w:tcPr>
          <w:p>
            <w:pPr>
              <w:spacing w:after="40" w:before="0" w:line="259" w:lineRule="auto"/>
            </w:pPr>
            <w:r>
              <w:rPr>
                <w:rFonts w:ascii="Calibri" w:hAnsi="Calibri"/>
                <w:b w:val="0"/>
                <w:i w:val="0"/>
                <w:color w:val="212121"/>
                <w:sz w:val="16"/>
              </w:rPr>
              <w:t>Type, dose, duration, adherence</w:t>
            </w:r>
          </w:p>
        </w:tc>
        <w:tc>
          <w:tcPr>
            <w:tcW w:type="dxa" w:w="950"/>
            <w:vAlign w:val="top"/>
          </w:tcPr>
          <w:p>
            <w:pPr>
              <w:spacing w:after="40" w:before="0" w:line="259" w:lineRule="auto"/>
            </w:pPr>
            <w:r>
              <w:rPr>
                <w:rFonts w:ascii="Calibri" w:hAnsi="Calibri"/>
                <w:b w:val="0"/>
                <w:i w:val="0"/>
                <w:color w:val="212121"/>
                <w:sz w:val="16"/>
              </w:rPr>
              <w:t>Adequate completed course</w:t>
            </w:r>
          </w:p>
        </w:tc>
        <w:tc>
          <w:tcPr>
            <w:tcW w:type="dxa" w:w="950"/>
            <w:vAlign w:val="top"/>
          </w:tcPr>
          <w:p>
            <w:pPr>
              <w:spacing w:after="40" w:before="0" w:line="259" w:lineRule="auto"/>
            </w:pPr>
            <w:r>
              <w:rPr>
                <w:rFonts w:ascii="Calibri" w:hAnsi="Calibri"/>
                <w:b w:val="0"/>
                <w:i w:val="0"/>
                <w:color w:val="212121"/>
                <w:sz w:val="16"/>
              </w:rPr>
              <w:t>Sub-therapeutic dose/short/irregular course; prior terbinafine failure</w:t>
            </w:r>
          </w:p>
        </w:tc>
        <w:tc>
          <w:tcPr>
            <w:tcW w:type="dxa" w:w="1036"/>
            <w:vAlign w:val="top"/>
          </w:tcPr>
          <w:p>
            <w:pPr>
              <w:spacing w:after="40" w:before="0" w:line="259" w:lineRule="auto"/>
            </w:pPr>
            <w:r>
              <w:rPr>
                <w:rFonts w:ascii="Calibri" w:hAnsi="Calibri"/>
                <w:b w:val="0"/>
                <w:i w:val="0"/>
                <w:color w:val="212121"/>
                <w:sz w:val="16"/>
              </w:rPr>
              <w:t>Distinguishes true resistance from under-treatment</w:t>
            </w:r>
          </w:p>
        </w:tc>
        <w:tc>
          <w:tcPr>
            <w:tcW w:type="dxa" w:w="1036"/>
            <w:vAlign w:val="top"/>
          </w:tcPr>
          <w:p>
            <w:pPr>
              <w:spacing w:after="40" w:before="0" w:line="259" w:lineRule="auto"/>
            </w:pPr>
            <w:r>
              <w:rPr>
                <w:rFonts w:ascii="Calibri" w:hAnsi="Calibri"/>
                <w:b w:val="0"/>
                <w:i w:val="0"/>
                <w:color w:val="212121"/>
                <w:sz w:val="16"/>
              </w:rPr>
              <w:t>Recalcitrant/non-responding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Prior terbinafine failure raises suspicion of T. indotineae.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Lesion morphology &amp; extent</w:t>
            </w:r>
          </w:p>
        </w:tc>
        <w:tc>
          <w:tcPr>
            <w:tcW w:type="dxa" w:w="979"/>
            <w:vAlign w:val="top"/>
          </w:tcPr>
          <w:p>
            <w:pPr>
              <w:spacing w:after="40" w:before="0" w:line="259" w:lineRule="auto"/>
            </w:pPr>
            <w:r>
              <w:rPr>
                <w:rFonts w:ascii="Calibri" w:hAnsi="Calibri"/>
                <w:b w:val="0"/>
                <w:i w:val="0"/>
                <w:color w:val="212121"/>
                <w:sz w:val="16"/>
              </w:rPr>
              <w:t>Distribution, margins, ring pattern</w:t>
            </w:r>
          </w:p>
        </w:tc>
        <w:tc>
          <w:tcPr>
            <w:tcW w:type="dxa" w:w="950"/>
            <w:vAlign w:val="top"/>
          </w:tcPr>
          <w:p>
            <w:pPr>
              <w:spacing w:after="40" w:before="0" w:line="259" w:lineRule="auto"/>
            </w:pPr>
            <w:r>
              <w:rPr>
                <w:rFonts w:ascii="Calibri" w:hAnsi="Calibri"/>
                <w:b w:val="0"/>
                <w:i w:val="0"/>
                <w:color w:val="212121"/>
                <w:sz w:val="16"/>
              </w:rPr>
              <w:t>Localised, sharply marginated annular plaque</w:t>
            </w:r>
          </w:p>
        </w:tc>
        <w:tc>
          <w:tcPr>
            <w:tcW w:type="dxa" w:w="950"/>
            <w:vAlign w:val="top"/>
          </w:tcPr>
          <w:p>
            <w:pPr>
              <w:spacing w:after="40" w:before="0" w:line="259" w:lineRule="auto"/>
            </w:pPr>
            <w:r>
              <w:rPr>
                <w:rFonts w:ascii="Calibri" w:hAnsi="Calibri"/>
                <w:b w:val="0"/>
                <w:i w:val="0"/>
                <w:color w:val="212121"/>
                <w:sz w:val="16"/>
              </w:rPr>
              <w:t>Extensive, ill-defined, less-scaly, pustular lesions; tinea pseudoimbricata; double-edged borders; loss of ring</w:t>
            </w:r>
          </w:p>
        </w:tc>
        <w:tc>
          <w:tcPr>
            <w:tcW w:type="dxa" w:w="1036"/>
            <w:vAlign w:val="top"/>
          </w:tcPr>
          <w:p>
            <w:pPr>
              <w:spacing w:after="40" w:before="0" w:line="259" w:lineRule="auto"/>
            </w:pPr>
            <w:r>
              <w:rPr>
                <w:rFonts w:ascii="Calibri" w:hAnsi="Calibri"/>
                <w:b w:val="0"/>
                <w:i w:val="0"/>
                <w:color w:val="212121"/>
                <w:sz w:val="16"/>
              </w:rPr>
              <w:t>Documents steroid modification and disease burden</w:t>
            </w:r>
          </w:p>
        </w:tc>
        <w:tc>
          <w:tcPr>
            <w:tcW w:type="dxa" w:w="1036"/>
            <w:vAlign w:val="top"/>
          </w:tcPr>
          <w:p>
            <w:pPr>
              <w:spacing w:after="40" w:before="0" w:line="259" w:lineRule="auto"/>
            </w:pPr>
            <w:r>
              <w:rPr>
                <w:rFonts w:ascii="Calibri" w:hAnsi="Calibri"/>
                <w:b w:val="0"/>
                <w:i w:val="0"/>
                <w:color w:val="212121"/>
                <w:sz w:val="16"/>
              </w:rPr>
              <w:t>Steroid-modified/extensive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Map body-surface involvement and unusual sites (genital, faciei).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Steroid-damage signs</w:t>
            </w:r>
          </w:p>
        </w:tc>
        <w:tc>
          <w:tcPr>
            <w:tcW w:type="dxa" w:w="979"/>
            <w:vAlign w:val="top"/>
          </w:tcPr>
          <w:p>
            <w:pPr>
              <w:spacing w:after="40" w:before="0" w:line="259" w:lineRule="auto"/>
            </w:pPr>
            <w:r>
              <w:rPr>
                <w:rFonts w:ascii="Calibri" w:hAnsi="Calibri"/>
                <w:b w:val="0"/>
                <w:i w:val="0"/>
                <w:color w:val="212121"/>
                <w:sz w:val="16"/>
              </w:rPr>
              <w:t>Atrophy, striae, telangiectasia, dyspigmentation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Skin thinning, stretch marks, telangiectasia, hypo-/hyperpigmentation</w:t>
            </w:r>
          </w:p>
        </w:tc>
        <w:tc>
          <w:tcPr>
            <w:tcW w:type="dxa" w:w="1036"/>
            <w:vAlign w:val="top"/>
          </w:tcPr>
          <w:p>
            <w:pPr>
              <w:spacing w:after="40" w:before="0" w:line="259" w:lineRule="auto"/>
            </w:pPr>
            <w:r>
              <w:rPr>
                <w:rFonts w:ascii="Calibri" w:hAnsi="Calibri"/>
                <w:b w:val="0"/>
                <w:i w:val="0"/>
                <w:color w:val="212121"/>
                <w:sz w:val="16"/>
              </w:rPr>
              <w:t>Confirms topical corticosteroid abuse and iatrogenic damage</w:t>
            </w:r>
          </w:p>
        </w:tc>
        <w:tc>
          <w:tcPr>
            <w:tcW w:type="dxa" w:w="1036"/>
            <w:vAlign w:val="top"/>
          </w:tcPr>
          <w:p>
            <w:pPr>
              <w:spacing w:after="40" w:before="0" w:line="259" w:lineRule="auto"/>
            </w:pPr>
            <w:r>
              <w:rPr>
                <w:rFonts w:ascii="Calibri" w:hAnsi="Calibri"/>
                <w:b w:val="0"/>
                <w:i w:val="0"/>
                <w:color w:val="212121"/>
                <w:sz w:val="16"/>
              </w:rPr>
              <w:t>Long-term FDC users; facial/flexural sites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Striae can appear within 3–4 weeks of potent steroid use.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Intense pruritus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symptom, typically worse with sweating and at night; drives scratching and lichenification.</w:t>
            </w:r>
          </w:p>
        </w:tc>
      </w:tr>
      <w:tr>
        <w:trPr>
          <w:cantSplit/>
        </w:trPr>
        <w:tc>
          <w:tcPr>
            <w:tcW w:type="dxa" w:w="2304"/>
            <w:vAlign w:val="top"/>
          </w:tcPr>
          <w:p>
            <w:pPr>
              <w:spacing w:after="40" w:before="0" w:line="259" w:lineRule="auto"/>
            </w:pPr>
            <w:r>
              <w:rPr>
                <w:rFonts w:ascii="Calibri" w:hAnsi="Calibri"/>
                <w:b/>
                <w:i w:val="0"/>
                <w:color w:val="212121"/>
                <w:sz w:val="19"/>
              </w:rPr>
              <w:t>Spreading annular / geographic rash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Centrifugally enlarging, often multiple and coalescing plaques involving several body sites.</w:t>
            </w:r>
          </w:p>
        </w:tc>
      </w:tr>
      <w:tr>
        <w:trPr>
          <w:cantSplit/>
        </w:trPr>
        <w:tc>
          <w:tcPr>
            <w:tcW w:type="dxa" w:w="2304"/>
            <w:vAlign w:val="top"/>
          </w:tcPr>
          <w:p>
            <w:pPr>
              <w:spacing w:after="40" w:before="0" w:line="259" w:lineRule="auto"/>
            </w:pPr>
            <w:r>
              <w:rPr>
                <w:rFonts w:ascii="Calibri" w:hAnsi="Calibri"/>
                <w:b/>
                <w:i w:val="0"/>
                <w:color w:val="212121"/>
                <w:sz w:val="19"/>
              </w:rPr>
              <w:t>Relief-then-worsening cycle with steroid cream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Transient symptomatic relief followed by flare when the cream is stopped — a hallmark of tinea incognito.</w:t>
            </w:r>
          </w:p>
        </w:tc>
      </w:tr>
      <w:tr>
        <w:trPr>
          <w:cantSplit/>
        </w:trPr>
        <w:tc>
          <w:tcPr>
            <w:tcW w:type="dxa" w:w="2304"/>
            <w:vAlign w:val="top"/>
          </w:tcPr>
          <w:p>
            <w:pPr>
              <w:spacing w:after="40" w:before="0" w:line="259" w:lineRule="auto"/>
            </w:pPr>
            <w:r>
              <w:rPr>
                <w:rFonts w:ascii="Calibri" w:hAnsi="Calibri"/>
                <w:b/>
                <w:i w:val="0"/>
                <w:color w:val="212121"/>
                <w:sz w:val="19"/>
              </w:rPr>
              <w:t>Loss of the typical ring appearance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Steroid-blunted inflammation makes lesions ill-defined, less red, less scaly and 'atypical'.</w:t>
            </w:r>
          </w:p>
        </w:tc>
      </w:tr>
      <w:tr>
        <w:trPr>
          <w:cantSplit/>
        </w:trPr>
        <w:tc>
          <w:tcPr>
            <w:tcW w:type="dxa" w:w="2304"/>
            <w:vAlign w:val="top"/>
          </w:tcPr>
          <w:p>
            <w:pPr>
              <w:spacing w:after="40" w:before="0" w:line="259" w:lineRule="auto"/>
            </w:pPr>
            <w:r>
              <w:rPr>
                <w:rFonts w:ascii="Calibri" w:hAnsi="Calibri"/>
                <w:b/>
                <w:i w:val="0"/>
                <w:color w:val="212121"/>
                <w:sz w:val="19"/>
              </w:rPr>
              <w:t>Burning / stinging on steroid withdrawal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Rebound inflammation as the suppressive effect of the corticosteroid wears off.</w:t>
            </w:r>
          </w:p>
        </w:tc>
      </w:tr>
      <w:tr>
        <w:trPr>
          <w:cantSplit/>
        </w:trPr>
        <w:tc>
          <w:tcPr>
            <w:tcW w:type="dxa" w:w="2304"/>
            <w:vAlign w:val="top"/>
          </w:tcPr>
          <w:p>
            <w:pPr>
              <w:spacing w:after="40" w:before="0" w:line="259" w:lineRule="auto"/>
            </w:pPr>
            <w:r>
              <w:rPr>
                <w:rFonts w:ascii="Calibri" w:hAnsi="Calibri"/>
                <w:b/>
                <w:i w:val="0"/>
                <w:color w:val="212121"/>
                <w:sz w:val="19"/>
              </w:rPr>
              <w:t>Skin thinning, stretch marks &amp; discoloration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Steroid-induced atrophy, striae and hypo-/hyperpigmentation from prolonged potent FDC use.</w:t>
            </w:r>
          </w:p>
        </w:tc>
      </w:tr>
      <w:tr>
        <w:trPr>
          <w:cantSplit/>
        </w:trPr>
        <w:tc>
          <w:tcPr>
            <w:tcW w:type="dxa" w:w="2304"/>
            <w:vAlign w:val="top"/>
          </w:tcPr>
          <w:p>
            <w:pPr>
              <w:spacing w:after="40" w:before="0" w:line="259" w:lineRule="auto"/>
            </w:pPr>
            <w:r>
              <w:rPr>
                <w:rFonts w:ascii="Calibri" w:hAnsi="Calibri"/>
                <w:b/>
                <w:i w:val="0"/>
                <w:color w:val="212121"/>
                <w:sz w:val="19"/>
              </w:rPr>
              <w:t>Pustules or papules at lesion margins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Follicular involvement (folliculitis/Majocchi granuloma) or secondary bacterial infection.</w:t>
            </w:r>
          </w:p>
        </w:tc>
      </w:tr>
      <w:tr>
        <w:trPr>
          <w:cantSplit/>
        </w:trPr>
        <w:tc>
          <w:tcPr>
            <w:tcW w:type="dxa" w:w="2304"/>
            <w:vAlign w:val="top"/>
          </w:tcPr>
          <w:p>
            <w:pPr>
              <w:spacing w:after="40" w:before="0" w:line="259" w:lineRule="auto"/>
            </w:pPr>
            <w:r>
              <w:rPr>
                <w:rFonts w:ascii="Calibri" w:hAnsi="Calibri"/>
                <w:b/>
                <w:i w:val="0"/>
                <w:color w:val="212121"/>
                <w:sz w:val="19"/>
              </w:rPr>
              <w:t>Soreness / fissuring of groin &amp; body folds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Maceration and secondary infection in intertriginous, occluded, sweaty areas.</w:t>
            </w:r>
          </w:p>
        </w:tc>
      </w:tr>
      <w:tr>
        <w:trPr>
          <w:cantSplit/>
        </w:trPr>
        <w:tc>
          <w:tcPr>
            <w:tcW w:type="dxa" w:w="2304"/>
            <w:vAlign w:val="top"/>
          </w:tcPr>
          <w:p>
            <w:pPr>
              <w:spacing w:after="40" w:before="0" w:line="259" w:lineRule="auto"/>
            </w:pPr>
            <w:r>
              <w:rPr>
                <w:rFonts w:ascii="Calibri" w:hAnsi="Calibri"/>
                <w:b/>
                <w:i w:val="0"/>
                <w:color w:val="212121"/>
                <w:sz w:val="19"/>
              </w:rPr>
              <w:t>Sleep disturbance &amp; irritability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Relentless nocturnal itch impairs sleep and contributes to psychological morbidity.</w:t>
            </w:r>
          </w:p>
        </w:tc>
      </w:tr>
      <w:tr>
        <w:trPr>
          <w:cantSplit/>
        </w:trPr>
        <w:tc>
          <w:tcPr>
            <w:tcW w:type="dxa" w:w="2304"/>
            <w:vAlign w:val="top"/>
          </w:tcPr>
          <w:p>
            <w:pPr>
              <w:spacing w:after="40" w:before="0" w:line="259" w:lineRule="auto"/>
            </w:pPr>
            <w:r>
              <w:rPr>
                <w:rFonts w:ascii="Calibri" w:hAnsi="Calibri"/>
                <w:b/>
                <w:i w:val="0"/>
                <w:color w:val="212121"/>
                <w:sz w:val="19"/>
              </w:rPr>
              <w:t>Involvement of unusual sites (genital, face, ear)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Steroid modification extends disease to genitalia, tinea faciei, tinea auricularis and periocular skin.</w:t>
            </w:r>
          </w:p>
        </w:tc>
      </w:tr>
      <w:tr>
        <w:trPr>
          <w:cantSplit/>
        </w:trPr>
        <w:tc>
          <w:tcPr>
            <w:tcW w:type="dxa" w:w="2304"/>
            <w:vAlign w:val="top"/>
          </w:tcPr>
          <w:p>
            <w:pPr>
              <w:spacing w:after="40" w:before="0" w:line="259" w:lineRule="auto"/>
            </w:pPr>
            <w:r>
              <w:rPr>
                <w:rFonts w:ascii="Calibri" w:hAnsi="Calibri"/>
                <w:b/>
                <w:i w:val="0"/>
                <w:color w:val="212121"/>
                <w:sz w:val="19"/>
              </w:rPr>
              <w:t>Widespread redness &amp; scaling (whole body)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Erythrodermic dermatophytosis — an alarming consequence of severe steroid abuse.</w:t>
            </w:r>
          </w:p>
        </w:tc>
      </w:tr>
      <w:tr>
        <w:trPr>
          <w:cantSplit/>
        </w:trPr>
        <w:tc>
          <w:tcPr>
            <w:tcW w:type="dxa" w:w="2304"/>
            <w:vAlign w:val="top"/>
          </w:tcPr>
          <w:p>
            <w:pPr>
              <w:spacing w:after="40" w:before="0" w:line="259" w:lineRule="auto"/>
            </w:pPr>
            <w:r>
              <w:rPr>
                <w:rFonts w:ascii="Calibri" w:hAnsi="Calibri"/>
                <w:b/>
                <w:i w:val="0"/>
                <w:color w:val="212121"/>
                <w:sz w:val="19"/>
              </w:rPr>
              <w:t>Nail thickening / discoloration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Associated onychomycosis acting as a persistent reservoir for skin reinfection.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KOH-positive septate branching hyphae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Direct microscopy of scrapings confirms active dermatophyte infection — the key objective sign.</w:t>
            </w:r>
          </w:p>
        </w:tc>
      </w:tr>
      <w:tr>
        <w:trPr>
          <w:cantSplit/>
        </w:trPr>
        <w:tc>
          <w:tcPr>
            <w:tcW w:type="dxa" w:w="3456"/>
            <w:vAlign w:val="top"/>
          </w:tcPr>
          <w:p>
            <w:pPr>
              <w:spacing w:after="40" w:before="0" w:line="259" w:lineRule="auto"/>
            </w:pPr>
            <w:r>
              <w:rPr>
                <w:rFonts w:ascii="Calibri" w:hAnsi="Calibri"/>
                <w:b/>
                <w:i w:val="0"/>
                <w:color w:val="212121"/>
                <w:sz w:val="19"/>
              </w:rPr>
              <w:t>Extensive, ill-defined, poorly marginated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Steroid-modified morphology with wide, minimally scaly, dusky lesions and blurred borders.</w:t>
            </w:r>
          </w:p>
        </w:tc>
      </w:tr>
      <w:tr>
        <w:trPr>
          <w:cantSplit/>
        </w:trPr>
        <w:tc>
          <w:tcPr>
            <w:tcW w:type="dxa" w:w="3456"/>
            <w:vAlign w:val="top"/>
          </w:tcPr>
          <w:p>
            <w:pPr>
              <w:spacing w:after="40" w:before="0" w:line="259" w:lineRule="auto"/>
            </w:pPr>
            <w:r>
              <w:rPr>
                <w:rFonts w:ascii="Calibri" w:hAnsi="Calibri"/>
                <w:b/>
                <w:i w:val="0"/>
                <w:color w:val="212121"/>
                <w:sz w:val="19"/>
              </w:rPr>
              <w:t>Tinea pseudoimbricata (concentric rings)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Multiple concentric scaly rings produced by erratic cycles of steroid application and withdrawal.</w:t>
            </w:r>
          </w:p>
        </w:tc>
      </w:tr>
      <w:tr>
        <w:trPr>
          <w:cantSplit/>
        </w:trPr>
        <w:tc>
          <w:tcPr>
            <w:tcW w:type="dxa" w:w="3456"/>
            <w:vAlign w:val="top"/>
          </w:tcPr>
          <w:p>
            <w:pPr>
              <w:spacing w:after="40" w:before="0" w:line="259" w:lineRule="auto"/>
            </w:pPr>
            <w:r>
              <w:rPr>
                <w:rFonts w:ascii="Calibri" w:hAnsi="Calibri"/>
                <w:b/>
                <w:i w:val="0"/>
                <w:color w:val="212121"/>
                <w:sz w:val="19"/>
              </w:rPr>
              <w:t>Double-edged scaling margin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Parallel inflammatory borders with central crusting — characteristic of steroid-modified tinea.</w:t>
            </w:r>
          </w:p>
        </w:tc>
      </w:tr>
      <w:tr>
        <w:trPr>
          <w:cantSplit/>
        </w:trPr>
        <w:tc>
          <w:tcPr>
            <w:tcW w:type="dxa" w:w="3456"/>
            <w:vAlign w:val="top"/>
          </w:tcPr>
          <w:p>
            <w:pPr>
              <w:spacing w:after="40" w:before="0" w:line="259" w:lineRule="auto"/>
            </w:pPr>
            <w:r>
              <w:rPr>
                <w:rFonts w:ascii="Calibri" w:hAnsi="Calibri"/>
                <w:b/>
                <w:i w:val="0"/>
                <w:color w:val="212121"/>
                <w:sz w:val="19"/>
              </w:rPr>
              <w:t>Incomplete central clearing ('eczematous tinea')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the usual central clearing, mimicking eczema or psoriasis.</w:t>
            </w:r>
          </w:p>
        </w:tc>
      </w:tr>
      <w:tr>
        <w:trPr>
          <w:cantSplit/>
        </w:trPr>
        <w:tc>
          <w:tcPr>
            <w:tcW w:type="dxa" w:w="3456"/>
            <w:vAlign w:val="top"/>
          </w:tcPr>
          <w:p>
            <w:pPr>
              <w:spacing w:after="40" w:before="0" w:line="259" w:lineRule="auto"/>
            </w:pPr>
            <w:r>
              <w:rPr>
                <w:rFonts w:ascii="Calibri" w:hAnsi="Calibri"/>
                <w:b/>
                <w:i w:val="0"/>
                <w:color w:val="212121"/>
                <w:sz w:val="19"/>
              </w:rPr>
              <w:t>Steroid atrophy, striae &amp; telangiectasia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Thin, shiny skin with stretch marks and visible vessels from potent topical steroid abuse.</w:t>
            </w:r>
          </w:p>
        </w:tc>
      </w:tr>
      <w:tr>
        <w:trPr>
          <w:cantSplit/>
        </w:trPr>
        <w:tc>
          <w:tcPr>
            <w:tcW w:type="dxa" w:w="3456"/>
            <w:vAlign w:val="top"/>
          </w:tcPr>
          <w:p>
            <w:pPr>
              <w:spacing w:after="40" w:before="0" w:line="259" w:lineRule="auto"/>
            </w:pPr>
            <w:r>
              <w:rPr>
                <w:rFonts w:ascii="Calibri" w:hAnsi="Calibri"/>
                <w:b/>
                <w:i w:val="0"/>
                <w:color w:val="212121"/>
                <w:sz w:val="19"/>
              </w:rPr>
              <w:t>Hypo- or hyperpigmentation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Post-steroid and post-inflammatory dyspigmentation, prominent in skin of colour.</w:t>
            </w:r>
          </w:p>
        </w:tc>
      </w:tr>
      <w:tr>
        <w:trPr>
          <w:cantSplit/>
        </w:trPr>
        <w:tc>
          <w:tcPr>
            <w:tcW w:type="dxa" w:w="3456"/>
            <w:vAlign w:val="top"/>
          </w:tcPr>
          <w:p>
            <w:pPr>
              <w:spacing w:after="40" w:before="0" w:line="259" w:lineRule="auto"/>
            </w:pPr>
            <w:r>
              <w:rPr>
                <w:rFonts w:ascii="Calibri" w:hAnsi="Calibri"/>
                <w:b/>
                <w:i w:val="0"/>
                <w:color w:val="212121"/>
                <w:sz w:val="19"/>
              </w:rPr>
              <w:t>Follicular pustules / Majocchi granuloma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Deep follicular/dermal fungal invasion, favoured by steroid immunosuppression and shaving.</w:t>
            </w:r>
          </w:p>
        </w:tc>
      </w:tr>
      <w:tr>
        <w:trPr>
          <w:cantSplit/>
        </w:trPr>
        <w:tc>
          <w:tcPr>
            <w:tcW w:type="dxa" w:w="3456"/>
            <w:vAlign w:val="top"/>
          </w:tcPr>
          <w:p>
            <w:pPr>
              <w:spacing w:after="40" w:before="0" w:line="259" w:lineRule="auto"/>
            </w:pPr>
            <w:r>
              <w:rPr>
                <w:rFonts w:ascii="Calibri" w:hAnsi="Calibri"/>
                <w:b/>
                <w:i w:val="0"/>
                <w:color w:val="212121"/>
                <w:sz w:val="19"/>
              </w:rPr>
              <w:t>Lichenification &amp; excoriations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Thickened, leathery skin from chronic scratching of long-standing pruritic lesions.</w:t>
            </w:r>
          </w:p>
        </w:tc>
      </w:tr>
      <w:tr>
        <w:trPr>
          <w:cantSplit/>
        </w:trPr>
        <w:tc>
          <w:tcPr>
            <w:tcW w:type="dxa" w:w="3456"/>
            <w:vAlign w:val="top"/>
          </w:tcPr>
          <w:p>
            <w:pPr>
              <w:spacing w:after="40" w:before="0" w:line="259" w:lineRule="auto"/>
            </w:pPr>
            <w:r>
              <w:rPr>
                <w:rFonts w:ascii="Calibri" w:hAnsi="Calibri"/>
                <w:b/>
                <w:i w:val="0"/>
                <w:color w:val="212121"/>
                <w:sz w:val="19"/>
              </w:rPr>
              <w:t>Impetiginisation (honey-coloured crusts)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Secondary bacterial infection over macerated, scratched, steroid-damaged skin.</w:t>
            </w:r>
          </w:p>
        </w:tc>
      </w:tr>
      <w:tr>
        <w:trPr>
          <w:cantSplit/>
        </w:trPr>
        <w:tc>
          <w:tcPr>
            <w:tcW w:type="dxa" w:w="3456"/>
            <w:vAlign w:val="top"/>
          </w:tcPr>
          <w:p>
            <w:pPr>
              <w:spacing w:after="40" w:before="0" w:line="259" w:lineRule="auto"/>
            </w:pPr>
            <w:r>
              <w:rPr>
                <w:rFonts w:ascii="Calibri" w:hAnsi="Calibri"/>
                <w:b/>
                <w:i w:val="0"/>
                <w:color w:val="212121"/>
                <w:sz w:val="19"/>
              </w:rPr>
              <w:t>Generalised erythroderma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Confluent whole-body erythema and scaling in severe steroid-abuse-related erythrodermic dermatophytosis.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and recurrent infection despite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multisite body-surface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Steroid-modified atypical morphology (tinea pseudoimbricata, double-edged, eczematous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Rebound inflammatory flare on corticosteroid withdrawal</w:t>
            </w:r>
          </w:p>
        </w:tc>
        <w:tc>
          <w:tcPr>
            <w:tcW w:type="dxa" w:w="2980"/>
            <w:vAlign w:val="top"/>
          </w:tcPr>
          <w:p>
            <w:pPr>
              <w:spacing w:after="40" w:before="0" w:line="259" w:lineRule="auto"/>
            </w:pPr>
            <w:r>
              <w:rPr>
                <w:rFonts w:ascii="Calibri" w:hAnsi="Calibri"/>
                <w:b w:val="0"/>
                <w:i w:val="0"/>
                <w:color w:val="212121"/>
                <w:sz w:val="19"/>
              </w:rPr>
              <w:t>Direct consequences of steroid modification and antifungal resistance prolonging active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Topical-steroid skin damage: atrophy, striae, telangiectasia, dyspigmentation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 impetiginisation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Majocchi granuloma (deep follicular &amp; dermal dermatophyte invasion)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Terbinafine treatment failure / confirmed antifungal resistance (T. indotineae)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 and whole-family (connubial) spread and reinfection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effects of absorbed potent steroids (HPA-axis suppression, cushingoid features)</w:t>
            </w:r>
          </w:p>
        </w:tc>
        <w:tc>
          <w:tcPr>
            <w:tcW w:type="dxa" w:w="2980"/>
            <w:vAlign w:val="top"/>
          </w:tcPr>
          <w:p>
            <w:pPr>
              <w:spacing w:after="40" w:before="0" w:line="259" w:lineRule="auto"/>
            </w:pPr>
            <w:r>
              <w:rPr>
                <w:rFonts w:ascii="Calibri" w:hAnsi="Calibri"/>
                <w:b w:val="0"/>
                <w:i w:val="0"/>
                <w:color w:val="212121"/>
                <w:sz w:val="19"/>
              </w:rPr>
              <w:t>Arise from prolonged corticosteroid immunosuppression, resistant organisms and fomite-driven transmission.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Erythrodermic dermatophytosis (rare, potentially life-threatening)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Associated onychomycosis acting as a persistent reservoir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disfigurement: dyspigmentation, striae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psychological morbidity (depression, anxiety,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financial burden from repeated consultations and prolonged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Public-health threat of transmissible, pan-antifungal-resistant T. indotineae</w:t>
            </w:r>
          </w:p>
        </w:tc>
        <w:tc>
          <w:tcPr>
            <w:tcW w:type="dxa" w:w="2980"/>
            <w:vAlign w:val="top"/>
          </w:tcPr>
          <w:p>
            <w:pPr>
              <w:spacing w:after="40" w:before="0" w:line="259" w:lineRule="auto"/>
            </w:pPr>
            <w:r>
              <w:rPr>
                <w:rFonts w:ascii="Calibri" w:hAnsi="Calibri"/>
                <w:b w:val="0"/>
                <w:i w:val="0"/>
                <w:color w:val="212121"/>
                <w:sz w:val="19"/>
              </w:rPr>
              <w:t>Irreversible, disabling and societal outcomes of longstanding, mismanaged, resistant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Topical steroid-damaged / dependent face (TSDF)</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Facial application of the same potent steroid FDC creams used for tinea produces erythema, atrophy, telangiectasia and rebound dermatitis; mometasone, clobetasol and betamethasone are the commonest culprits, and both entities share the OTC steroid-misuse epidemic.</w:t>
            </w:r>
          </w:p>
        </w:tc>
      </w:tr>
      <w:tr>
        <w:trPr>
          <w:cantSplit/>
        </w:trPr>
        <w:tc>
          <w:tcPr>
            <w:tcW w:type="dxa" w:w="2232"/>
            <w:vAlign w:val="top"/>
          </w:tcPr>
          <w:p>
            <w:pPr>
              <w:spacing w:after="40" w:before="0" w:line="259" w:lineRule="auto"/>
            </w:pPr>
            <w:r>
              <w:rPr>
                <w:rFonts w:ascii="Calibri" w:hAnsi="Calibri"/>
                <w:b/>
                <w:i w:val="0"/>
                <w:color w:val="212121"/>
                <w:sz w:val="19"/>
              </w:rPr>
              <w:t>Diabetes mellitus (esp. uncontrolled)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skin immunity and favours fungal growth; recalcitrant tinea in turn signals the need for glycaemic screening and control. Coexistence alters both prognosis and management.</w:t>
            </w:r>
          </w:p>
          <w:p>
            <w:pPr>
              <w:spacing w:after="40" w:before="0" w:line="259" w:lineRule="auto"/>
            </w:pPr>
            <w:r>
              <w:rPr>
                <w:rFonts w:ascii="Calibri" w:hAnsi="Calibri"/>
                <w:b/>
                <w:i w:val="0"/>
                <w:color w:val="212121"/>
                <w:sz w:val="19"/>
              </w:rPr>
              <w:t>Up to ~68.6% of uncontrolled diabetics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moist, occluded skin folds in obese patients harbour dermatophytes and resist drying, promoting extensive intertriginous and recurrent disease; weight loss is part of management.</w:t>
            </w:r>
          </w:p>
        </w:tc>
      </w:tr>
      <w:tr>
        <w:trPr>
          <w:cantSplit/>
        </w:trPr>
        <w:tc>
          <w:tcPr>
            <w:tcW w:type="dxa" w:w="2232"/>
            <w:vAlign w:val="top"/>
          </w:tcPr>
          <w:p>
            <w:pPr>
              <w:spacing w:after="40" w:before="0" w:line="259" w:lineRule="auto"/>
            </w:pPr>
            <w:r>
              <w:rPr>
                <w:rFonts w:ascii="Calibri" w:hAnsi="Calibri"/>
                <w:b/>
                <w:i w:val="0"/>
                <w:color w:val="212121"/>
                <w:sz w:val="19"/>
              </w:rPr>
              <w:t>Onychomycosis (nail dermatophytosis)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Infected nails act as a chronic reservoir that reinfects skin; failure to treat nails undermines skin cure and sustains recalcitrance.</w:t>
            </w:r>
          </w:p>
        </w:tc>
      </w:tr>
      <w:tr>
        <w:trPr>
          <w:cantSplit/>
        </w:trPr>
        <w:tc>
          <w:tcPr>
            <w:tcW w:type="dxa" w:w="2232"/>
            <w:vAlign w:val="top"/>
          </w:tcPr>
          <w:p>
            <w:pPr>
              <w:spacing w:after="40" w:before="0" w:line="259" w:lineRule="auto"/>
            </w:pPr>
            <w:r>
              <w:rPr>
                <w:rFonts w:ascii="Calibri" w:hAnsi="Calibri"/>
                <w:b/>
                <w:i w:val="0"/>
                <w:color w:val="212121"/>
                <w:sz w:val="19"/>
              </w:rPr>
              <w:t>Tinea pedis (athlete's foot)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Concomitant foot infection is a common source of autoinoculation and relapse; guidelines advise treating tinea pedis simultaneously to reduce recurrence.</w:t>
            </w:r>
          </w:p>
        </w:tc>
      </w:tr>
      <w:tr>
        <w:trPr>
          <w:cantSplit/>
        </w:trPr>
        <w:tc>
          <w:tcPr>
            <w:tcW w:type="dxa" w:w="2232"/>
            <w:vAlign w:val="top"/>
          </w:tcPr>
          <w:p>
            <w:pPr>
              <w:spacing w:after="40" w:before="0" w:line="259" w:lineRule="auto"/>
            </w:pPr>
            <w:r>
              <w:rPr>
                <w:rFonts w:ascii="Calibri" w:hAnsi="Calibri"/>
                <w:b/>
                <w:i w:val="0"/>
                <w:color w:val="212121"/>
                <w:sz w:val="19"/>
              </w:rPr>
              <w:t>Secondary bacterial pyoderma / impetiginisation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Steroid-damaged, scratched, macerated skin becomes secondarily infected with S. aureus or streptococci, requiring antibacterial therapy alongside antifungals.</w:t>
            </w:r>
          </w:p>
        </w:tc>
      </w:tr>
      <w:tr>
        <w:trPr>
          <w:cantSplit/>
        </w:trPr>
        <w:tc>
          <w:tcPr>
            <w:tcW w:type="dxa" w:w="2232"/>
            <w:vAlign w:val="top"/>
          </w:tcPr>
          <w:p>
            <w:pPr>
              <w:spacing w:after="40" w:before="0" w:line="259" w:lineRule="auto"/>
            </w:pPr>
            <w:r>
              <w:rPr>
                <w:rFonts w:ascii="Calibri" w:hAnsi="Calibri"/>
                <w:b/>
                <w:i w:val="0"/>
                <w:color w:val="212121"/>
                <w:sz w:val="19"/>
              </w:rPr>
              <w:t>Depression &amp; anxiety (psychological morbidity)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visible, itchy, relapsing disease impairs quality of life and mood; distress may further hamper adherence and clearance in a bidirectional loop.</w:t>
            </w:r>
          </w:p>
          <w:p>
            <w:pPr>
              <w:spacing w:after="40" w:before="0" w:line="259" w:lineRule="auto"/>
            </w:pPr>
            <w:r>
              <w:rPr>
                <w:rFonts w:ascii="Calibri" w:hAnsi="Calibri"/>
                <w:b/>
                <w:i w:val="0"/>
                <w:color w:val="212121"/>
                <w:sz w:val="19"/>
              </w:rPr>
              <w:t>~50% with moderate-to-large QoL impairment</w:t>
            </w:r>
          </w:p>
        </w:tc>
      </w:tr>
      <w:tr>
        <w:trPr>
          <w:cantSplit/>
        </w:trPr>
        <w:tc>
          <w:tcPr>
            <w:tcW w:type="dxa" w:w="2232"/>
            <w:vAlign w:val="top"/>
          </w:tcPr>
          <w:p>
            <w:pPr>
              <w:spacing w:after="40" w:before="0" w:line="259" w:lineRule="auto"/>
            </w:pPr>
            <w:r>
              <w:rPr>
                <w:rFonts w:ascii="Calibri" w:hAnsi="Calibri"/>
                <w:b/>
                <w:i w:val="0"/>
                <w:color w:val="212121"/>
                <w:sz w:val="19"/>
              </w:rPr>
              <w:t>Iatrogenic HPA-axis suppression / Cushingoid features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Systemic absorption of widely applied potent topical steroids can suppress the hypothalamic-pituitary-adrenal axis and cause cushingoid changes, especially in children and with large surface-area use.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over-the-counter steroid and steroid-antifungal-antibacterial combination (FDC) creams — they give false relief while the fungus spreads.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ringworm is a contagious fungal infection needing a full, doctor-supervised antifungal course, not a 'quick-relief' cream.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entire prescribed antifungal duration and continue 1–2 weeks beyond apparent clearance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all affected household members examined and treated at the same time to break the family cycle of reinfection.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clothes, undergarments, socks and towels daily in hot water, sun-dry and iron them; never share towels, clothes, soap or combs.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cotton clothing, keep skin (especially folds) dry, and recognise early spread or itch so treatment can start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OTC combination-cream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Lower-socioeconomic &amp; rural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Recurrent/recalcitrant cases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promptly and dry the skin thoroughly — especially groin, axillae and body folds — after exercise, sports or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tight, occlusive synthetic sportswear; choose loose, breathable cotton and change out of damp clothes at once.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reduction in overweight/obese patients to shrink moist, occluded skin folds.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excessive sweating (breathable fabrics, antiperspirants where appropriate) in patients with sweat-inducing occupations.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Manual/outdoor &amp; uniformed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&amp;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Hyperhidrotic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tightly control diabetes — uncontrolled hyperglycaemia sharply raises tinea risk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low-glycaemic diet rich in whole grains, pulses, vegetables and lean protein to support weight and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 sugary drinks and ultra-processed foods that promote obesity and dysglycaemia.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 and micronutrients (including zinc and iron) to support skin barrier and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&amp; pre-diabetic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pruritus adequately (appropriate antifungals ± short antihistamines) so relentless night-time itch does not wreck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support cell-mediated immunity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cool and use light cotton bedding to reduce night sweating and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and hot-wash bed linen regularly to remove fungal spores from the sleep environment.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Chronic/recalcitrant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sleep disturbance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preserve cutaneous microcirculation and cell-mediated immunity, which aid clearance and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tobacco-cessation support (counselling, nicotine replacement)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smoking compounds the vascular and immune risks in diabetic and elderly patients with recalcitrant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&amp; 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non-healing lesions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 heavy use impairs immunity and worsens glycaemic control, both of which favour persistent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on oral azole antifungals (e.g., itraconazole) because of additive hepatotoxicity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alcohol intake so antifungal choice and liver-function monitoring can be planned safely.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oral azoles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real distress of chronic, visible, itchy disease and reassure patients that cure is achievable with correct, sustained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(e.g., simple DLQI/mood questions) given that about half of patients have moderate-to-large quality-of-life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written instructions and follow-up to reduce frustration, doctor-shopping and return to steroid creams.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counselling or psychiatric support when significant depression, anxiety or social withdrawal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Chronic/recalcitrant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facial or visible-site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high DLQI / psychological distress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dvl.com/the-unprecedented-epidemic-like-scenario-of-dermatophytosis-in-india-i-epidemiology-risk-factors-and-clinical-features/" TargetMode="External"/><Relationship Id="rId10" Type="http://schemas.openxmlformats.org/officeDocument/2006/relationships/hyperlink" Target="https://pmc.ncbi.nlm.nih.gov/articles/PMC11172699/" TargetMode="External"/><Relationship Id="rId11" Type="http://schemas.openxmlformats.org/officeDocument/2006/relationships/hyperlink" Target="https://www.cureus.com/articles/300667-a-descriptive-study-of-patients-presenting-with-topical-steroid-damageddependent-face-tsdf-to-a-tertiary-care-center-in-northern-india" TargetMode="External"/><Relationship Id="rId12" Type="http://schemas.openxmlformats.org/officeDocument/2006/relationships/hyperlink" Target="https://jcadonline.com/familial-dermatophytosis-india/" TargetMode="External"/><Relationship Id="rId13" Type="http://schemas.openxmlformats.org/officeDocument/2006/relationships/hyperlink" Target="https://healthcare-bulletin.co.uk/article/to-evaluate-the-prevalence-of-tinea-corporis-in-general-population-and-its-association-with-diabetes-in-tertiary-centre-of-haldia--2860/" TargetMode="External"/><Relationship Id="rId14" Type="http://schemas.openxmlformats.org/officeDocument/2006/relationships/hyperlink" Target="https://ijdvl.com/the-unprecedented-epidemic-like-scenario-of-dermatophytosis-in-india-iii-antifungal-resistance-and-treatment-options/" TargetMode="External"/><Relationship Id="rId15" Type="http://schemas.openxmlformats.org/officeDocument/2006/relationships/hyperlink" Target="https://link.springer.com/article/10.1186/s12895-018-007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