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Cutaneous / Mucosal Candidiasis</w:t>
      </w:r>
    </w:p>
    <w:p>
      <w:pPr>
        <w:spacing w:before="0" w:after="160"/>
      </w:pPr>
      <w:r>
        <w:rPr>
          <w:rFonts w:ascii="Calibri" w:hAnsi="Calibri"/>
          <w:b/>
          <w:i w:val="0"/>
          <w:color w:val="212121"/>
          <w:sz w:val="22"/>
        </w:rPr>
        <w:t xml:space="preserve">AKA </w:t>
      </w:r>
      <w:r>
        <w:rPr>
          <w:rFonts w:ascii="Calibri" w:hAnsi="Calibri"/>
          <w:b w:val="0"/>
          <w:i w:val="0"/>
          <w:color w:val="212121"/>
          <w:sz w:val="22"/>
        </w:rPr>
        <w:t>i.e., Candidosis, Moniliasis, Thrush (oral / vaginal), Yeast infection, Candidal intertrigo; vaginal form — Vulvovaginal candidiasis (VVC); “Safed chhaale” / “chhaale” (Hindi, oral thrush)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Cutaneous and mucosal candidiasis is a superficial opportunistic infection of the skin, nails and moist mucous membranes caused by yeasts of the genus Candida — most often Candida albicans, a normal commensal of the gut, mouth, vagina and skin. Disease develops when local factors (moisture, occlusion, maceration) or systemic factors (diabetes, immunosuppression, antibiotics, corticosteroids) allow the commensal yeast to overgrow and invade the epithelium. Clinical forms include oral thrush, angular cheilitis, candidal intertrigo, vulvovaginal candidiasis, balanitis, paronychia and — in inherited immune defects — chronic mucocutaneous candidiasis. It is distinct from invasive/systemic candidiasis, although untreated mucosal disease in the severely immunocompromised can extend to esophageal or disseminated infection.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Candida is the second most common cause of superficial mycoses in India after dermatophytes, and its burden is rising alongside the twin epidemics of diabetes and obesity. In a clinicomycological series from central India, 66.3% of clinically suspected cases were confirmed on KOH microscopy, of which roughly three-quarters were mucosal (oral candidiasis alone ≈47%), with diabetes the leading predisposing comorbidity. Vulvovaginal candidiasis is the largest reservoir: an estimated 24.3 million Indian women (≈6% of adult women; ~1,749 per 100,000) experience recurrent VVC, mirroring the ~138 million women worldwide who suffer ≥4 episodes per year. Oral candidiasis affects roughly 1 in 5 Indian HIV-positive patients and is common at the extremes of age (neonatal thrush and denture-associated stomatitis in the elderly).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Cutaneous/mucosal candidiasis is largely a clinical diagnosis supported by simple bedside mycology; culture and susceptibility testing are reserved for recurrent, resistant or atypical disease.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morphology — scrapable white pseudomembranous plaques (oral thrush), beefy-red intertriginous plaques with satellite papulopustules, or thick curd-like (“cottage-cheese”) vaginal discharge with vulval itch;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microscopy of skin scrapings, mucosal swabs or discharge in 10–20% KOH (± calcofluor) showing budding yeasts with pseudohyphae/hyphae;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Gram stain showing gram-positive oval budding yeast cells with pseudohyphae;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(creamy white colonies) with species identification (germ-tube test for C. albicans, chromogenic agar or automated systems) — indicated in recurrent, refractory or systemic-risk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vaginal pH 4.0–4.5 (normal) with yeast on wet mount, helping distinguish VVC from bacterial vaginosis and trichomoniasis;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predisposing illness — fasting/random blood glucose and HbA1c, and HIV testing with CD4 count — in extensive, recurrent or unexplained mucosal candidiasis.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Cutaneous and mucosal candidiasis is classified by anatomical site and host immune status:</w:t>
      </w:r>
    </w:p>
    <w:p>
      <w:pPr>
        <w:spacing w:before="0" w:after="80"/>
      </w:pPr>
      <w:r>
        <w:rPr>
          <w:rFonts w:ascii="Calibri" w:hAnsi="Calibri"/>
          <w:b w:val="0"/>
          <w:i w:val="0"/>
          <w:color w:val="212121"/>
          <w:sz w:val="21"/>
        </w:rPr>
        <w:t>(1) Oral (oropharyngeal) candidiasis — pseudomembranous (thrush), erythematous/atrophic, chronic hyperplastic, angular cheilitis, median rhomboid glossitis and denture-associated stomatitis;</w:t>
      </w:r>
    </w:p>
    <w:p>
      <w:pPr>
        <w:spacing w:before="0" w:after="80"/>
      </w:pPr>
      <w:r>
        <w:rPr>
          <w:rFonts w:ascii="Calibri" w:hAnsi="Calibri"/>
          <w:b w:val="0"/>
          <w:i w:val="0"/>
          <w:color w:val="212121"/>
          <w:sz w:val="21"/>
        </w:rPr>
        <w:t>(2) Cutaneous candidiasis — candidal intertrigo of body folds (groin, inframammary, axillae, abdominal folds, natal cleft), interdigital erosio blastomycetica, candidal diaper dermatitis in infants, candidal folliculitis, and candidal paronychia/onychomycosis of the nail apparatus;</w:t>
      </w:r>
    </w:p>
    <w:p>
      <w:pPr>
        <w:spacing w:before="0" w:after="80"/>
      </w:pPr>
      <w:r>
        <w:rPr>
          <w:rFonts w:ascii="Calibri" w:hAnsi="Calibri"/>
          <w:b w:val="0"/>
          <w:i w:val="0"/>
          <w:color w:val="212121"/>
          <w:sz w:val="21"/>
        </w:rPr>
        <w:t>(3) Genital candidiasis — vulvovaginal candidiasis (VVC), sub-classified as uncomplicated versus complicated (severe, recurrent ≥4 episodes/year, non-albicans, or occurring in pregnancy/immunocompromise), and candidal balanitis/balanoposthitis in men;</w:t>
      </w:r>
    </w:p>
    <w:p>
      <w:pPr>
        <w:spacing w:before="0" w:after="80"/>
      </w:pPr>
      <w:r>
        <w:rPr>
          <w:rFonts w:ascii="Calibri" w:hAnsi="Calibri"/>
          <w:b w:val="0"/>
          <w:i w:val="0"/>
          <w:color w:val="212121"/>
          <w:sz w:val="21"/>
        </w:rPr>
        <w:t>(4) Chronic mucocutaneous candidiasis (CMC) — persistent or recurrent candidiasis of skin, nails and mucosae from childhood, due to inherited T-cell/IL-17 immune defects (e.g., AIRE/APECED, STAT1 gain-of-function, CARD9);</w:t>
      </w:r>
    </w:p>
    <w:p>
      <w:pPr>
        <w:spacing w:before="0" w:after="80"/>
      </w:pPr>
      <w:r>
        <w:rPr>
          <w:rFonts w:ascii="Calibri" w:hAnsi="Calibri"/>
          <w:b w:val="0"/>
          <w:i w:val="0"/>
          <w:color w:val="212121"/>
          <w:sz w:val="21"/>
        </w:rPr>
        <w:t>(5) Esophageal candidiasis — an AIDS-defining mucosal extension in the severely immunocompromised that bridges superficial and invasive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Candida overgrowth: Disruption of the balance between commensal Candida and host defences/microbiota permits yeast proliferation and epithelial invasion; C. albicans causes most disease, with rising non-albicans species (C. glabrata, C. tropicalis)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Local moisture and occlusion: Warm, moist, macerated skin folds, occlusive or wet clothing, obesity and hyperhidrosis in India's hot, humid climate create an ideal niche for candidal intertrigo.</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Hyperglycaemia/diabetes: Elevated tissue glucose and glycosuria favour Candida adhesion and growth and impair neutrophil function, markedly increasing oral, genital and skin-fold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Immunosuppression: HIV/AIDS (especially CD4 &lt;200), corticosteroids, chemotherapy, malignancy and transplant immunosuppression impair T-cell/IL-17 mucosal defence.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Antibiotic and drug exposure: Broad-spectrum antibiotics eliminate protective bacterial flora; inhaled/topical steroids, oral contraceptives, proton-pump inhibitors and dentures further predispose.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Extremes of age and physiology: Neonatal immaturity, the occluded infant napkin area, elderly immunosenescence/denture use, and pregnancy (high oestrogen, glycogen-rich vaginal epithelium) all raise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(reproductive-age women)</w:t>
            </w:r>
          </w:p>
        </w:tc>
        <w:tc>
          <w:tcPr>
            <w:tcW w:type="dxa" w:w="4276"/>
            <w:vAlign w:val="top"/>
          </w:tcPr>
          <w:p>
            <w:pPr>
              <w:spacing w:after="60" w:line="259" w:lineRule="auto"/>
            </w:pPr>
            <w:r>
              <w:rPr>
                <w:rFonts w:ascii="Calibri" w:hAnsi="Calibri"/>
                <w:b w:val="0"/>
                <w:i w:val="0"/>
                <w:color w:val="212121"/>
                <w:sz w:val="19"/>
              </w:rPr>
              <w:t>Oestrogen drives glycogen-rich vaginal epithelium and Candida adhesion, making reproductive-age women the peak group for vulvovaginal candidiasis; working adults with diabetes/obesity are prone to intertrigo.</w:t>
            </w:r>
          </w:p>
          <w:p>
            <w:pPr>
              <w:spacing w:after="40" w:before="60" w:line="259" w:lineRule="auto"/>
            </w:pPr>
            <w:r>
              <w:rPr>
                <w:rFonts w:ascii="Calibri" w:hAnsi="Calibri"/>
                <w:b w:val="0"/>
                <w:i w:val="0"/>
                <w:color w:val="212121"/>
                <w:sz w:val="19"/>
              </w:rPr>
              <w:t>In an Indian study, VVC prevalence peaked at ~40% in the 18–35-year reproductive band.</w:t>
            </w:r>
          </w:p>
          <w:p>
            <w:pPr>
              <w:spacing w:after="40" w:line="252" w:lineRule="auto"/>
            </w:pPr>
            <w:hyperlink r:id="rId9">
              <w:r>
                <w:rPr>
                  <w:rFonts w:ascii="Calibri" w:hAnsi="Calibri" w:cs="Calibri"/>
                  <w:sz w:val="18"/>
                  <w:color w:val="1155CC"/>
                  <w:u w:val="single"/>
                </w:rPr>
                <w:t xml:space="preserve">biotech-asia.org — VVC risk factors by age</w:t>
              </w:r>
            </w:hyperlink>
          </w:p>
          <w:p>
            <w:pPr>
              <w:spacing w:before="60" w:after="40"/>
            </w:pPr>
            <w:r>
              <w:rPr>
                <w:rFonts w:ascii="Calibri" w:hAnsi="Calibri"/>
                <w:b w:val="0"/>
                <w:i w:val="0"/>
                <w:color w:val="5A5A5A"/>
                <w:sz w:val="18"/>
              </w:rPr>
              <w:t>#vvc  #reproductiveage  #estrogen  #yeast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Immunosenescence, xerostomia, dentures, diabetes and polypharmacy predispose to denture stomatitis, oral thrush, angular cheilitis and intertrigo.</w:t>
            </w:r>
          </w:p>
          <w:p>
            <w:pPr>
              <w:spacing w:after="40" w:before="60" w:line="259" w:lineRule="auto"/>
            </w:pPr>
            <w:r>
              <w:rPr>
                <w:rFonts w:ascii="Calibri" w:hAnsi="Calibri"/>
                <w:b w:val="0"/>
                <w:i w:val="0"/>
                <w:color w:val="212121"/>
                <w:sz w:val="19"/>
              </w:rPr>
              <w:t>Denture-associated stomatitis — largely Candida-driven — is highly prevalent among denture wearers, with age and denture use leading risk factors.</w:t>
            </w:r>
          </w:p>
          <w:p>
            <w:pPr>
              <w:spacing w:after="40" w:line="252" w:lineRule="auto"/>
            </w:pPr>
            <w:hyperlink r:id="rId10">
              <w:r>
                <w:rPr>
                  <w:rFonts w:ascii="Calibri" w:hAnsi="Calibri" w:cs="Calibri"/>
                  <w:sz w:val="18"/>
                  <w:color w:val="1155CC"/>
                  <w:u w:val="single"/>
                </w:rPr>
                <w:t xml:space="preserve">mdpi.com — denture stomatitis review</w:t>
              </w:r>
            </w:hyperlink>
          </w:p>
          <w:p>
            <w:pPr>
              <w:spacing w:before="60" w:after="40"/>
            </w:pPr>
            <w:r>
              <w:rPr>
                <w:rFonts w:ascii="Calibri" w:hAnsi="Calibri"/>
                <w:b w:val="0"/>
                <w:i w:val="0"/>
                <w:color w:val="5A5A5A"/>
                <w:sz w:val="18"/>
              </w:rPr>
              <w:t>#denturestomatitis  #immunosenescence  #angularcheilitis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neonates</w:t>
            </w:r>
          </w:p>
        </w:tc>
        <w:tc>
          <w:tcPr>
            <w:tcW w:type="dxa" w:w="4276"/>
            <w:vAlign w:val="top"/>
          </w:tcPr>
          <w:p>
            <w:pPr>
              <w:spacing w:after="60" w:line="259" w:lineRule="auto"/>
            </w:pPr>
            <w:r>
              <w:rPr>
                <w:rFonts w:ascii="Calibri" w:hAnsi="Calibri"/>
                <w:b w:val="0"/>
                <w:i w:val="0"/>
                <w:color w:val="212121"/>
                <w:sz w:val="19"/>
              </w:rPr>
              <w:t>Immature immunity, maternal vaginal colonisation at birth and the occluded, moist napkin area cause neonatal oral thrush and candidal diaper dermatitis.</w:t>
            </w:r>
          </w:p>
          <w:p>
            <w:pPr>
              <w:spacing w:after="40" w:before="60" w:line="259" w:lineRule="auto"/>
            </w:pPr>
            <w:r>
              <w:rPr>
                <w:rFonts w:ascii="Calibri" w:hAnsi="Calibri"/>
                <w:b w:val="0"/>
                <w:i w:val="0"/>
                <w:color w:val="212121"/>
                <w:sz w:val="19"/>
              </w:rPr>
              <w:t>Oral thrush and candidal diaper dermatitis are among the commonest fungal infections of infancy, the latter showing characteristic satellite lesions.</w:t>
            </w:r>
          </w:p>
          <w:p>
            <w:pPr>
              <w:spacing w:after="40" w:line="252" w:lineRule="auto"/>
            </w:pPr>
            <w:hyperlink r:id="rId11">
              <w:r>
                <w:rPr>
                  <w:rFonts w:ascii="Calibri" w:hAnsi="Calibri" w:cs="Calibri"/>
                  <w:sz w:val="18"/>
                  <w:color w:val="1155CC"/>
                  <w:u w:val="single"/>
                </w:rPr>
                <w:t xml:space="preserve">ncbi.nlm.nih.gov — StatPearls Candidiasis</w:t>
              </w:r>
            </w:hyperlink>
          </w:p>
          <w:p>
            <w:pPr>
              <w:spacing w:before="60" w:after="40"/>
            </w:pPr>
            <w:r>
              <w:rPr>
                <w:rFonts w:ascii="Calibri" w:hAnsi="Calibri"/>
                <w:b w:val="0"/>
                <w:i w:val="0"/>
                <w:color w:val="5A5A5A"/>
                <w:sz w:val="18"/>
              </w:rPr>
              <w:t>#oralthrush  #diapercandidiasis  #neonatal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Anatomy plus oestrogen make women far more prone; VVC is the dominant candidal syndrome and around 75% of women have at least one lifetime episode.</w:t>
            </w:r>
          </w:p>
          <w:p>
            <w:pPr>
              <w:spacing w:after="40" w:before="60" w:line="259" w:lineRule="auto"/>
            </w:pPr>
            <w:r>
              <w:rPr>
                <w:rFonts w:ascii="Calibri" w:hAnsi="Calibri"/>
                <w:b w:val="0"/>
                <w:i w:val="0"/>
                <w:color w:val="212121"/>
                <w:sz w:val="19"/>
              </w:rPr>
              <w:t>An estimated 24.3 million Indian women (~6% of adult women) have recurrent VVC.</w:t>
            </w:r>
          </w:p>
          <w:p>
            <w:pPr>
              <w:spacing w:after="40" w:line="252" w:lineRule="auto"/>
            </w:pPr>
            <w:hyperlink r:id="rId12">
              <w:r>
                <w:rPr>
                  <w:rFonts w:ascii="Calibri" w:hAnsi="Calibri" w:cs="Calibri"/>
                  <w:sz w:val="18"/>
                  <w:color w:val="1155CC"/>
                  <w:u w:val="single"/>
                </w:rPr>
                <w:t xml:space="preserve">academic.oup.com — fungal burden in India</w:t>
              </w:r>
            </w:hyperlink>
          </w:p>
          <w:p>
            <w:pPr>
              <w:spacing w:before="60" w:after="40"/>
            </w:pPr>
            <w:r>
              <w:rPr>
                <w:rFonts w:ascii="Calibri" w:hAnsi="Calibri"/>
                <w:b w:val="0"/>
                <w:i w:val="0"/>
                <w:color w:val="5A5A5A"/>
                <w:sz w:val="18"/>
              </w:rPr>
              <w:t>#vvc  #women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overcrowding</w:t>
            </w:r>
          </w:p>
        </w:tc>
        <w:tc>
          <w:tcPr>
            <w:tcW w:type="dxa" w:w="4276"/>
            <w:vAlign w:val="top"/>
          </w:tcPr>
          <w:p>
            <w:pPr>
              <w:spacing w:after="60" w:line="259" w:lineRule="auto"/>
            </w:pPr>
            <w:r>
              <w:rPr>
                <w:rFonts w:ascii="Calibri" w:hAnsi="Calibri"/>
                <w:b w:val="0"/>
                <w:i w:val="0"/>
                <w:color w:val="212121"/>
                <w:sz w:val="19"/>
              </w:rPr>
              <w:t>Limited access to clean water, shared or occlusive clothing, delayed care, poor glycaemic control and self-medication with steroid/antibiotic creams promote chronic, recurrent candidiasis.</w:t>
            </w:r>
          </w:p>
          <w:p>
            <w:pPr>
              <w:spacing w:after="40" w:before="60" w:line="259" w:lineRule="auto"/>
            </w:pPr>
            <w:r>
              <w:rPr>
                <w:rFonts w:ascii="Calibri" w:hAnsi="Calibri"/>
                <w:b w:val="0"/>
                <w:i w:val="0"/>
                <w:color w:val="212121"/>
                <w:sz w:val="19"/>
              </w:rPr>
              <w:t>Irrational over-the-counter steroid–antifungal use and delayed diagnosis are recognised drivers of chronic superficial mycoses in resource-limited Indian settings.</w:t>
            </w:r>
          </w:p>
          <w:p>
            <w:pPr>
              <w:spacing w:before="60" w:after="40"/>
            </w:pPr>
            <w:r>
              <w:rPr>
                <w:rFonts w:ascii="Calibri" w:hAnsi="Calibri"/>
                <w:b w:val="0"/>
                <w:i w:val="0"/>
                <w:color w:val="5A5A5A"/>
                <w:sz w:val="18"/>
              </w:rPr>
              <w:t>#lowSES  #hygiene  #selfmedication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&amp; humid tropical India</w:t>
            </w:r>
          </w:p>
        </w:tc>
        <w:tc>
          <w:tcPr>
            <w:tcW w:type="dxa" w:w="4276"/>
            <w:vAlign w:val="top"/>
          </w:tcPr>
          <w:p>
            <w:pPr>
              <w:spacing w:after="60" w:line="259" w:lineRule="auto"/>
            </w:pPr>
            <w:r>
              <w:rPr>
                <w:rFonts w:ascii="Calibri" w:hAnsi="Calibri"/>
                <w:b w:val="0"/>
                <w:i w:val="0"/>
                <w:color w:val="212121"/>
                <w:sz w:val="19"/>
              </w:rPr>
              <w:t>High ambient temperature and humidity with sweating and occlusion promote candidal intertrigo, especially in coastal and monsoon regions.</w:t>
            </w:r>
          </w:p>
          <w:p>
            <w:pPr>
              <w:spacing w:after="40" w:before="60" w:line="259" w:lineRule="auto"/>
            </w:pPr>
            <w:r>
              <w:rPr>
                <w:rFonts w:ascii="Calibri" w:hAnsi="Calibri"/>
                <w:b w:val="0"/>
                <w:i w:val="0"/>
                <w:color w:val="212121"/>
                <w:sz w:val="19"/>
              </w:rPr>
              <w:t>Intertrigo prevalence is highest in hot, humid climates, where heat, humidity and friction are primary triggers.</w:t>
            </w:r>
          </w:p>
          <w:p>
            <w:pPr>
              <w:spacing w:after="40" w:line="252" w:lineRule="auto"/>
            </w:pPr>
            <w:hyperlink r:id="rId13">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#humidity  #intertrigo  #tropical  #sweat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Central &amp; rural India</w:t>
            </w:r>
          </w:p>
        </w:tc>
        <w:tc>
          <w:tcPr>
            <w:tcW w:type="dxa" w:w="4276"/>
            <w:vAlign w:val="top"/>
          </w:tcPr>
          <w:p>
            <w:pPr>
              <w:spacing w:after="60" w:line="259" w:lineRule="auto"/>
            </w:pPr>
            <w:r>
              <w:rPr>
                <w:rFonts w:ascii="Calibri" w:hAnsi="Calibri"/>
                <w:b w:val="0"/>
                <w:i w:val="0"/>
                <w:color w:val="212121"/>
                <w:sz w:val="19"/>
              </w:rPr>
              <w:t>A rising superficial-fungal burden with diabetes as a major comorbidity makes candidiasis the second commonest superficial mycosis, with mucosal forms predominating.</w:t>
            </w:r>
          </w:p>
          <w:p>
            <w:pPr>
              <w:spacing w:after="40" w:before="60" w:line="259" w:lineRule="auto"/>
            </w:pPr>
            <w:r>
              <w:rPr>
                <w:rFonts w:ascii="Calibri" w:hAnsi="Calibri"/>
                <w:b w:val="0"/>
                <w:i w:val="0"/>
                <w:color w:val="212121"/>
                <w:sz w:val="19"/>
              </w:rPr>
              <w:t>In a central-India series, diabetes was the major predisposing factor (62.8% of comorbid cases) and mucosal candidiasis accounted for 74.5% of cases.</w:t>
            </w:r>
          </w:p>
          <w:p>
            <w:pPr>
              <w:spacing w:after="40" w:line="252" w:lineRule="auto"/>
            </w:pPr>
            <w:hyperlink r:id="rId14">
              <w:r>
                <w:rPr>
                  <w:rFonts w:ascii="Calibri" w:hAnsi="Calibri" w:cs="Calibri"/>
                  <w:sz w:val="18"/>
                  <w:color w:val="1155CC"/>
                  <w:u w:val="single"/>
                </w:rPr>
                <w:t xml:space="preserve">njmr.in — mucosal &amp; cutaneous candidiasis, central India</w:t>
              </w:r>
            </w:hyperlink>
          </w:p>
          <w:p>
            <w:pPr>
              <w:spacing w:before="60" w:after="40"/>
            </w:pPr>
            <w:r>
              <w:rPr>
                <w:rFonts w:ascii="Calibri" w:hAnsi="Calibri"/>
                <w:b w:val="0"/>
                <w:i w:val="0"/>
                <w:color w:val="5A5A5A"/>
                <w:sz w:val="18"/>
              </w:rPr>
              <w:t>#India  #superficialmycosis  #diabetescluster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moisture / occlusion</w:t>
            </w:r>
          </w:p>
        </w:tc>
        <w:tc>
          <w:tcPr>
            <w:tcW w:type="dxa" w:w="2160"/>
            <w:vAlign w:val="top"/>
          </w:tcPr>
          <w:p>
            <w:pPr>
              <w:spacing w:after="40" w:before="0" w:line="259" w:lineRule="auto"/>
            </w:pPr>
            <w:r>
              <w:rPr>
                <w:rFonts w:ascii="Calibri" w:hAnsi="Calibri"/>
                <w:b w:val="0"/>
                <w:i w:val="0"/>
                <w:color w:val="212121"/>
                <w:sz w:val="19"/>
              </w:rPr>
              <w:t>Wet-work: food handlers, dishwashers, launderers, health workers</w:t>
            </w:r>
          </w:p>
        </w:tc>
        <w:tc>
          <w:tcPr>
            <w:tcW w:type="dxa" w:w="4276"/>
            <w:vAlign w:val="top"/>
          </w:tcPr>
          <w:p>
            <w:pPr>
              <w:spacing w:after="60" w:line="259" w:lineRule="auto"/>
            </w:pPr>
            <w:r>
              <w:rPr>
                <w:rFonts w:ascii="Calibri" w:hAnsi="Calibri"/>
                <w:b w:val="0"/>
                <w:i w:val="0"/>
                <w:color w:val="212121"/>
                <w:sz w:val="19"/>
              </w:rPr>
              <w:t>Prolonged glove or boot wear and repeated hand immersion keep the skin and nail folds macerated, causing chronic candidal paronychia and interdigital candidiasis.</w:t>
            </w:r>
          </w:p>
          <w:p>
            <w:pPr>
              <w:spacing w:after="40" w:before="60" w:line="259" w:lineRule="auto"/>
            </w:pPr>
            <w:r>
              <w:rPr>
                <w:rFonts w:ascii="Calibri" w:hAnsi="Calibri"/>
                <w:b w:val="0"/>
                <w:i w:val="0"/>
                <w:color w:val="212121"/>
                <w:sz w:val="19"/>
              </w:rPr>
              <w:t>Repeated wet-work and occlusion are classic predisposing factors for candidal paronychia and interdigital erosio blastomycetica.</w:t>
            </w:r>
          </w:p>
          <w:p>
            <w:pPr>
              <w:spacing w:after="40" w:line="252" w:lineRule="auto"/>
            </w:pPr>
            <w:hyperlink r:id="rId11">
              <w:r>
                <w:rPr>
                  <w:rFonts w:ascii="Calibri" w:hAnsi="Calibri" w:cs="Calibri"/>
                  <w:sz w:val="18"/>
                  <w:color w:val="1155CC"/>
                  <w:u w:val="single"/>
                </w:rPr>
                <w:t xml:space="preserve">ncbi.nlm.nih.gov — StatPearls Candidiasis</w:t>
              </w:r>
            </w:hyperlink>
          </w:p>
          <w:p>
            <w:pPr>
              <w:spacing w:before="60" w:after="40"/>
            </w:pPr>
            <w:r>
              <w:rPr>
                <w:rFonts w:ascii="Calibri" w:hAnsi="Calibri"/>
                <w:b w:val="0"/>
                <w:i w:val="0"/>
                <w:color w:val="5A5A5A"/>
                <w:sz w:val="18"/>
              </w:rPr>
              <w:t>#wetwork  #paronychia  #occlusion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smokers</w:t>
            </w:r>
          </w:p>
        </w:tc>
        <w:tc>
          <w:tcPr>
            <w:tcW w:type="dxa" w:w="4276"/>
            <w:vAlign w:val="top"/>
          </w:tcPr>
          <w:p>
            <w:pPr>
              <w:spacing w:after="60" w:line="259" w:lineRule="auto"/>
            </w:pPr>
            <w:r>
              <w:rPr>
                <w:rFonts w:ascii="Calibri" w:hAnsi="Calibri"/>
                <w:b w:val="0"/>
                <w:i w:val="0"/>
                <w:color w:val="212121"/>
                <w:sz w:val="19"/>
              </w:rPr>
              <w:t>Smoking alters oral epithelium, local immunity and Candida adhesion, increasing oral candidal carriage, chronic hyperplastic candidiasis and denture stomatitis.</w:t>
            </w:r>
          </w:p>
          <w:p>
            <w:pPr>
              <w:spacing w:after="40" w:before="60" w:line="259" w:lineRule="auto"/>
            </w:pPr>
            <w:r>
              <w:rPr>
                <w:rFonts w:ascii="Calibri" w:hAnsi="Calibri"/>
                <w:b w:val="0"/>
                <w:i w:val="0"/>
                <w:color w:val="212121"/>
                <w:sz w:val="19"/>
              </w:rPr>
              <w:t>Smoking is an established risk factor for oral (and esophageal) candidiasis.</w:t>
            </w:r>
          </w:p>
          <w:p>
            <w:pPr>
              <w:spacing w:after="40" w:line="252" w:lineRule="auto"/>
            </w:pPr>
            <w:hyperlink r:id="rId11">
              <w:r>
                <w:rPr>
                  <w:rFonts w:ascii="Calibri" w:hAnsi="Calibri" w:cs="Calibri"/>
                  <w:sz w:val="18"/>
                  <w:color w:val="1155CC"/>
                  <w:u w:val="single"/>
                </w:rPr>
                <w:t xml:space="preserve">ncbi.nlm.nih.gov — StatPearls Candidiasis</w:t>
              </w:r>
            </w:hyperlink>
          </w:p>
          <w:p>
            <w:pPr>
              <w:spacing w:before="60" w:after="40"/>
            </w:pPr>
            <w:r>
              <w:rPr>
                <w:rFonts w:ascii="Calibri" w:hAnsi="Calibri"/>
                <w:b w:val="0"/>
                <w:i w:val="0"/>
                <w:color w:val="5A5A5A"/>
                <w:sz w:val="18"/>
              </w:rPr>
              <w:t>#smoking  #oralcandidiasis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alcohol use causes malnutrition, immune impairment and poor oral hygiene, raising oral candidal carriage and thrush.</w:t>
            </w:r>
          </w:p>
          <w:p>
            <w:pPr>
              <w:spacing w:after="40" w:before="60" w:line="259" w:lineRule="auto"/>
            </w:pPr>
            <w:r>
              <w:rPr>
                <w:rFonts w:ascii="Calibri" w:hAnsi="Calibri"/>
                <w:b w:val="0"/>
                <w:i w:val="0"/>
                <w:color w:val="212121"/>
                <w:sz w:val="19"/>
              </w:rPr>
              <w:t>Malnutrition, immunosuppression and poor oral hygiene from chronic alcoholism predispose to oral candidiasis.</w:t>
            </w:r>
          </w:p>
          <w:p>
            <w:pPr>
              <w:spacing w:before="60" w:after="40"/>
            </w:pPr>
            <w:r>
              <w:rPr>
                <w:rFonts w:ascii="Calibri" w:hAnsi="Calibri"/>
                <w:b w:val="0"/>
                <w:i w:val="0"/>
                <w:color w:val="5A5A5A"/>
                <w:sz w:val="18"/>
              </w:rPr>
              <w:t>#alcohol  #malnutrition  #oralhygiene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Clothing &amp; hygiene</w:t>
            </w:r>
          </w:p>
        </w:tc>
        <w:tc>
          <w:tcPr>
            <w:tcW w:type="dxa" w:w="2160"/>
            <w:vAlign w:val="top"/>
          </w:tcPr>
          <w:p>
            <w:pPr>
              <w:spacing w:after="40" w:before="0" w:line="259" w:lineRule="auto"/>
            </w:pPr>
            <w:r>
              <w:rPr>
                <w:rFonts w:ascii="Calibri" w:hAnsi="Calibri"/>
                <w:b w:val="0"/>
                <w:i w:val="0"/>
                <w:color w:val="212121"/>
                <w:sz w:val="19"/>
              </w:rPr>
              <w:t>Tight synthetic / damp clothing</w:t>
            </w:r>
          </w:p>
        </w:tc>
        <w:tc>
          <w:tcPr>
            <w:tcW w:type="dxa" w:w="4276"/>
            <w:vAlign w:val="top"/>
          </w:tcPr>
          <w:p>
            <w:pPr>
              <w:spacing w:after="60" w:line="259" w:lineRule="auto"/>
            </w:pPr>
            <w:r>
              <w:rPr>
                <w:rFonts w:ascii="Calibri" w:hAnsi="Calibri"/>
                <w:b w:val="0"/>
                <w:i w:val="0"/>
                <w:color w:val="212121"/>
                <w:sz w:val="19"/>
              </w:rPr>
              <w:t>Tight, non-breathable or damp innerwear and prolonged wet swimwear trap moisture, promoting vulvovaginal candidiasis and intertrigo.</w:t>
            </w:r>
          </w:p>
          <w:p>
            <w:pPr>
              <w:spacing w:after="40" w:before="60" w:line="259" w:lineRule="auto"/>
            </w:pPr>
            <w:r>
              <w:rPr>
                <w:rFonts w:ascii="Calibri" w:hAnsi="Calibri"/>
                <w:b w:val="0"/>
                <w:i w:val="0"/>
                <w:color w:val="212121"/>
                <w:sz w:val="19"/>
              </w:rPr>
              <w:t>Tight and wet clothing is a recognised risk factor for vulvovaginal candidiasis.</w:t>
            </w:r>
          </w:p>
          <w:p>
            <w:pPr>
              <w:spacing w:after="40" w:line="252" w:lineRule="auto"/>
            </w:pPr>
            <w:hyperlink r:id="rId11">
              <w:r>
                <w:rPr>
                  <w:rFonts w:ascii="Calibri" w:hAnsi="Calibri" w:cs="Calibri"/>
                  <w:sz w:val="18"/>
                  <w:color w:val="1155CC"/>
                  <w:u w:val="single"/>
                </w:rPr>
                <w:t xml:space="preserve">ncbi.nlm.nih.gov — StatPearls Candidiasis</w:t>
              </w:r>
            </w:hyperlink>
          </w:p>
          <w:p>
            <w:pPr>
              <w:spacing w:before="60" w:after="40"/>
            </w:pPr>
            <w:r>
              <w:rPr>
                <w:rFonts w:ascii="Calibri" w:hAnsi="Calibri"/>
                <w:b w:val="0"/>
                <w:i w:val="0"/>
                <w:color w:val="5A5A5A"/>
                <w:sz w:val="18"/>
              </w:rPr>
              <w:t>#tightclothing  #moisture  #vvc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refined-sugar diet</w:t>
            </w:r>
          </w:p>
        </w:tc>
        <w:tc>
          <w:tcPr>
            <w:tcW w:type="dxa" w:w="2160"/>
            <w:vAlign w:val="top"/>
          </w:tcPr>
          <w:p>
            <w:pPr>
              <w:spacing w:after="40" w:before="0" w:line="259" w:lineRule="auto"/>
            </w:pPr>
            <w:r>
              <w:rPr>
                <w:rFonts w:ascii="Calibri" w:hAnsi="Calibri"/>
                <w:b w:val="0"/>
                <w:i w:val="0"/>
                <w:color w:val="212121"/>
                <w:sz w:val="19"/>
              </w:rPr>
              <w:t>High-glycaemic-intake individuals</w:t>
            </w:r>
          </w:p>
        </w:tc>
        <w:tc>
          <w:tcPr>
            <w:tcW w:type="dxa" w:w="4276"/>
            <w:vAlign w:val="top"/>
          </w:tcPr>
          <w:p>
            <w:pPr>
              <w:spacing w:after="60" w:line="259" w:lineRule="auto"/>
            </w:pPr>
            <w:r>
              <w:rPr>
                <w:rFonts w:ascii="Calibri" w:hAnsi="Calibri"/>
                <w:b w:val="0"/>
                <w:i w:val="0"/>
                <w:color w:val="212121"/>
                <w:sz w:val="19"/>
              </w:rPr>
              <w:t>High dietary sugar and refined carbohydrate raise blood and tissue glucose, feeding Candida and worsening the glycaemic control that drives candidiasis.</w:t>
            </w:r>
          </w:p>
          <w:p>
            <w:pPr>
              <w:spacing w:after="40" w:before="60" w:line="259" w:lineRule="auto"/>
            </w:pPr>
            <w:r>
              <w:rPr>
                <w:rFonts w:ascii="Calibri" w:hAnsi="Calibri"/>
                <w:b w:val="0"/>
                <w:i w:val="0"/>
                <w:color w:val="212121"/>
                <w:sz w:val="19"/>
              </w:rPr>
              <w:t>Diabetes (fuelled by hyperglycaemia) was present in 27.7% of women with VVC in an Indian study, and type 2 diabetics show increased candidal susceptibility.</w:t>
            </w:r>
          </w:p>
          <w:p>
            <w:pPr>
              <w:spacing w:after="40" w:line="252" w:lineRule="auto"/>
            </w:pPr>
            <w:hyperlink r:id="rId9">
              <w:r>
                <w:rPr>
                  <w:rFonts w:ascii="Calibri" w:hAnsi="Calibri" w:cs="Calibri"/>
                  <w:sz w:val="18"/>
                  <w:color w:val="1155CC"/>
                  <w:u w:val="single"/>
                </w:rPr>
                <w:t xml:space="preserve">biotech-asia.org — VVC risk factors</w:t>
              </w:r>
            </w:hyperlink>
          </w:p>
          <w:p>
            <w:pPr>
              <w:spacing w:before="60" w:after="40"/>
            </w:pPr>
            <w:r>
              <w:rPr>
                <w:rFonts w:ascii="Calibri" w:hAnsi="Calibri"/>
                <w:b w:val="0"/>
                <w:i w:val="0"/>
                <w:color w:val="5A5A5A"/>
                <w:sz w:val="18"/>
              </w:rPr>
              <w:t>#sugar  #glycaemicload  #hyperglycaemia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Iron / folate / B12 deficiency</w:t>
            </w:r>
          </w:p>
        </w:tc>
        <w:tc>
          <w:tcPr>
            <w:tcW w:type="dxa" w:w="4276"/>
            <w:vAlign w:val="top"/>
          </w:tcPr>
          <w:p>
            <w:pPr>
              <w:spacing w:after="60" w:line="259" w:lineRule="auto"/>
            </w:pPr>
            <w:r>
              <w:rPr>
                <w:rFonts w:ascii="Calibri" w:hAnsi="Calibri"/>
                <w:b w:val="0"/>
                <w:i w:val="0"/>
                <w:color w:val="212121"/>
                <w:sz w:val="19"/>
              </w:rPr>
              <w:t>Iron and B-vitamin deficiency impair epithelial and immune defence, predisposing to angular cheilitis and chronic oral candidiasis — relevant given India's high anaemia burden.</w:t>
            </w:r>
          </w:p>
          <w:p>
            <w:pPr>
              <w:spacing w:after="40" w:before="60" w:line="259" w:lineRule="auto"/>
            </w:pPr>
            <w:r>
              <w:rPr>
                <w:rFonts w:ascii="Calibri" w:hAnsi="Calibri"/>
                <w:b w:val="0"/>
                <w:i w:val="0"/>
                <w:color w:val="212121"/>
                <w:sz w:val="19"/>
              </w:rPr>
              <w:t>Iron and vitamin deficiency states are classically associated with angular cheilitis and chronic mucosal candidiasis.</w:t>
            </w:r>
          </w:p>
          <w:p>
            <w:pPr>
              <w:spacing w:before="60" w:after="40"/>
            </w:pPr>
            <w:r>
              <w:rPr>
                <w:rFonts w:ascii="Calibri" w:hAnsi="Calibri"/>
                <w:b w:val="0"/>
                <w:i w:val="0"/>
                <w:color w:val="5A5A5A"/>
                <w:sz w:val="18"/>
              </w:rPr>
              <w:t>#irondeficiency  #anaemia  #angularcheilitis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immune defect</w:t>
            </w:r>
          </w:p>
        </w:tc>
        <w:tc>
          <w:tcPr>
            <w:tcW w:type="dxa" w:w="2160"/>
            <w:vAlign w:val="top"/>
          </w:tcPr>
          <w:p>
            <w:pPr>
              <w:spacing w:after="40" w:before="0" w:line="259" w:lineRule="auto"/>
            </w:pPr>
            <w:r>
              <w:rPr>
                <w:rFonts w:ascii="Calibri" w:hAnsi="Calibri"/>
                <w:b w:val="0"/>
                <w:i w:val="0"/>
                <w:color w:val="212121"/>
                <w:sz w:val="19"/>
              </w:rPr>
              <w:t>Chronic mucocutaneous candidiasis (CMC)</w:t>
            </w:r>
          </w:p>
        </w:tc>
        <w:tc>
          <w:tcPr>
            <w:tcW w:type="dxa" w:w="4276"/>
            <w:vAlign w:val="top"/>
          </w:tcPr>
          <w:p>
            <w:pPr>
              <w:spacing w:after="60" w:line="259" w:lineRule="auto"/>
            </w:pPr>
            <w:r>
              <w:rPr>
                <w:rFonts w:ascii="Calibri" w:hAnsi="Calibri"/>
                <w:b w:val="0"/>
                <w:i w:val="0"/>
                <w:color w:val="212121"/>
                <w:sz w:val="19"/>
              </w:rPr>
              <w:t>Inherited defects of IL-17/Th17 immunity (AIRE/APECED, STAT1 gain-of-function, CARD9) cause persistent skin, nail and mucosal candidiasis, usually from childhood.</w:t>
            </w:r>
          </w:p>
          <w:p>
            <w:pPr>
              <w:spacing w:after="40" w:before="60" w:line="259" w:lineRule="auto"/>
            </w:pPr>
            <w:r>
              <w:rPr>
                <w:rFonts w:ascii="Calibri" w:hAnsi="Calibri"/>
                <w:b w:val="0"/>
                <w:i w:val="0"/>
                <w:color w:val="212121"/>
                <w:sz w:val="19"/>
              </w:rPr>
              <w:t>CMC arises from monogenic T-cell/IL-17 immune defects and presents with recurrent candidiasis of skin, nails and mucosae.</w:t>
            </w:r>
          </w:p>
          <w:p>
            <w:pPr>
              <w:spacing w:after="40" w:line="252" w:lineRule="auto"/>
            </w:pPr>
            <w:hyperlink r:id="rId11">
              <w:r>
                <w:rPr>
                  <w:rFonts w:ascii="Calibri" w:hAnsi="Calibri" w:cs="Calibri"/>
                  <w:sz w:val="18"/>
                  <w:color w:val="1155CC"/>
                  <w:u w:val="single"/>
                </w:rPr>
                <w:t xml:space="preserve">ncbi.nlm.nih.gov — StatPearls Candidiasis</w:t>
              </w:r>
            </w:hyperlink>
          </w:p>
          <w:p>
            <w:pPr>
              <w:spacing w:before="60" w:after="40"/>
            </w:pPr>
            <w:r>
              <w:rPr>
                <w:rFonts w:ascii="Calibri" w:hAnsi="Calibri"/>
                <w:b w:val="0"/>
                <w:i w:val="0"/>
                <w:color w:val="5A5A5A"/>
                <w:sz w:val="18"/>
              </w:rPr>
              <w:t>#CMC  #IL17  #STAT1  #geneticimmunodeficiency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Hyperglycaemia, glycosuria and impaired neutrophil function make diabetics highly prone to oral thrush, VVC, balanitis and intertrigo; recurrent candidiasis may be the first clue to undiagnosed diabetes.</w:t>
            </w:r>
          </w:p>
          <w:p>
            <w:pPr>
              <w:spacing w:after="40" w:before="60" w:line="259" w:lineRule="auto"/>
            </w:pPr>
            <w:r>
              <w:rPr>
                <w:rFonts w:ascii="Calibri" w:hAnsi="Calibri"/>
                <w:b w:val="0"/>
                <w:i w:val="0"/>
                <w:color w:val="212121"/>
                <w:sz w:val="19"/>
              </w:rPr>
              <w:t>Diabetes was the leading predisposing comorbidity (62.8%) in a central-India candidiasis series; India has ~101 million people with diabetes (11.4%).</w:t>
            </w:r>
          </w:p>
          <w:p>
            <w:pPr>
              <w:spacing w:after="40" w:line="252" w:lineRule="auto"/>
            </w:pPr>
            <w:hyperlink r:id="rId14">
              <w:r>
                <w:rPr>
                  <w:rFonts w:ascii="Calibri" w:hAnsi="Calibri" w:cs="Calibri"/>
                  <w:sz w:val="18"/>
                  <w:color w:val="1155CC"/>
                  <w:u w:val="single"/>
                </w:rPr>
                <w:t xml:space="preserve">njmr.in — central India candidiasis</w:t>
              </w:r>
            </w:hyperlink>
          </w:p>
          <w:p>
            <w:pPr>
              <w:spacing w:before="60" w:after="40"/>
            </w:pPr>
            <w:r>
              <w:rPr>
                <w:rFonts w:ascii="Calibri" w:hAnsi="Calibri"/>
                <w:b w:val="0"/>
                <w:i w:val="0"/>
                <w:color w:val="5A5A5A"/>
                <w:sz w:val="18"/>
              </w:rPr>
              <w:t>#diabetes  #glycosuria  #hyperglycaemia  #intertrigo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Immunosuppressed (CD4 &lt;200)</w:t>
            </w:r>
          </w:p>
        </w:tc>
        <w:tc>
          <w:tcPr>
            <w:tcW w:type="dxa" w:w="4276"/>
            <w:vAlign w:val="top"/>
          </w:tcPr>
          <w:p>
            <w:pPr>
              <w:spacing w:after="60" w:line="259" w:lineRule="auto"/>
            </w:pPr>
            <w:r>
              <w:rPr>
                <w:rFonts w:ascii="Calibri" w:hAnsi="Calibri"/>
                <w:b w:val="0"/>
                <w:i w:val="0"/>
                <w:color w:val="212121"/>
                <w:sz w:val="19"/>
              </w:rPr>
              <w:t>A falling CD4 count cripples mucosal Th17/IL-17 defence; oral and esophageal candidiasis are early, often AIDS-defining, opportunistic infections.</w:t>
            </w:r>
          </w:p>
          <w:p>
            <w:pPr>
              <w:spacing w:after="40" w:before="60" w:line="259" w:lineRule="auto"/>
            </w:pPr>
            <w:r>
              <w:rPr>
                <w:rFonts w:ascii="Calibri" w:hAnsi="Calibri"/>
                <w:b w:val="0"/>
                <w:i w:val="0"/>
                <w:color w:val="212121"/>
                <w:sz w:val="19"/>
              </w:rPr>
              <w:t>Oral candidiasis was found in 20% of Indian HIV-positive patients, with a mean CD4 count of 188 (i.e., &lt;200).</w:t>
            </w:r>
          </w:p>
          <w:p>
            <w:pPr>
              <w:spacing w:after="40" w:line="252" w:lineRule="auto"/>
            </w:pPr>
            <w:hyperlink r:id="rId15">
              <w:r>
                <w:rPr>
                  <w:rFonts w:ascii="Calibri" w:hAnsi="Calibri" w:cs="Calibri"/>
                  <w:sz w:val="18"/>
                  <w:color w:val="1155CC"/>
                  <w:u w:val="single"/>
                </w:rPr>
                <w:t xml:space="preserve">link.springer.com — oral candidiasis in Indian HIV</w:t>
              </w:r>
            </w:hyperlink>
          </w:p>
          <w:p>
            <w:pPr>
              <w:spacing w:before="60" w:after="40"/>
            </w:pPr>
            <w:r>
              <w:rPr>
                <w:rFonts w:ascii="Calibri" w:hAnsi="Calibri"/>
                <w:b w:val="0"/>
                <w:i w:val="0"/>
                <w:color w:val="5A5A5A"/>
                <w:sz w:val="18"/>
              </w:rPr>
              <w:t>#HIV  #AIDS  #CD4  #opportunistic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Deep, moist skin folds and associated insulin resistance/diabetes make the obese highly prone to candidal intertrigo and vulvovaginal candidiasis.</w:t>
            </w:r>
          </w:p>
          <w:p>
            <w:pPr>
              <w:spacing w:after="40" w:before="60" w:line="259" w:lineRule="auto"/>
            </w:pPr>
            <w:r>
              <w:rPr>
                <w:rFonts w:ascii="Calibri" w:hAnsi="Calibri"/>
                <w:b w:val="0"/>
                <w:i w:val="0"/>
                <w:color w:val="212121"/>
                <w:sz w:val="19"/>
              </w:rPr>
              <w:t>54.4% of women with VVC in an Indian study were overweight (BMI 25–29.9); obesity accentuates skin folds and moisture.</w:t>
            </w:r>
          </w:p>
          <w:p>
            <w:pPr>
              <w:spacing w:after="40" w:line="252" w:lineRule="auto"/>
            </w:pPr>
            <w:hyperlink r:id="rId9">
              <w:r>
                <w:rPr>
                  <w:rFonts w:ascii="Calibri" w:hAnsi="Calibri" w:cs="Calibri"/>
                  <w:sz w:val="18"/>
                  <w:color w:val="1155CC"/>
                  <w:u w:val="single"/>
                </w:rPr>
                <w:t xml:space="preserve">biotech-asia.org — VVC &amp; BMI</w:t>
              </w:r>
            </w:hyperlink>
          </w:p>
          <w:p>
            <w:pPr>
              <w:spacing w:before="60" w:after="40"/>
            </w:pPr>
            <w:r>
              <w:rPr>
                <w:rFonts w:ascii="Calibri" w:hAnsi="Calibri"/>
                <w:b w:val="0"/>
                <w:i w:val="0"/>
                <w:color w:val="5A5A5A"/>
                <w:sz w:val="18"/>
              </w:rPr>
              <w:t>#obesity  #skinfolds  #intertrigo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High oestrogen increases vaginal glycogen and Candida adhesion while immune modulation reduces clearance, making VVC common and often recurrent in pregnancy.</w:t>
            </w:r>
          </w:p>
          <w:p>
            <w:pPr>
              <w:spacing w:after="40" w:before="60" w:line="259" w:lineRule="auto"/>
            </w:pPr>
            <w:r>
              <w:rPr>
                <w:rFonts w:ascii="Calibri" w:hAnsi="Calibri"/>
                <w:b w:val="0"/>
                <w:i w:val="0"/>
                <w:color w:val="212121"/>
                <w:sz w:val="19"/>
              </w:rPr>
              <w:t>An Indian study reported VVC in about 13% of pregnant women, a well-recognised predisposing state.</w:t>
            </w:r>
          </w:p>
          <w:p>
            <w:pPr>
              <w:spacing w:after="40" w:line="252" w:lineRule="auto"/>
            </w:pPr>
            <w:hyperlink r:id="rId9">
              <w:r>
                <w:rPr>
                  <w:rFonts w:ascii="Calibri" w:hAnsi="Calibri" w:cs="Calibri"/>
                  <w:sz w:val="18"/>
                  <w:color w:val="1155CC"/>
                  <w:u w:val="single"/>
                </w:rPr>
                <w:t xml:space="preserve">biotech-asia.org — VVC in pregnancy</w:t>
              </w:r>
            </w:hyperlink>
          </w:p>
          <w:p>
            <w:pPr>
              <w:spacing w:before="60" w:after="40"/>
            </w:pPr>
            <w:r>
              <w:rPr>
                <w:rFonts w:ascii="Calibri" w:hAnsi="Calibri"/>
                <w:b w:val="0"/>
                <w:i w:val="0"/>
                <w:color w:val="5A5A5A"/>
                <w:sz w:val="18"/>
              </w:rPr>
              <w:t>#pregnancy  #estrogen  #vvc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and physical inactivity accentuate moist skin folds and insulin resistance, promoting candidal intertrigo; conversely, vigorous exercise with hyperhidrosis and occlusive sportswear can itself precipitate groin and fold candidiasis.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High-sugar, high-glycaemic diets and resulting hyperglycaemia feed Candida and worsen glycaemic control, while iron/folate/B12 deficiency impairs mucosal defence and predisposes to angular cheilitis and chronic oral thrush.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modestly impairs immunity and glycaemic control, which may indirectly favour candidal overgrowth; direct evidence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smoking increases oral Candida carriage and is strongly associated with chronic hyperplastic candidiasis and denture stomatitis via mucosal and local immune changes.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contributes through malnutrition, immunosuppression and poor oral hygiene; light intake has no established link.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can suppress cell-mediated immunity and impair self-care and glycaemic control; recurrent VVC in turn causes marked psychological and sexual distress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Keeping folds dry matters, but it is local moisture/maceration — not systemic water intake — that drives disease, so the link to hydration itself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association between caffeine intake and cutaneous/mucosal candidiasis has been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Skin-fold, genital and denture hygiene are pivotal — keeping folds dry, changing damp clothing, cleaning dentures and rinsing after inhaled steroids markedly reduce candidal colonisation and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Broad-spectrum antibiotics, systemic/inhaled/topical corticosteroids, oral contraceptives, occlusion, tight or wet clothing and uncontrolled diabetes are the principal precipitants that convert commensal Candida into clinical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(Asian-Indian)</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deepens moist skin folds and drives insulin resistance, promoting intertrigo &amp; VVC</w:t>
            </w:r>
          </w:p>
          <w:p>
            <w:pPr>
              <w:spacing w:after="40" w:line="252" w:lineRule="auto"/>
            </w:pPr>
            <w:hyperlink r:id="rId9">
              <w:r>
                <w:rPr>
                  <w:rFonts w:ascii="Calibri" w:hAnsi="Calibri" w:cs="Calibri"/>
                  <w:sz w:val="18"/>
                  <w:color w:val="1155CC"/>
                  <w:u w:val="single"/>
                </w:rPr>
                <w:t xml:space="preserve">https://www.biotech-asia.org/vol20no1/assessment-of-risk-factors-for-developing-vulvovaginal-candidiasis-among-women-at-various-age-groups/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(central obesity)</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Abdominal folds and insulin resistance predispose to candidal intertrigo</w:t>
            </w:r>
          </w:p>
          <w:p>
            <w:pPr>
              <w:spacing w:after="40" w:line="252" w:lineRule="auto"/>
            </w:pPr>
            <w:hyperlink r:id="rId16">
              <w:r>
                <w:rPr>
                  <w:rFonts w:ascii="Calibri" w:hAnsi="Calibri" w:cs="Calibri"/>
                  <w:sz w:val="18"/>
                  <w:color w:val="1155CC"/>
                  <w:u w:val="single"/>
                </w:rPr>
                <w:t xml:space="preserve">https://www.thelancet.com/journals/landia/article/PIIS2213-8587(23)00119-5/fulltext</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with / at risk of diabetes</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5.7–6.4 % (prediabetes); ≥ 6.5 % (diabetes)</w:t>
            </w:r>
          </w:p>
        </w:tc>
        <w:tc>
          <w:tcPr>
            <w:tcW w:type="dxa" w:w="1468"/>
            <w:vAlign w:val="top"/>
          </w:tcPr>
          <w:p>
            <w:pPr>
              <w:spacing w:after="40" w:before="0" w:line="259" w:lineRule="auto"/>
            </w:pPr>
            <w:r>
              <w:rPr>
                <w:rFonts w:ascii="Calibri" w:hAnsi="Calibri"/>
                <w:b w:val="0"/>
                <w:i w:val="0"/>
                <w:color w:val="212121"/>
                <w:sz w:val="19"/>
              </w:rPr>
              <w:t>Poor glycaemic control drives recurrent oral and genital candidiasis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40" w:before="0" w:line="259" w:lineRule="auto"/>
            </w:pPr>
            <w:r>
              <w:rPr>
                <w:rFonts w:ascii="Calibri" w:hAnsi="Calibri"/>
                <w:b w:val="0"/>
                <w:i w:val="0"/>
                <w:color w:val="212121"/>
                <w:sz w:val="19"/>
              </w:rPr>
              <w:t>Hyperglycaemia and glycosuria feed Candida overgrowth</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Skin-fold moisture / occlusion</w:t>
            </w:r>
          </w:p>
        </w:tc>
        <w:tc>
          <w:tcPr>
            <w:tcW w:type="dxa" w:w="1655"/>
            <w:vAlign w:val="top"/>
          </w:tcPr>
          <w:p>
            <w:pPr>
              <w:spacing w:after="40" w:before="0" w:line="259" w:lineRule="auto"/>
            </w:pPr>
            <w:r>
              <w:rPr>
                <w:rFonts w:ascii="Calibri" w:hAnsi="Calibri"/>
                <w:b w:val="0"/>
                <w:i w:val="0"/>
                <w:color w:val="212121"/>
                <w:sz w:val="19"/>
              </w:rPr>
              <w:t>Obese, humid-climate &amp; wet-work individuals</w:t>
            </w:r>
          </w:p>
        </w:tc>
        <w:tc>
          <w:tcPr>
            <w:tcW w:type="dxa" w:w="1512"/>
            <w:vAlign w:val="top"/>
          </w:tcPr>
          <w:p>
            <w:pPr>
              <w:spacing w:after="40" w:before="0" w:line="259" w:lineRule="auto"/>
            </w:pPr>
            <w:r>
              <w:rPr>
                <w:rFonts w:ascii="Calibri" w:hAnsi="Calibri"/>
                <w:b w:val="0"/>
                <w:i w:val="0"/>
                <w:color w:val="212121"/>
                <w:sz w:val="19"/>
              </w:rPr>
              <w:t>Clean, dry, well-aerated folds</w:t>
            </w:r>
          </w:p>
        </w:tc>
        <w:tc>
          <w:tcPr>
            <w:tcW w:type="dxa" w:w="1512"/>
            <w:vAlign w:val="top"/>
          </w:tcPr>
          <w:p>
            <w:pPr>
              <w:spacing w:after="40" w:before="0" w:line="259" w:lineRule="auto"/>
            </w:pPr>
            <w:r>
              <w:rPr>
                <w:rFonts w:ascii="Calibri" w:hAnsi="Calibri"/>
                <w:b w:val="0"/>
                <w:i w:val="0"/>
                <w:color w:val="212121"/>
                <w:sz w:val="19"/>
              </w:rPr>
              <w:t>Persistent maceration; damp/tight clothing</w:t>
            </w:r>
          </w:p>
        </w:tc>
        <w:tc>
          <w:tcPr>
            <w:tcW w:type="dxa" w:w="1468"/>
            <w:vAlign w:val="top"/>
          </w:tcPr>
          <w:p>
            <w:pPr>
              <w:spacing w:after="60" w:line="259" w:lineRule="auto"/>
            </w:pPr>
            <w:r>
              <w:rPr>
                <w:rFonts w:ascii="Calibri" w:hAnsi="Calibri"/>
                <w:b w:val="0"/>
                <w:i w:val="0"/>
                <w:color w:val="212121"/>
                <w:sz w:val="19"/>
              </w:rPr>
              <w:t>Moisture is the key modifiable driver of candidal intertrigo</w:t>
            </w:r>
          </w:p>
          <w:p>
            <w:pPr>
              <w:spacing w:after="40" w:line="252" w:lineRule="auto"/>
            </w:pPr>
            <w:hyperlink r:id="rId13">
              <w:r>
                <w:rPr>
                  <w:rFonts w:ascii="Calibri" w:hAnsi="Calibri" w:cs="Calibri"/>
                  <w:sz w:val="18"/>
                  <w:color w:val="1155CC"/>
                  <w:u w:val="single"/>
                </w:rPr>
                <w:t xml:space="preserve">https://www.ncbi.nlm.nih.gov/books/NBK531489/</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 chronically</w:t>
            </w:r>
          </w:p>
        </w:tc>
        <w:tc>
          <w:tcPr>
            <w:tcW w:type="dxa" w:w="1468"/>
            <w:vAlign w:val="top"/>
          </w:tcPr>
          <w:p>
            <w:pPr>
              <w:spacing w:after="40" w:before="0" w:line="259" w:lineRule="auto"/>
            </w:pPr>
            <w:r>
              <w:rPr>
                <w:rFonts w:ascii="Calibri" w:hAnsi="Calibri"/>
                <w:b w:val="0"/>
                <w:i w:val="0"/>
                <w:color w:val="212121"/>
                <w:sz w:val="19"/>
              </w:rPr>
              <w:t>Impaired sleep affects immunity and glycaemic control</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denture wearers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60" w:line="259" w:lineRule="auto"/>
            </w:pPr>
            <w:r>
              <w:rPr>
                <w:rFonts w:ascii="Calibri" w:hAnsi="Calibri"/>
                <w:b w:val="0"/>
                <w:i w:val="0"/>
                <w:color w:val="212121"/>
                <w:sz w:val="19"/>
              </w:rPr>
              <w:t>Smoking raises oral candidal carriage and chronic hyperplastic candidiasis</w:t>
            </w:r>
          </w:p>
          <w:p>
            <w:pPr>
              <w:spacing w:after="40" w:line="252" w:lineRule="auto"/>
            </w:pPr>
            <w:hyperlink r:id="rId11">
              <w:r>
                <w:rPr>
                  <w:rFonts w:ascii="Calibri" w:hAnsi="Calibri" w:cs="Calibri"/>
                  <w:sz w:val="18"/>
                  <w:color w:val="1155CC"/>
                  <w:u w:val="single"/>
                </w:rPr>
                <w:t xml:space="preserve">https://www.ncbi.nlm.nih.gov/books/NBK560624/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moderate / nil</w:t>
            </w:r>
          </w:p>
        </w:tc>
        <w:tc>
          <w:tcPr>
            <w:tcW w:type="dxa" w:w="1512"/>
            <w:vAlign w:val="top"/>
          </w:tcPr>
          <w:p>
            <w:pPr>
              <w:spacing w:after="40" w:before="0" w:line="259" w:lineRule="auto"/>
            </w:pPr>
            <w:r>
              <w:rPr>
                <w:rFonts w:ascii="Calibri" w:hAnsi="Calibri"/>
                <w:b w:val="0"/>
                <w:i w:val="0"/>
                <w:color w:val="212121"/>
                <w:sz w:val="19"/>
              </w:rPr>
              <w:t>Heavy or dependent use</w:t>
            </w:r>
          </w:p>
        </w:tc>
        <w:tc>
          <w:tcPr>
            <w:tcW w:type="dxa" w:w="1468"/>
            <w:vAlign w:val="top"/>
          </w:tcPr>
          <w:p>
            <w:pPr>
              <w:spacing w:after="40" w:before="0" w:line="259" w:lineRule="auto"/>
            </w:pPr>
            <w:r>
              <w:rPr>
                <w:rFonts w:ascii="Calibri" w:hAnsi="Calibri"/>
                <w:b w:val="0"/>
                <w:i w:val="0"/>
                <w:color w:val="212121"/>
                <w:sz w:val="19"/>
              </w:rPr>
              <w:t>Malnutrition and immune impairment raise oral candidiasis risk</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Recent antibiotic / steroid course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None unless indicated</w:t>
            </w:r>
          </w:p>
        </w:tc>
        <w:tc>
          <w:tcPr>
            <w:tcW w:type="dxa" w:w="1512"/>
            <w:vAlign w:val="top"/>
          </w:tcPr>
          <w:p>
            <w:pPr>
              <w:spacing w:after="40" w:before="0" w:line="259" w:lineRule="auto"/>
            </w:pPr>
            <w:r>
              <w:rPr>
                <w:rFonts w:ascii="Calibri" w:hAnsi="Calibri"/>
                <w:b w:val="0"/>
                <w:i w:val="0"/>
                <w:color w:val="212121"/>
                <w:sz w:val="19"/>
              </w:rPr>
              <w:t>Any recent broad-spectrum antibiotic or systemic/inhaled steroid</w:t>
            </w:r>
          </w:p>
        </w:tc>
        <w:tc>
          <w:tcPr>
            <w:tcW w:type="dxa" w:w="1468"/>
            <w:vAlign w:val="top"/>
          </w:tcPr>
          <w:p>
            <w:pPr>
              <w:spacing w:after="60" w:line="259" w:lineRule="auto"/>
            </w:pPr>
            <w:r>
              <w:rPr>
                <w:rFonts w:ascii="Calibri" w:hAnsi="Calibri"/>
                <w:b w:val="0"/>
                <w:i w:val="0"/>
                <w:color w:val="212121"/>
                <w:sz w:val="19"/>
              </w:rPr>
              <w:t>Disrupts flora/immunity, precipitating candidal overgrowth</w:t>
            </w:r>
          </w:p>
          <w:p>
            <w:pPr>
              <w:spacing w:after="40" w:line="252" w:lineRule="auto"/>
            </w:pPr>
            <w:hyperlink r:id="rId11">
              <w:r>
                <w:rPr>
                  <w:rFonts w:ascii="Calibri" w:hAnsi="Calibri" w:cs="Calibri"/>
                  <w:sz w:val="18"/>
                  <w:color w:val="1155CC"/>
                  <w:u w:val="single"/>
                </w:rPr>
                <w:t xml:space="preserve">https://www.ncbi.nlm.nih.gov/books/NBK560624/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Direct microscopy</w:t>
            </w:r>
          </w:p>
        </w:tc>
        <w:tc>
          <w:tcPr>
            <w:tcW w:type="dxa" w:w="892"/>
            <w:vAlign w:val="top"/>
          </w:tcPr>
          <w:p>
            <w:pPr>
              <w:spacing w:after="40" w:before="0" w:line="259" w:lineRule="auto"/>
            </w:pPr>
            <w:r>
              <w:rPr>
                <w:rFonts w:ascii="Calibri" w:hAnsi="Calibri"/>
                <w:b w:val="0"/>
                <w:i w:val="0"/>
                <w:color w:val="212121"/>
                <w:sz w:val="16"/>
              </w:rPr>
              <w:t>KOH wet mount (10–20%)</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Budding yeasts with pseudohyphae/hyphae</w:t>
            </w:r>
          </w:p>
        </w:tc>
        <w:tc>
          <w:tcPr>
            <w:tcW w:type="dxa" w:w="1036"/>
            <w:vAlign w:val="top"/>
          </w:tcPr>
          <w:p>
            <w:pPr>
              <w:spacing w:after="40" w:before="0" w:line="259" w:lineRule="auto"/>
            </w:pPr>
            <w:r>
              <w:rPr>
                <w:rFonts w:ascii="Calibri" w:hAnsi="Calibri"/>
                <w:b w:val="0"/>
                <w:i w:val="0"/>
                <w:color w:val="212121"/>
                <w:sz w:val="16"/>
              </w:rPr>
              <w:t>Confirms candidal infection at the bedside</w:t>
            </w:r>
          </w:p>
        </w:tc>
        <w:tc>
          <w:tcPr>
            <w:tcW w:type="dxa" w:w="1036"/>
            <w:vAlign w:val="top"/>
          </w:tcPr>
          <w:p>
            <w:pPr>
              <w:spacing w:after="40" w:before="0" w:line="259" w:lineRule="auto"/>
            </w:pPr>
            <w:r>
              <w:rPr>
                <w:rFonts w:ascii="Calibri" w:hAnsi="Calibri"/>
                <w:b w:val="0"/>
                <w:i w:val="0"/>
                <w:color w:val="212121"/>
                <w:sz w:val="16"/>
              </w:rPr>
              <w:t>Oral thrush, intertrigo, VVC, balanitis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Calcofluor/Gram stain improve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culture</w:t>
            </w:r>
          </w:p>
        </w:tc>
        <w:tc>
          <w:tcPr>
            <w:tcW w:type="dxa" w:w="892"/>
            <w:vAlign w:val="top"/>
          </w:tcPr>
          <w:p>
            <w:pPr>
              <w:spacing w:after="40" w:before="0" w:line="259" w:lineRule="auto"/>
            </w:pPr>
            <w:r>
              <w:rPr>
                <w:rFonts w:ascii="Calibri" w:hAnsi="Calibri"/>
                <w:b w:val="0"/>
                <w:i w:val="0"/>
                <w:color w:val="212121"/>
                <w:sz w:val="16"/>
              </w:rPr>
              <w:t>Sabouraud dextrose agar + speciation</w:t>
            </w:r>
          </w:p>
        </w:tc>
        <w:tc>
          <w:tcPr>
            <w:tcW w:type="dxa" w:w="950"/>
            <w:vAlign w:val="top"/>
          </w:tcPr>
          <w:p>
            <w:pPr>
              <w:spacing w:after="40" w:before="0" w:line="259" w:lineRule="auto"/>
            </w:pPr>
            <w:r>
              <w:rPr>
                <w:rFonts w:ascii="Calibri" w:hAnsi="Calibri"/>
                <w:b w:val="0"/>
                <w:i w:val="0"/>
                <w:color w:val="212121"/>
                <w:sz w:val="16"/>
              </w:rPr>
              <w:t>No growth / scant commensal</w:t>
            </w:r>
          </w:p>
        </w:tc>
        <w:tc>
          <w:tcPr>
            <w:tcW w:type="dxa" w:w="950"/>
            <w:vAlign w:val="top"/>
          </w:tcPr>
          <w:p>
            <w:pPr>
              <w:spacing w:after="40" w:before="0" w:line="259" w:lineRule="auto"/>
            </w:pPr>
            <w:r>
              <w:rPr>
                <w:rFonts w:ascii="Calibri" w:hAnsi="Calibri"/>
                <w:b w:val="0"/>
                <w:i w:val="0"/>
                <w:color w:val="212121"/>
                <w:sz w:val="16"/>
              </w:rPr>
              <w:t>Heavy growth of Candida spp.</w:t>
            </w:r>
          </w:p>
        </w:tc>
        <w:tc>
          <w:tcPr>
            <w:tcW w:type="dxa" w:w="1036"/>
            <w:vAlign w:val="top"/>
          </w:tcPr>
          <w:p>
            <w:pPr>
              <w:spacing w:after="40" w:before="0" w:line="259" w:lineRule="auto"/>
            </w:pPr>
            <w:r>
              <w:rPr>
                <w:rFonts w:ascii="Calibri" w:hAnsi="Calibri"/>
                <w:b w:val="0"/>
                <w:i w:val="0"/>
                <w:color w:val="212121"/>
                <w:sz w:val="16"/>
              </w:rPr>
              <w:t>Species ID and susceptibility; flags non-albicans / resistant strains</w:t>
            </w:r>
          </w:p>
        </w:tc>
        <w:tc>
          <w:tcPr>
            <w:tcW w:type="dxa" w:w="1036"/>
            <w:vAlign w:val="top"/>
          </w:tcPr>
          <w:p>
            <w:pPr>
              <w:spacing w:after="40" w:before="0" w:line="259" w:lineRule="auto"/>
            </w:pPr>
            <w:r>
              <w:rPr>
                <w:rFonts w:ascii="Calibri" w:hAnsi="Calibri"/>
                <w:b w:val="0"/>
                <w:i w:val="0"/>
                <w:color w:val="212121"/>
                <w:sz w:val="16"/>
              </w:rPr>
              <w:t>Recurrent, refractory,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Creamy white colonies; reserve for complicated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Germ-tube test</w:t>
            </w:r>
          </w:p>
        </w:tc>
        <w:tc>
          <w:tcPr>
            <w:tcW w:type="dxa" w:w="892"/>
            <w:vAlign w:val="top"/>
          </w:tcPr>
          <w:p>
            <w:pPr>
              <w:spacing w:after="40" w:before="0" w:line="259" w:lineRule="auto"/>
            </w:pPr>
            <w:r>
              <w:rPr>
                <w:rFonts w:ascii="Calibri" w:hAnsi="Calibri"/>
                <w:b w:val="0"/>
                <w:i w:val="0"/>
                <w:color w:val="212121"/>
                <w:sz w:val="16"/>
              </w:rPr>
              <w:t>Reynolds–Braude phenomenon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 C. albicans</w:t>
            </w:r>
          </w:p>
        </w:tc>
        <w:tc>
          <w:tcPr>
            <w:tcW w:type="dxa" w:w="1036"/>
            <w:vAlign w:val="top"/>
          </w:tcPr>
          <w:p>
            <w:pPr>
              <w:spacing w:after="40" w:before="0" w:line="259" w:lineRule="auto"/>
            </w:pPr>
            <w:r>
              <w:rPr>
                <w:rFonts w:ascii="Calibri" w:hAnsi="Calibri"/>
                <w:b w:val="0"/>
                <w:i w:val="0"/>
                <w:color w:val="212121"/>
                <w:sz w:val="16"/>
              </w:rPr>
              <w:t>Rapid presumptive identification of C. albicans</w:t>
            </w:r>
          </w:p>
        </w:tc>
        <w:tc>
          <w:tcPr>
            <w:tcW w:type="dxa" w:w="1036"/>
            <w:vAlign w:val="top"/>
          </w:tcPr>
          <w:p>
            <w:pPr>
              <w:spacing w:after="40" w:before="0" w:line="259" w:lineRule="auto"/>
            </w:pPr>
            <w:r>
              <w:rPr>
                <w:rFonts w:ascii="Calibri" w:hAnsi="Calibri"/>
                <w:b w:val="0"/>
                <w:i w:val="0"/>
                <w:color w:val="212121"/>
                <w:sz w:val="16"/>
              </w:rPr>
              <w:t>Culture-positive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Chromogenic agar differentiates common species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Gram stain</w:t>
            </w:r>
          </w:p>
        </w:tc>
        <w:tc>
          <w:tcPr>
            <w:tcW w:type="dxa" w:w="892"/>
            <w:vAlign w:val="top"/>
          </w:tcPr>
          <w:p>
            <w:pPr>
              <w:spacing w:after="40" w:before="0" w:line="259" w:lineRule="auto"/>
            </w:pPr>
            <w:r>
              <w:rPr>
                <w:rFonts w:ascii="Calibri" w:hAnsi="Calibri"/>
                <w:b w:val="0"/>
                <w:i w:val="0"/>
                <w:color w:val="212121"/>
                <w:sz w:val="16"/>
              </w:rPr>
              <w:t>Smear of discharge/scraping</w:t>
            </w:r>
          </w:p>
        </w:tc>
        <w:tc>
          <w:tcPr>
            <w:tcW w:type="dxa" w:w="950"/>
            <w:vAlign w:val="top"/>
          </w:tcPr>
          <w:p>
            <w:pPr>
              <w:spacing w:after="40" w:before="0" w:line="259" w:lineRule="auto"/>
            </w:pPr>
            <w:r>
              <w:rPr>
                <w:rFonts w:ascii="Calibri" w:hAnsi="Calibri"/>
                <w:b w:val="0"/>
                <w:i w:val="0"/>
                <w:color w:val="212121"/>
                <w:sz w:val="16"/>
              </w:rPr>
              <w:t>Mixed flora, no yeast</w:t>
            </w:r>
          </w:p>
        </w:tc>
        <w:tc>
          <w:tcPr>
            <w:tcW w:type="dxa" w:w="950"/>
            <w:vAlign w:val="top"/>
          </w:tcPr>
          <w:p>
            <w:pPr>
              <w:spacing w:after="40" w:before="0" w:line="259" w:lineRule="auto"/>
            </w:pPr>
            <w:r>
              <w:rPr>
                <w:rFonts w:ascii="Calibri" w:hAnsi="Calibri"/>
                <w:b w:val="0"/>
                <w:i w:val="0"/>
                <w:color w:val="212121"/>
                <w:sz w:val="16"/>
              </w:rPr>
              <w:t>Gram-positive budding yeast + pseudohyphae</w:t>
            </w:r>
          </w:p>
        </w:tc>
        <w:tc>
          <w:tcPr>
            <w:tcW w:type="dxa" w:w="1036"/>
            <w:vAlign w:val="top"/>
          </w:tcPr>
          <w:p>
            <w:pPr>
              <w:spacing w:after="40" w:before="0" w:line="259" w:lineRule="auto"/>
            </w:pPr>
            <w:r>
              <w:rPr>
                <w:rFonts w:ascii="Calibri" w:hAnsi="Calibri"/>
                <w:b w:val="0"/>
                <w:i w:val="0"/>
                <w:color w:val="212121"/>
                <w:sz w:val="16"/>
              </w:rPr>
              <w:t>Supports diagnosis, especially in vaginal discharge and oral lesions</w:t>
            </w:r>
          </w:p>
        </w:tc>
        <w:tc>
          <w:tcPr>
            <w:tcW w:type="dxa" w:w="1036"/>
            <w:vAlign w:val="top"/>
          </w:tcPr>
          <w:p>
            <w:pPr>
              <w:spacing w:after="40" w:before="0" w:line="259" w:lineRule="auto"/>
            </w:pPr>
            <w:r>
              <w:rPr>
                <w:rFonts w:ascii="Calibri" w:hAnsi="Calibri"/>
                <w:b w:val="0"/>
                <w:i w:val="0"/>
                <w:color w:val="212121"/>
                <w:sz w:val="16"/>
              </w:rPr>
              <w:t>VVC, oral candidiasis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Quick and widely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&amp;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underlying or uncontrolled diabetes driving candidiasis</w:t>
            </w:r>
          </w:p>
        </w:tc>
        <w:tc>
          <w:tcPr>
            <w:tcW w:type="dxa" w:w="1036"/>
            <w:vAlign w:val="top"/>
          </w:tcPr>
          <w:p>
            <w:pPr>
              <w:spacing w:after="40" w:before="0" w:line="259" w:lineRule="auto"/>
            </w:pPr>
            <w:r>
              <w:rPr>
                <w:rFonts w:ascii="Calibri" w:hAnsi="Calibri"/>
                <w:b w:val="0"/>
                <w:i w:val="0"/>
                <w:color w:val="212121"/>
                <w:sz w:val="16"/>
              </w:rPr>
              <w:t>Recurrent oral/genital/intertrigo</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Essential screen</w:t>
            </w:r>
          </w:p>
        </w:tc>
        <w:tc>
          <w:tcPr>
            <w:tcW w:type="dxa" w:w="720"/>
            <w:vAlign w:val="top"/>
          </w:tcPr>
          <w:p>
            <w:pPr>
              <w:spacing w:after="40" w:before="0" w:line="259" w:lineRule="auto"/>
            </w:pPr>
            <w:r>
              <w:rPr>
                <w:rFonts w:ascii="Calibri" w:hAnsi="Calibri"/>
                <w:b w:val="0"/>
                <w:i w:val="0"/>
                <w:color w:val="212121"/>
                <w:sz w:val="16"/>
              </w:rPr>
              <w:t>Recurrent candidiasis may be the first clue to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HIV serology &amp; CD4 count</w:t>
            </w:r>
          </w:p>
        </w:tc>
        <w:tc>
          <w:tcPr>
            <w:tcW w:type="dxa" w:w="892"/>
            <w:vAlign w:val="top"/>
          </w:tcPr>
          <w:p>
            <w:pPr>
              <w:spacing w:after="40" w:before="0" w:line="259" w:lineRule="auto"/>
            </w:pPr>
            <w:r>
              <w:rPr>
                <w:rFonts w:ascii="Calibri" w:hAnsi="Calibri"/>
                <w:b w:val="0"/>
                <w:i w:val="0"/>
                <w:color w:val="212121"/>
                <w:sz w:val="16"/>
              </w:rPr>
              <w:t>HIV test + CD4</w:t>
            </w:r>
          </w:p>
        </w:tc>
        <w:tc>
          <w:tcPr>
            <w:tcW w:type="dxa" w:w="950"/>
            <w:vAlign w:val="top"/>
          </w:tcPr>
          <w:p>
            <w:pPr>
              <w:spacing w:after="40" w:before="0" w:line="259" w:lineRule="auto"/>
            </w:pPr>
            <w:r>
              <w:rPr>
                <w:rFonts w:ascii="Calibri" w:hAnsi="Calibri"/>
                <w:b w:val="0"/>
                <w:i w:val="0"/>
                <w:color w:val="212121"/>
                <w:sz w:val="16"/>
              </w:rPr>
              <w:t>HIV non-reactive; CD4 &gt; 500</w:t>
            </w:r>
          </w:p>
        </w:tc>
        <w:tc>
          <w:tcPr>
            <w:tcW w:type="dxa" w:w="950"/>
            <w:vAlign w:val="top"/>
          </w:tcPr>
          <w:p>
            <w:pPr>
              <w:spacing w:after="40" w:before="0" w:line="259" w:lineRule="auto"/>
            </w:pPr>
            <w:r>
              <w:rPr>
                <w:rFonts w:ascii="Calibri" w:hAnsi="Calibri"/>
                <w:b w:val="0"/>
                <w:i w:val="0"/>
                <w:color w:val="212121"/>
                <w:sz w:val="16"/>
              </w:rPr>
              <w:t>HIV reactive; CD4 &lt; 200</w:t>
            </w:r>
          </w:p>
        </w:tc>
        <w:tc>
          <w:tcPr>
            <w:tcW w:type="dxa" w:w="1036"/>
            <w:vAlign w:val="top"/>
          </w:tcPr>
          <w:p>
            <w:pPr>
              <w:spacing w:after="40" w:before="0" w:line="259" w:lineRule="auto"/>
            </w:pPr>
            <w:r>
              <w:rPr>
                <w:rFonts w:ascii="Calibri" w:hAnsi="Calibri"/>
                <w:b w:val="0"/>
                <w:i w:val="0"/>
                <w:color w:val="212121"/>
                <w:sz w:val="16"/>
              </w:rPr>
              <w:t>Unmasks immunosuppression; esophageal/extensive thrush is AIDS-defining</w:t>
            </w:r>
          </w:p>
        </w:tc>
        <w:tc>
          <w:tcPr>
            <w:tcW w:type="dxa" w:w="1036"/>
            <w:vAlign w:val="top"/>
          </w:tcPr>
          <w:p>
            <w:pPr>
              <w:spacing w:after="40" w:before="0" w:line="259" w:lineRule="auto"/>
            </w:pPr>
            <w:r>
              <w:rPr>
                <w:rFonts w:ascii="Calibri" w:hAnsi="Calibri"/>
                <w:b w:val="0"/>
                <w:i w:val="0"/>
                <w:color w:val="212121"/>
                <w:sz w:val="16"/>
              </w:rPr>
              <w:t>Extensive, recurrent or esophageal candidiasis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Mean CD4 ~188 in Indian HIV oral candidiasis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Vaginal pH</w:t>
            </w:r>
          </w:p>
        </w:tc>
        <w:tc>
          <w:tcPr>
            <w:tcW w:type="dxa" w:w="892"/>
            <w:vAlign w:val="top"/>
          </w:tcPr>
          <w:p>
            <w:pPr>
              <w:spacing w:after="40" w:before="0" w:line="259" w:lineRule="auto"/>
            </w:pPr>
            <w:r>
              <w:rPr>
                <w:rFonts w:ascii="Calibri" w:hAnsi="Calibri"/>
                <w:b w:val="0"/>
                <w:i w:val="0"/>
                <w:color w:val="212121"/>
                <w:sz w:val="16"/>
              </w:rPr>
              <w:t>pH strip (VVC)</w:t>
            </w:r>
          </w:p>
        </w:tc>
        <w:tc>
          <w:tcPr>
            <w:tcW w:type="dxa" w:w="950"/>
            <w:vAlign w:val="top"/>
          </w:tcPr>
          <w:p>
            <w:pPr>
              <w:spacing w:after="40" w:before="0" w:line="259" w:lineRule="auto"/>
            </w:pPr>
            <w:r>
              <w:rPr>
                <w:rFonts w:ascii="Calibri" w:hAnsi="Calibri"/>
                <w:b w:val="0"/>
                <w:i w:val="0"/>
                <w:color w:val="212121"/>
                <w:sz w:val="16"/>
              </w:rPr>
              <w:t>4.0–4.5</w:t>
            </w:r>
          </w:p>
        </w:tc>
        <w:tc>
          <w:tcPr>
            <w:tcW w:type="dxa" w:w="950"/>
            <w:vAlign w:val="top"/>
          </w:tcPr>
          <w:p>
            <w:pPr>
              <w:spacing w:after="40" w:before="0" w:line="259" w:lineRule="auto"/>
            </w:pPr>
            <w:r>
              <w:rPr>
                <w:rFonts w:ascii="Calibri" w:hAnsi="Calibri"/>
                <w:b w:val="0"/>
                <w:i w:val="0"/>
                <w:color w:val="212121"/>
                <w:sz w:val="16"/>
              </w:rPr>
              <w:t>&gt; 4.5 suggests bacterial vaginosis/trichomoniasis instead</w:t>
            </w:r>
          </w:p>
        </w:tc>
        <w:tc>
          <w:tcPr>
            <w:tcW w:type="dxa" w:w="1036"/>
            <w:vAlign w:val="top"/>
          </w:tcPr>
          <w:p>
            <w:pPr>
              <w:spacing w:after="40" w:before="0" w:line="259" w:lineRule="auto"/>
            </w:pPr>
            <w:r>
              <w:rPr>
                <w:rFonts w:ascii="Calibri" w:hAnsi="Calibri"/>
                <w:b w:val="0"/>
                <w:i w:val="0"/>
                <w:color w:val="212121"/>
                <w:sz w:val="16"/>
              </w:rPr>
              <w:t>Normal pH with yeast supports VVC</w:t>
            </w:r>
          </w:p>
        </w:tc>
        <w:tc>
          <w:tcPr>
            <w:tcW w:type="dxa" w:w="1036"/>
            <w:vAlign w:val="top"/>
          </w:tcPr>
          <w:p>
            <w:pPr>
              <w:spacing w:after="40" w:before="0" w:line="259" w:lineRule="auto"/>
            </w:pPr>
            <w:r>
              <w:rPr>
                <w:rFonts w:ascii="Calibri" w:hAnsi="Calibri"/>
                <w:b w:val="0"/>
                <w:i w:val="0"/>
                <w:color w:val="212121"/>
                <w:sz w:val="16"/>
              </w:rPr>
              <w:t>Women with vaginitis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Differentiating</w:t>
            </w:r>
          </w:p>
        </w:tc>
        <w:tc>
          <w:tcPr>
            <w:tcW w:type="dxa" w:w="720"/>
            <w:vAlign w:val="top"/>
          </w:tcPr>
          <w:p>
            <w:pPr>
              <w:spacing w:after="40" w:before="0" w:line="259" w:lineRule="auto"/>
            </w:pPr>
            <w:r>
              <w:rPr>
                <w:rFonts w:ascii="Calibri" w:hAnsi="Calibri"/>
                <w:b w:val="0"/>
                <w:i w:val="0"/>
                <w:color w:val="212121"/>
                <w:sz w:val="16"/>
              </w:rPr>
              <w:t>Combine with wet mount + KOH</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Itch, white plaques, curd-like discharge, soreness/burning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Cardinal candidal symptoms</w:t>
            </w:r>
          </w:p>
        </w:tc>
        <w:tc>
          <w:tcPr>
            <w:tcW w:type="dxa" w:w="1036"/>
            <w:vAlign w:val="top"/>
          </w:tcPr>
          <w:p>
            <w:pPr>
              <w:spacing w:after="40" w:before="0" w:line="259" w:lineRule="auto"/>
            </w:pPr>
            <w:r>
              <w:rPr>
                <w:rFonts w:ascii="Calibri" w:hAnsi="Calibri"/>
                <w:b w:val="0"/>
                <w:i w:val="0"/>
                <w:color w:val="212121"/>
                <w:sz w:val="16"/>
              </w:rPr>
              <w:t>All clinical forms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asymptomatic in HIV — examine actively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Predisposing-factor history</w:t>
            </w:r>
          </w:p>
        </w:tc>
        <w:tc>
          <w:tcPr>
            <w:tcW w:type="dxa" w:w="979"/>
            <w:vAlign w:val="top"/>
          </w:tcPr>
          <w:p>
            <w:pPr>
              <w:spacing w:after="40" w:before="0" w:line="259" w:lineRule="auto"/>
            </w:pPr>
            <w:r>
              <w:rPr>
                <w:rFonts w:ascii="Calibri" w:hAnsi="Calibri"/>
                <w:b w:val="0"/>
                <w:i w:val="0"/>
                <w:color w:val="212121"/>
                <w:sz w:val="16"/>
              </w:rPr>
              <w:t>Diabetes, antibiotics, steroids/inhalers, HIV, pregnancy, OCP, dentures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Identifies drivers and guides their correction</w:t>
            </w:r>
          </w:p>
        </w:tc>
        <w:tc>
          <w:tcPr>
            <w:tcW w:type="dxa" w:w="1036"/>
            <w:vAlign w:val="top"/>
          </w:tcPr>
          <w:p>
            <w:pPr>
              <w:spacing w:after="40" w:before="0" w:line="259" w:lineRule="auto"/>
            </w:pPr>
            <w:r>
              <w:rPr>
                <w:rFonts w:ascii="Calibri" w:hAnsi="Calibri"/>
                <w:b w:val="0"/>
                <w:i w:val="0"/>
                <w:color w:val="212121"/>
                <w:sz w:val="16"/>
              </w:rPr>
              <w:t>Recurrent/refractory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Recurrence often reflects an uncorrected trigger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Oral cavity inspection</w:t>
            </w:r>
          </w:p>
        </w:tc>
        <w:tc>
          <w:tcPr>
            <w:tcW w:type="dxa" w:w="979"/>
            <w:vAlign w:val="top"/>
          </w:tcPr>
          <w:p>
            <w:pPr>
              <w:spacing w:after="40" w:before="0" w:line="259" w:lineRule="auto"/>
            </w:pPr>
            <w:r>
              <w:rPr>
                <w:rFonts w:ascii="Calibri" w:hAnsi="Calibri"/>
                <w:b w:val="0"/>
                <w:i w:val="0"/>
                <w:color w:val="212121"/>
                <w:sz w:val="16"/>
              </w:rPr>
              <w:t>Scrapable white pseudomembrane, erythema, angular cheilitis, denture area</w:t>
            </w:r>
          </w:p>
        </w:tc>
        <w:tc>
          <w:tcPr>
            <w:tcW w:type="dxa" w:w="950"/>
            <w:vAlign w:val="top"/>
          </w:tcPr>
          <w:p>
            <w:pPr>
              <w:spacing w:after="40" w:before="0" w:line="259" w:lineRule="auto"/>
            </w:pPr>
            <w:r>
              <w:rPr>
                <w:rFonts w:ascii="Calibri" w:hAnsi="Calibri"/>
                <w:b w:val="0"/>
                <w:i w:val="0"/>
                <w:color w:val="212121"/>
                <w:sz w:val="16"/>
              </w:rPr>
              <w:t>Healthy pink mucosa</w:t>
            </w:r>
          </w:p>
        </w:tc>
        <w:tc>
          <w:tcPr>
            <w:tcW w:type="dxa" w:w="950"/>
            <w:vAlign w:val="top"/>
          </w:tcPr>
          <w:p>
            <w:pPr>
              <w:spacing w:after="40" w:before="0" w:line="259" w:lineRule="auto"/>
            </w:pPr>
            <w:r>
              <w:rPr>
                <w:rFonts w:ascii="Calibri" w:hAnsi="Calibri"/>
                <w:b w:val="0"/>
                <w:i w:val="0"/>
                <w:color w:val="212121"/>
                <w:sz w:val="16"/>
              </w:rPr>
              <w:t>White plaques leaving a red base; angular fissures</w:t>
            </w:r>
          </w:p>
        </w:tc>
        <w:tc>
          <w:tcPr>
            <w:tcW w:type="dxa" w:w="1036"/>
            <w:vAlign w:val="top"/>
          </w:tcPr>
          <w:p>
            <w:pPr>
              <w:spacing w:after="40" w:before="0" w:line="259" w:lineRule="auto"/>
            </w:pPr>
            <w:r>
              <w:rPr>
                <w:rFonts w:ascii="Calibri" w:hAnsi="Calibri"/>
                <w:b w:val="0"/>
                <w:i w:val="0"/>
                <w:color w:val="212121"/>
                <w:sz w:val="16"/>
              </w:rPr>
              <w:t>Diagnoses the oral candidiasis subtype</w:t>
            </w:r>
          </w:p>
        </w:tc>
        <w:tc>
          <w:tcPr>
            <w:tcW w:type="dxa" w:w="1036"/>
            <w:vAlign w:val="top"/>
          </w:tcPr>
          <w:p>
            <w:pPr>
              <w:spacing w:after="40" w:before="0" w:line="259" w:lineRule="auto"/>
            </w:pPr>
            <w:r>
              <w:rPr>
                <w:rFonts w:ascii="Calibri" w:hAnsi="Calibri"/>
                <w:b w:val="0"/>
                <w:i w:val="0"/>
                <w:color w:val="212121"/>
                <w:sz w:val="16"/>
              </w:rPr>
              <w:t>Infants, elderly, HIV, denture users</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Wipe test differentiates thrush from leukoplakia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Skin-fold &amp; genital inspection</w:t>
            </w:r>
          </w:p>
        </w:tc>
        <w:tc>
          <w:tcPr>
            <w:tcW w:type="dxa" w:w="979"/>
            <w:vAlign w:val="top"/>
          </w:tcPr>
          <w:p>
            <w:pPr>
              <w:spacing w:after="40" w:before="0" w:line="259" w:lineRule="auto"/>
            </w:pPr>
            <w:r>
              <w:rPr>
                <w:rFonts w:ascii="Calibri" w:hAnsi="Calibri"/>
                <w:b w:val="0"/>
                <w:i w:val="0"/>
                <w:color w:val="212121"/>
                <w:sz w:val="16"/>
              </w:rPr>
              <w:t>Beefy-red macerated plaques with satellite papulopustules; vulval/glans erythema</w:t>
            </w:r>
          </w:p>
        </w:tc>
        <w:tc>
          <w:tcPr>
            <w:tcW w:type="dxa" w:w="950"/>
            <w:vAlign w:val="top"/>
          </w:tcPr>
          <w:p>
            <w:pPr>
              <w:spacing w:after="40" w:before="0" w:line="259" w:lineRule="auto"/>
            </w:pPr>
            <w:r>
              <w:rPr>
                <w:rFonts w:ascii="Calibri" w:hAnsi="Calibri"/>
                <w:b w:val="0"/>
                <w:i w:val="0"/>
                <w:color w:val="212121"/>
                <w:sz w:val="16"/>
              </w:rPr>
              <w:t>Intact, dry skin</w:t>
            </w:r>
          </w:p>
        </w:tc>
        <w:tc>
          <w:tcPr>
            <w:tcW w:type="dxa" w:w="950"/>
            <w:vAlign w:val="top"/>
          </w:tcPr>
          <w:p>
            <w:pPr>
              <w:spacing w:after="40" w:before="0" w:line="259" w:lineRule="auto"/>
            </w:pPr>
            <w:r>
              <w:rPr>
                <w:rFonts w:ascii="Calibri" w:hAnsi="Calibri"/>
                <w:b w:val="0"/>
                <w:i w:val="0"/>
                <w:color w:val="212121"/>
                <w:sz w:val="16"/>
              </w:rPr>
              <w:t>Satellite lesions, maceration, fissuring</w:t>
            </w:r>
          </w:p>
        </w:tc>
        <w:tc>
          <w:tcPr>
            <w:tcW w:type="dxa" w:w="1036"/>
            <w:vAlign w:val="top"/>
          </w:tcPr>
          <w:p>
            <w:pPr>
              <w:spacing w:after="40" w:before="0" w:line="259" w:lineRule="auto"/>
            </w:pPr>
            <w:r>
              <w:rPr>
                <w:rFonts w:ascii="Calibri" w:hAnsi="Calibri"/>
                <w:b w:val="0"/>
                <w:i w:val="0"/>
                <w:color w:val="212121"/>
                <w:sz w:val="16"/>
              </w:rPr>
              <w:t>Hallmarks of candidal intertrigo, VVC and balanitis</w:t>
            </w:r>
          </w:p>
        </w:tc>
        <w:tc>
          <w:tcPr>
            <w:tcW w:type="dxa" w:w="1036"/>
            <w:vAlign w:val="top"/>
          </w:tcPr>
          <w:p>
            <w:pPr>
              <w:spacing w:after="40" w:before="0" w:line="259" w:lineRule="auto"/>
            </w:pPr>
            <w:r>
              <w:rPr>
                <w:rFonts w:ascii="Calibri" w:hAnsi="Calibri"/>
                <w:b w:val="0"/>
                <w:i w:val="0"/>
                <w:color w:val="212121"/>
                <w:sz w:val="16"/>
              </w:rPr>
              <w:t>Obese, diabetic, humid-climate patients</w:t>
            </w:r>
          </w:p>
        </w:tc>
        <w:tc>
          <w:tcPr>
            <w:tcW w:type="dxa" w:w="720"/>
            <w:vAlign w:val="top"/>
          </w:tcPr>
          <w:p>
            <w:pPr>
              <w:spacing w:after="40" w:before="0" w:line="259" w:lineRule="auto"/>
            </w:pPr>
            <w:r>
              <w:rPr>
                <w:rFonts w:ascii="Calibri" w:hAnsi="Calibri"/>
                <w:b w:val="0"/>
                <w:i w:val="0"/>
                <w:color w:val="212121"/>
                <w:sz w:val="16"/>
              </w:rPr>
              <w:t>Hygiene;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Satellite pustules are near-pathognomonic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Nail &amp; periungual assessment</w:t>
            </w:r>
          </w:p>
        </w:tc>
        <w:tc>
          <w:tcPr>
            <w:tcW w:type="dxa" w:w="979"/>
            <w:vAlign w:val="top"/>
          </w:tcPr>
          <w:p>
            <w:pPr>
              <w:spacing w:after="40" w:before="0" w:line="259" w:lineRule="auto"/>
            </w:pPr>
            <w:r>
              <w:rPr>
                <w:rFonts w:ascii="Calibri" w:hAnsi="Calibri"/>
                <w:b w:val="0"/>
                <w:i w:val="0"/>
                <w:color w:val="212121"/>
                <w:sz w:val="16"/>
              </w:rPr>
              <w:t>Tender erythematous nail-fold swelling, cuticle loss, nail dystrophy</w:t>
            </w:r>
          </w:p>
        </w:tc>
        <w:tc>
          <w:tcPr>
            <w:tcW w:type="dxa" w:w="950"/>
            <w:vAlign w:val="top"/>
          </w:tcPr>
          <w:p>
            <w:pPr>
              <w:spacing w:after="40" w:before="0" w:line="259" w:lineRule="auto"/>
            </w:pPr>
            <w:r>
              <w:rPr>
                <w:rFonts w:ascii="Calibri" w:hAnsi="Calibri"/>
                <w:b w:val="0"/>
                <w:i w:val="0"/>
                <w:color w:val="212121"/>
                <w:sz w:val="16"/>
              </w:rPr>
              <w:t>Normal nail folds</w:t>
            </w:r>
          </w:p>
        </w:tc>
        <w:tc>
          <w:tcPr>
            <w:tcW w:type="dxa" w:w="950"/>
            <w:vAlign w:val="top"/>
          </w:tcPr>
          <w:p>
            <w:pPr>
              <w:spacing w:after="40" w:before="0" w:line="259" w:lineRule="auto"/>
            </w:pPr>
            <w:r>
              <w:rPr>
                <w:rFonts w:ascii="Calibri" w:hAnsi="Calibri"/>
                <w:b w:val="0"/>
                <w:i w:val="0"/>
                <w:color w:val="212121"/>
                <w:sz w:val="16"/>
              </w:rPr>
              <w:t>Chronic paronychia / onychomycosis</w:t>
            </w:r>
          </w:p>
        </w:tc>
        <w:tc>
          <w:tcPr>
            <w:tcW w:type="dxa" w:w="1036"/>
            <w:vAlign w:val="top"/>
          </w:tcPr>
          <w:p>
            <w:pPr>
              <w:spacing w:after="40" w:before="0" w:line="259" w:lineRule="auto"/>
            </w:pPr>
            <w:r>
              <w:rPr>
                <w:rFonts w:ascii="Calibri" w:hAnsi="Calibri"/>
                <w:b w:val="0"/>
                <w:i w:val="0"/>
                <w:color w:val="212121"/>
                <w:sz w:val="16"/>
              </w:rPr>
              <w:t>Candidal paronychia in wet-work/immersion</w:t>
            </w:r>
          </w:p>
        </w:tc>
        <w:tc>
          <w:tcPr>
            <w:tcW w:type="dxa" w:w="1036"/>
            <w:vAlign w:val="top"/>
          </w:tcPr>
          <w:p>
            <w:pPr>
              <w:spacing w:after="40" w:before="0" w:line="259" w:lineRule="auto"/>
            </w:pPr>
            <w:r>
              <w:rPr>
                <w:rFonts w:ascii="Calibri" w:hAnsi="Calibri"/>
                <w:b w:val="0"/>
                <w:i w:val="0"/>
                <w:color w:val="212121"/>
                <w:sz w:val="16"/>
              </w:rPr>
              <w:t>Wet-work, food handlers, diabetics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Distinguish from bacterial paronychia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&amp; course</w:t>
            </w:r>
          </w:p>
        </w:tc>
        <w:tc>
          <w:tcPr>
            <w:tcW w:type="dxa" w:w="979"/>
            <w:vAlign w:val="top"/>
          </w:tcPr>
          <w:p>
            <w:pPr>
              <w:spacing w:after="40" w:before="0" w:line="259" w:lineRule="auto"/>
            </w:pPr>
            <w:r>
              <w:rPr>
                <w:rFonts w:ascii="Calibri" w:hAnsi="Calibri"/>
                <w:b w:val="0"/>
                <w:i w:val="0"/>
                <w:color w:val="212121"/>
                <w:sz w:val="16"/>
              </w:rPr>
              <w:t>Episodes per year; response to prior antifungals</w:t>
            </w:r>
          </w:p>
        </w:tc>
        <w:tc>
          <w:tcPr>
            <w:tcW w:type="dxa" w:w="950"/>
            <w:vAlign w:val="top"/>
          </w:tcPr>
          <w:p>
            <w:pPr>
              <w:spacing w:after="40" w:before="0" w:line="259" w:lineRule="auto"/>
            </w:pPr>
            <w:r>
              <w:rPr>
                <w:rFonts w:ascii="Calibri" w:hAnsi="Calibri"/>
                <w:b w:val="0"/>
                <w:i w:val="0"/>
                <w:color w:val="212121"/>
                <w:sz w:val="16"/>
              </w:rPr>
              <w:t>&lt; 4/year, resolves with treatment</w:t>
            </w:r>
          </w:p>
        </w:tc>
        <w:tc>
          <w:tcPr>
            <w:tcW w:type="dxa" w:w="950"/>
            <w:vAlign w:val="top"/>
          </w:tcPr>
          <w:p>
            <w:pPr>
              <w:spacing w:after="40" w:before="0" w:line="259" w:lineRule="auto"/>
            </w:pPr>
            <w:r>
              <w:rPr>
                <w:rFonts w:ascii="Calibri" w:hAnsi="Calibri"/>
                <w:b w:val="0"/>
                <w:i w:val="0"/>
                <w:color w:val="212121"/>
                <w:sz w:val="16"/>
              </w:rPr>
              <w:t>≥ 4 episodes/year (recurrent) or refractory</w:t>
            </w:r>
          </w:p>
        </w:tc>
        <w:tc>
          <w:tcPr>
            <w:tcW w:type="dxa" w:w="1036"/>
            <w:vAlign w:val="top"/>
          </w:tcPr>
          <w:p>
            <w:pPr>
              <w:spacing w:after="40" w:before="0" w:line="259" w:lineRule="auto"/>
            </w:pPr>
            <w:r>
              <w:rPr>
                <w:rFonts w:ascii="Calibri" w:hAnsi="Calibri"/>
                <w:b w:val="0"/>
                <w:i w:val="0"/>
                <w:color w:val="212121"/>
                <w:sz w:val="16"/>
              </w:rPr>
              <w:t>Defines complicated disease; prompts diabetes/HIV workup and suppressive therapy</w:t>
            </w:r>
          </w:p>
        </w:tc>
        <w:tc>
          <w:tcPr>
            <w:tcW w:type="dxa" w:w="1036"/>
            <w:vAlign w:val="top"/>
          </w:tcPr>
          <w:p>
            <w:pPr>
              <w:spacing w:after="40" w:before="0" w:line="259" w:lineRule="auto"/>
            </w:pPr>
            <w:r>
              <w:rPr>
                <w:rFonts w:ascii="Calibri" w:hAnsi="Calibri"/>
                <w:b w:val="0"/>
                <w:i w:val="0"/>
                <w:color w:val="212121"/>
                <w:sz w:val="16"/>
              </w:rPr>
              <w:t>Women with RVVC, CMC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RVVC affects ~6% of adult women in India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Intense 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Vulval, skin-fold or perianal itch is often the dominant complaint.</w:t>
            </w:r>
          </w:p>
        </w:tc>
      </w:tr>
      <w:tr>
        <w:trPr>
          <w:cantSplit/>
        </w:trPr>
        <w:tc>
          <w:tcPr>
            <w:tcW w:type="dxa" w:w="2304"/>
            <w:vAlign w:val="top"/>
          </w:tcPr>
          <w:p>
            <w:pPr>
              <w:spacing w:after="40" w:before="0" w:line="259" w:lineRule="auto"/>
            </w:pPr>
            <w:r>
              <w:rPr>
                <w:rFonts w:ascii="Calibri" w:hAnsi="Calibri"/>
                <w:b/>
                <w:i w:val="0"/>
                <w:color w:val="212121"/>
                <w:sz w:val="19"/>
              </w:rPr>
              <w:t>Burning /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of the mouth, vulva or glans, worse with friction or acidic foods.</w:t>
            </w:r>
          </w:p>
        </w:tc>
      </w:tr>
      <w:tr>
        <w:trPr>
          <w:cantSplit/>
        </w:trPr>
        <w:tc>
          <w:tcPr>
            <w:tcW w:type="dxa" w:w="2304"/>
            <w:vAlign w:val="top"/>
          </w:tcPr>
          <w:p>
            <w:pPr>
              <w:spacing w:after="40" w:before="0" w:line="259" w:lineRule="auto"/>
            </w:pPr>
            <w:r>
              <w:rPr>
                <w:rFonts w:ascii="Calibri" w:hAnsi="Calibri"/>
                <w:b/>
                <w:i w:val="0"/>
                <w:color w:val="212121"/>
                <w:sz w:val="19"/>
              </w:rPr>
              <w:t>White curd-like plaques in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Pseudomembranous thrush that scrapes off to leave a red, sometimes bleeding base.</w:t>
            </w:r>
          </w:p>
        </w:tc>
      </w:tr>
      <w:tr>
        <w:trPr>
          <w:cantSplit/>
        </w:trPr>
        <w:tc>
          <w:tcPr>
            <w:tcW w:type="dxa" w:w="2304"/>
            <w:vAlign w:val="top"/>
          </w:tcPr>
          <w:p>
            <w:pPr>
              <w:spacing w:after="40" w:before="0" w:line="259" w:lineRule="auto"/>
            </w:pPr>
            <w:r>
              <w:rPr>
                <w:rFonts w:ascii="Calibri" w:hAnsi="Calibri"/>
                <w:b/>
                <w:i w:val="0"/>
                <w:color w:val="212121"/>
                <w:sz w:val="19"/>
              </w:rPr>
              <w:t>Thick white “cottage-cheese” vaginal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Odourless, clumpy discharge of VVC accompanied by vulval itch.</w:t>
            </w:r>
          </w:p>
        </w:tc>
      </w:tr>
      <w:tr>
        <w:trPr>
          <w:cantSplit/>
        </w:trPr>
        <w:tc>
          <w:tcPr>
            <w:tcW w:type="dxa" w:w="2304"/>
            <w:vAlign w:val="top"/>
          </w:tcPr>
          <w:p>
            <w:pPr>
              <w:spacing w:after="40" w:before="0" w:line="259" w:lineRule="auto"/>
            </w:pPr>
            <w:r>
              <w:rPr>
                <w:rFonts w:ascii="Calibri" w:hAnsi="Calibri"/>
                <w:b/>
                <w:i w:val="0"/>
                <w:color w:val="212121"/>
                <w:sz w:val="19"/>
              </w:rPr>
              <w:t>Cracking/soreness at the mouth corners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Angular cheilitis, often with denture use or iron deficiency.</w:t>
            </w:r>
          </w:p>
        </w:tc>
      </w:tr>
      <w:tr>
        <w:trPr>
          <w:cantSplit/>
        </w:trPr>
        <w:tc>
          <w:tcPr>
            <w:tcW w:type="dxa" w:w="2304"/>
            <w:vAlign w:val="top"/>
          </w:tcPr>
          <w:p>
            <w:pPr>
              <w:spacing w:after="40" w:before="0" w:line="259" w:lineRule="auto"/>
            </w:pPr>
            <w:r>
              <w:rPr>
                <w:rFonts w:ascii="Calibri" w:hAnsi="Calibri"/>
                <w:b/>
                <w:i w:val="0"/>
                <w:color w:val="212121"/>
                <w:sz w:val="19"/>
              </w:rPr>
              <w:t>Painful cracks/erosions in skin folds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Sore, weeping, macerated groin, inframammary or axillary folds.</w:t>
            </w:r>
          </w:p>
        </w:tc>
      </w:tr>
      <w:tr>
        <w:trPr>
          <w:cantSplit/>
        </w:trPr>
        <w:tc>
          <w:tcPr>
            <w:tcW w:type="dxa" w:w="2304"/>
            <w:vAlign w:val="top"/>
          </w:tcPr>
          <w:p>
            <w:pPr>
              <w:spacing w:after="40" w:before="0" w:line="259" w:lineRule="auto"/>
            </w:pPr>
            <w:r>
              <w:rPr>
                <w:rFonts w:ascii="Calibri" w:hAnsi="Calibri"/>
                <w:b/>
                <w:i w:val="0"/>
                <w:color w:val="212121"/>
                <w:sz w:val="19"/>
              </w:rPr>
              <w:t>Superficial dyspareunia &amp; dysuria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on intercourse and stinging on micturition in vulvovaginal candidiasis.</w:t>
            </w:r>
          </w:p>
        </w:tc>
      </w:tr>
      <w:tr>
        <w:trPr>
          <w:cantSplit/>
        </w:trPr>
        <w:tc>
          <w:tcPr>
            <w:tcW w:type="dxa" w:w="2304"/>
            <w:vAlign w:val="top"/>
          </w:tcPr>
          <w:p>
            <w:pPr>
              <w:spacing w:after="40" w:before="0" w:line="259" w:lineRule="auto"/>
            </w:pPr>
            <w:r>
              <w:rPr>
                <w:rFonts w:ascii="Calibri" w:hAnsi="Calibri"/>
                <w:b/>
                <w:i w:val="0"/>
                <w:color w:val="212121"/>
                <w:sz w:val="19"/>
              </w:rPr>
              <w:t>Altered taste / cottony mouth feel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Accompanies oral thrush; may include loss of taste.</w:t>
            </w:r>
          </w:p>
        </w:tc>
      </w:tr>
      <w:tr>
        <w:trPr>
          <w:cantSplit/>
        </w:trPr>
        <w:tc>
          <w:tcPr>
            <w:tcW w:type="dxa" w:w="2304"/>
            <w:vAlign w:val="top"/>
          </w:tcPr>
          <w:p>
            <w:pPr>
              <w:spacing w:after="40" w:before="0" w:line="259" w:lineRule="auto"/>
            </w:pPr>
            <w:r>
              <w:rPr>
                <w:rFonts w:ascii="Calibri" w:hAnsi="Calibri"/>
                <w:b/>
                <w:i w:val="0"/>
                <w:color w:val="212121"/>
                <w:sz w:val="19"/>
              </w:rPr>
              <w:t>Glans itching/burning with white exudate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Candidal balanitis, especially in diabetic or uncircumcised men.</w:t>
            </w:r>
          </w:p>
        </w:tc>
      </w:tr>
      <w:tr>
        <w:trPr>
          <w:cantSplit/>
        </w:trPr>
        <w:tc>
          <w:tcPr>
            <w:tcW w:type="dxa" w:w="2304"/>
            <w:vAlign w:val="top"/>
          </w:tcPr>
          <w:p>
            <w:pPr>
              <w:spacing w:after="40" w:before="0" w:line="259" w:lineRule="auto"/>
            </w:pPr>
            <w:r>
              <w:rPr>
                <w:rFonts w:ascii="Calibri" w:hAnsi="Calibri"/>
                <w:b/>
                <w:i w:val="0"/>
                <w:color w:val="212121"/>
                <w:sz w:val="19"/>
              </w:rPr>
              <w:t>Painful swallowing (odynophagia)/retrosternal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esophageal extension in the immunocompromised.</w:t>
            </w:r>
          </w:p>
        </w:tc>
      </w:tr>
      <w:tr>
        <w:trPr>
          <w:cantSplit/>
        </w:trPr>
        <w:tc>
          <w:tcPr>
            <w:tcW w:type="dxa" w:w="2304"/>
            <w:vAlign w:val="top"/>
          </w:tcPr>
          <w:p>
            <w:pPr>
              <w:spacing w:after="40" w:before="0" w:line="259" w:lineRule="auto"/>
            </w:pPr>
            <w:r>
              <w:rPr>
                <w:rFonts w:ascii="Calibri" w:hAnsi="Calibri"/>
                <w:b/>
                <w:i w:val="0"/>
                <w:color w:val="212121"/>
                <w:sz w:val="19"/>
              </w:rPr>
              <w:t>Nail-fold pain and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candidal paronychia in those doing wet-work.</w:t>
            </w:r>
          </w:p>
        </w:tc>
      </w:tr>
      <w:tr>
        <w:trPr>
          <w:cantSplit/>
        </w:trPr>
        <w:tc>
          <w:tcPr>
            <w:tcW w:type="dxa" w:w="2304"/>
            <w:vAlign w:val="top"/>
          </w:tcPr>
          <w:p>
            <w:pPr>
              <w:spacing w:after="40" w:before="0" w:line="259" w:lineRule="auto"/>
            </w:pPr>
            <w:r>
              <w:rPr>
                <w:rFonts w:ascii="Calibri" w:hAnsi="Calibri"/>
                <w:b/>
                <w:i w:val="0"/>
                <w:color w:val="212121"/>
                <w:sz w:val="19"/>
              </w:rPr>
              <w:t>Napkin-area rash with discomfort (infants)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Candidal diaper dermatitis with outlying satellite lesions.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Scrapable white pseudomembranous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Wipe away to reveal an erythematous, sometimes bleeding base (oral thrush).</w:t>
            </w:r>
          </w:p>
        </w:tc>
      </w:tr>
      <w:tr>
        <w:trPr>
          <w:cantSplit/>
        </w:trPr>
        <w:tc>
          <w:tcPr>
            <w:tcW w:type="dxa" w:w="3456"/>
            <w:vAlign w:val="top"/>
          </w:tcPr>
          <w:p>
            <w:pPr>
              <w:spacing w:after="40" w:before="0" w:line="259" w:lineRule="auto"/>
            </w:pPr>
            <w:r>
              <w:rPr>
                <w:rFonts w:ascii="Calibri" w:hAnsi="Calibri"/>
                <w:b/>
                <w:i w:val="0"/>
                <w:color w:val="212121"/>
                <w:sz w:val="19"/>
              </w:rPr>
              <w:t>Satellite papules and pustules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Outlying lesions beyond the main red plaque — near-pathognomonic of cutaneous candidiasis.</w:t>
            </w:r>
          </w:p>
        </w:tc>
      </w:tr>
      <w:tr>
        <w:trPr>
          <w:cantSplit/>
        </w:trPr>
        <w:tc>
          <w:tcPr>
            <w:tcW w:type="dxa" w:w="3456"/>
            <w:vAlign w:val="top"/>
          </w:tcPr>
          <w:p>
            <w:pPr>
              <w:spacing w:after="40" w:before="0" w:line="259" w:lineRule="auto"/>
            </w:pPr>
            <w:r>
              <w:rPr>
                <w:rFonts w:ascii="Calibri" w:hAnsi="Calibri"/>
                <w:b/>
                <w:i w:val="0"/>
                <w:color w:val="212121"/>
                <w:sz w:val="19"/>
              </w:rPr>
              <w:t>Beefy-red macerated intertriginous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Glazed erythema with peripheral scaling/maceration in body folds.</w:t>
            </w:r>
          </w:p>
        </w:tc>
      </w:tr>
      <w:tr>
        <w:trPr>
          <w:cantSplit/>
        </w:trPr>
        <w:tc>
          <w:tcPr>
            <w:tcW w:type="dxa" w:w="3456"/>
            <w:vAlign w:val="top"/>
          </w:tcPr>
          <w:p>
            <w:pPr>
              <w:spacing w:after="40" w:before="0" w:line="259" w:lineRule="auto"/>
            </w:pPr>
            <w:r>
              <w:rPr>
                <w:rFonts w:ascii="Calibri" w:hAnsi="Calibri"/>
                <w:b/>
                <w:i w:val="0"/>
                <w:color w:val="212121"/>
                <w:sz w:val="19"/>
              </w:rPr>
              <w:t>Thick white adherent discharge with vulval erythema and normal pH (4–4.5)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vulvovaginal candidiasis on speculum exam.</w:t>
            </w:r>
          </w:p>
        </w:tc>
      </w:tr>
      <w:tr>
        <w:trPr>
          <w:cantSplit/>
        </w:trPr>
        <w:tc>
          <w:tcPr>
            <w:tcW w:type="dxa" w:w="3456"/>
            <w:vAlign w:val="top"/>
          </w:tcPr>
          <w:p>
            <w:pPr>
              <w:spacing w:after="40" w:before="0" w:line="259" w:lineRule="auto"/>
            </w:pPr>
            <w:r>
              <w:rPr>
                <w:rFonts w:ascii="Calibri" w:hAnsi="Calibri"/>
                <w:b/>
                <w:i w:val="0"/>
                <w:color w:val="212121"/>
                <w:sz w:val="19"/>
              </w:rPr>
              <w:t>Angular cheilitis (perlèche)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Erythematous fissures at the oral commissures.</w:t>
            </w:r>
          </w:p>
        </w:tc>
      </w:tr>
      <w:tr>
        <w:trPr>
          <w:cantSplit/>
        </w:trPr>
        <w:tc>
          <w:tcPr>
            <w:tcW w:type="dxa" w:w="3456"/>
            <w:vAlign w:val="top"/>
          </w:tcPr>
          <w:p>
            <w:pPr>
              <w:spacing w:after="40" w:before="0" w:line="259" w:lineRule="auto"/>
            </w:pPr>
            <w:r>
              <w:rPr>
                <w:rFonts w:ascii="Calibri" w:hAnsi="Calibri"/>
                <w:b/>
                <w:i w:val="0"/>
                <w:color w:val="212121"/>
                <w:sz w:val="19"/>
              </w:rPr>
              <w:t>Erythematous (atrophic) palate beneath dentures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Denture-associated stomatitis.</w:t>
            </w:r>
          </w:p>
        </w:tc>
      </w:tr>
      <w:tr>
        <w:trPr>
          <w:cantSplit/>
        </w:trPr>
        <w:tc>
          <w:tcPr>
            <w:tcW w:type="dxa" w:w="3456"/>
            <w:vAlign w:val="top"/>
          </w:tcPr>
          <w:p>
            <w:pPr>
              <w:spacing w:after="40" w:before="0" w:line="259" w:lineRule="auto"/>
            </w:pPr>
            <w:r>
              <w:rPr>
                <w:rFonts w:ascii="Calibri" w:hAnsi="Calibri"/>
                <w:b/>
                <w:i w:val="0"/>
                <w:color w:val="212121"/>
                <w:sz w:val="19"/>
              </w:rPr>
              <w:t>Positive KOH microscopy (budding yeast + pseudohyphae)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mycological confirmation.</w:t>
            </w:r>
          </w:p>
        </w:tc>
      </w:tr>
      <w:tr>
        <w:trPr>
          <w:cantSplit/>
        </w:trPr>
        <w:tc>
          <w:tcPr>
            <w:tcW w:type="dxa" w:w="3456"/>
            <w:vAlign w:val="top"/>
          </w:tcPr>
          <w:p>
            <w:pPr>
              <w:spacing w:after="40" w:before="0" w:line="259" w:lineRule="auto"/>
            </w:pPr>
            <w:r>
              <w:rPr>
                <w:rFonts w:ascii="Calibri" w:hAnsi="Calibri"/>
                <w:b/>
                <w:i w:val="0"/>
                <w:color w:val="212121"/>
                <w:sz w:val="19"/>
              </w:rPr>
              <w:t>Median rhomboid glossitis / depapillated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Central rhomboid atrophy of the dorsal tongue.</w:t>
            </w:r>
          </w:p>
        </w:tc>
      </w:tr>
      <w:tr>
        <w:trPr>
          <w:cantSplit/>
        </w:trPr>
        <w:tc>
          <w:tcPr>
            <w:tcW w:type="dxa" w:w="3456"/>
            <w:vAlign w:val="top"/>
          </w:tcPr>
          <w:p>
            <w:pPr>
              <w:spacing w:after="40" w:before="0" w:line="259" w:lineRule="auto"/>
            </w:pPr>
            <w:r>
              <w:rPr>
                <w:rFonts w:ascii="Calibri" w:hAnsi="Calibri"/>
                <w:b/>
                <w:i w:val="0"/>
                <w:color w:val="212121"/>
                <w:sz w:val="19"/>
              </w:rPr>
              <w:t>Candidal paronychia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swollen, tender proximal nail fold with cuticle loss.</w:t>
            </w:r>
          </w:p>
        </w:tc>
      </w:tr>
      <w:tr>
        <w:trPr>
          <w:cantSplit/>
        </w:trPr>
        <w:tc>
          <w:tcPr>
            <w:tcW w:type="dxa" w:w="3456"/>
            <w:vAlign w:val="top"/>
          </w:tcPr>
          <w:p>
            <w:pPr>
              <w:spacing w:after="40" w:before="0" w:line="259" w:lineRule="auto"/>
            </w:pPr>
            <w:r>
              <w:rPr>
                <w:rFonts w:ascii="Calibri" w:hAnsi="Calibri"/>
                <w:b/>
                <w:i w:val="0"/>
                <w:color w:val="212121"/>
                <w:sz w:val="19"/>
              </w:rPr>
              <w:t>Glans/prepuce erythema with white exudate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Candidal balanoposthitis, frequently in diabetics.</w:t>
            </w:r>
          </w:p>
        </w:tc>
      </w:tr>
      <w:tr>
        <w:trPr>
          <w:cantSplit/>
        </w:trPr>
        <w:tc>
          <w:tcPr>
            <w:tcW w:type="dxa" w:w="3456"/>
            <w:vAlign w:val="top"/>
          </w:tcPr>
          <w:p>
            <w:pPr>
              <w:spacing w:after="40" w:before="0" w:line="259" w:lineRule="auto"/>
            </w:pPr>
            <w:r>
              <w:rPr>
                <w:rFonts w:ascii="Calibri" w:hAnsi="Calibri"/>
                <w:b/>
                <w:i w:val="0"/>
                <w:color w:val="212121"/>
                <w:sz w:val="19"/>
              </w:rPr>
              <w:t>Thickened, dystrophic nails / onycholysis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Candidal onychomycosis in chronic disease or CMC.</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extension with confluent, painful erosions and fissuring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superinfection and cellulitis of macerated folds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chronic persistent candidiasis (e.g., RVVC ≥ 4 episodes/year)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pruritus, dyspareunia and impaired quality of life and sleep</w:t>
            </w:r>
          </w:p>
        </w:tc>
        <w:tc>
          <w:tcPr>
            <w:tcW w:type="dxa" w:w="2980"/>
            <w:vAlign w:val="top"/>
          </w:tcPr>
          <w:p>
            <w:pPr>
              <w:spacing w:after="40" w:before="0" w:line="259" w:lineRule="auto"/>
            </w:pPr>
            <w:r>
              <w:rPr>
                <w:rFonts w:ascii="Calibri" w:hAnsi="Calibri"/>
                <w:b w:val="0"/>
                <w:i w:val="0"/>
                <w:color w:val="212121"/>
                <w:sz w:val="19"/>
              </w:rPr>
              <w:t>Direct local consequences of mucocutaneous Candida overgrowth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Esophageal candidiasis (odynophagia, reduced intake) in the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mucocutaneous candidiasis with nail dystrophy and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Candidal onychomycosis and chronic paronychia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Phimosis / meatal stenosis from recurrent balanoposthitis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Azole tolerance/resistance and selection of non-albicans species after repeated therapy</w:t>
            </w:r>
          </w:p>
        </w:tc>
        <w:tc>
          <w:tcPr>
            <w:tcW w:type="dxa" w:w="2980"/>
            <w:vAlign w:val="top"/>
          </w:tcPr>
          <w:p>
            <w:pPr>
              <w:spacing w:after="40" w:before="0" w:line="259" w:lineRule="auto"/>
            </w:pPr>
            <w:r>
              <w:rPr>
                <w:rFonts w:ascii="Calibri" w:hAnsi="Calibri"/>
                <w:b w:val="0"/>
                <w:i w:val="0"/>
                <w:color w:val="212121"/>
                <w:sz w:val="19"/>
              </w:rPr>
              <w:t>Extension, chronicity and therapy-related consequences, usually in predisposed hosts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Invasive/disseminated candidiasis and candidemia in the severely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Candidal sepsis with multi-organ involvement and high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Failure to thrive in neonates with severe oral/systemic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candidiasis as the sentinel presentation of undiagnosed diabetes or HIV/AIDS</w:t>
            </w:r>
          </w:p>
        </w:tc>
        <w:tc>
          <w:tcPr>
            <w:tcW w:type="dxa" w:w="2980"/>
            <w:vAlign w:val="top"/>
          </w:tcPr>
          <w:p>
            <w:pPr>
              <w:spacing w:after="40" w:before="0" w:line="259" w:lineRule="auto"/>
            </w:pPr>
            <w:r>
              <w:rPr>
                <w:rFonts w:ascii="Calibri" w:hAnsi="Calibri"/>
                <w:b w:val="0"/>
                <w:i w:val="0"/>
                <w:color w:val="212121"/>
                <w:sz w:val="19"/>
              </w:rPr>
              <w:t>Rare but life-threatening systemic outcomes and major underlying-disease implications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and glycosuria promote Candida adhesion and growth and impair neutrophil function; diabetes is the leading comorbidity, and recurrent candidiasis may be its first sign.</w:t>
            </w:r>
          </w:p>
          <w:p>
            <w:pPr>
              <w:spacing w:after="40" w:before="0" w:line="259" w:lineRule="auto"/>
            </w:pPr>
            <w:r>
              <w:rPr>
                <w:rFonts w:ascii="Calibri" w:hAnsi="Calibri"/>
                <w:b/>
                <w:i w:val="0"/>
                <w:color w:val="212121"/>
                <w:sz w:val="19"/>
              </w:rPr>
              <w:t>Up to 62.8%</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falling CD4 count impairs Th17/IL-17 mucosal immunity; oral and esophageal candidiasis are early, often AIDS-defining, infections.</w:t>
            </w:r>
          </w:p>
          <w:p>
            <w:pPr>
              <w:spacing w:after="40" w:before="0" w:line="259" w:lineRule="auto"/>
            </w:pPr>
            <w:r>
              <w:rPr>
                <w:rFonts w:ascii="Calibri" w:hAnsi="Calibri"/>
                <w:b/>
                <w:i w:val="0"/>
                <w:color w:val="212121"/>
                <w:sz w:val="19"/>
              </w:rPr>
              <w:t>~20%</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Deep, moist skin folds plus insulin resistance strongly predispose to candidal intertrigo and vulvovaginal candidiasis.</w:t>
            </w:r>
          </w:p>
          <w:p>
            <w:pPr>
              <w:spacing w:after="40" w:before="0" w:line="259" w:lineRule="auto"/>
            </w:pPr>
            <w:r>
              <w:rPr>
                <w:rFonts w:ascii="Calibri" w:hAnsi="Calibri"/>
                <w:b/>
                <w:i w:val="0"/>
                <w:color w:val="212121"/>
                <w:sz w:val="19"/>
              </w:rPr>
              <w:t>Up to 54%</w:t>
            </w:r>
          </w:p>
        </w:tc>
      </w:tr>
      <w:tr>
        <w:trPr>
          <w:cantSplit/>
        </w:trPr>
        <w:tc>
          <w:tcPr>
            <w:tcW w:type="dxa" w:w="2232"/>
            <w:vAlign w:val="top"/>
          </w:tcPr>
          <w:p>
            <w:pPr>
              <w:spacing w:after="40" w:before="0" w:line="259" w:lineRule="auto"/>
            </w:pPr>
            <w:r>
              <w:rPr>
                <w:rFonts w:ascii="Calibri" w:hAnsi="Calibri"/>
                <w:b/>
                <w:i w:val="0"/>
                <w:color w:val="212121"/>
                <w:sz w:val="19"/>
              </w:rPr>
              <w:t>Iron-deficiency anaemia &amp; micronutrient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Impaired epithelial and immune defence predisposes to angular cheilitis and chronic oral candidiasis; highly prevalent in India.</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with VVC and is a component of autoimmune polyendocrine syndrome (APECED) alongside chronic mucocutaneous candidiasis.</w:t>
            </w:r>
          </w:p>
          <w:p>
            <w:pPr>
              <w:spacing w:after="40" w:before="0" w:line="259" w:lineRule="auto"/>
            </w:pPr>
            <w:r>
              <w:rPr>
                <w:rFonts w:ascii="Calibri" w:hAnsi="Calibri"/>
                <w:b/>
                <w:i w:val="0"/>
                <w:color w:val="212121"/>
                <w:sz w:val="19"/>
              </w:rPr>
              <w:t>~24.5%</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Insulin resistance and metabolic dysfunction raise the risk of genital candidiasis.</w:t>
            </w:r>
          </w:p>
          <w:p>
            <w:pPr>
              <w:spacing w:after="40" w:before="0" w:line="259" w:lineRule="auto"/>
            </w:pPr>
            <w:r>
              <w:rPr>
                <w:rFonts w:ascii="Calibri" w:hAnsi="Calibri"/>
                <w:b/>
                <w:i w:val="0"/>
                <w:color w:val="212121"/>
                <w:sz w:val="19"/>
              </w:rPr>
              <w:t>~7.7%</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risk factors (diabetes, hygiene, antibiotics) with, and frequently co-occurs with, vulvovaginal candidiasis.</w:t>
            </w:r>
          </w:p>
          <w:p>
            <w:pPr>
              <w:spacing w:after="40" w:before="0" w:line="259" w:lineRule="auto"/>
            </w:pPr>
            <w:r>
              <w:rPr>
                <w:rFonts w:ascii="Calibri" w:hAnsi="Calibri"/>
                <w:b/>
                <w:i w:val="0"/>
                <w:color w:val="212121"/>
                <w:sz w:val="19"/>
              </w:rPr>
              <w:t>~20%</w:t>
            </w:r>
          </w:p>
        </w:tc>
      </w:tr>
      <w:tr>
        <w:trPr>
          <w:cantSplit/>
        </w:trPr>
        <w:tc>
          <w:tcPr>
            <w:tcW w:type="dxa" w:w="2232"/>
            <w:vAlign w:val="top"/>
          </w:tcPr>
          <w:p>
            <w:pPr>
              <w:spacing w:after="40" w:before="0" w:line="259" w:lineRule="auto"/>
            </w:pPr>
            <w:r>
              <w:rPr>
                <w:rFonts w:ascii="Calibri" w:hAnsi="Calibri"/>
                <w:b/>
                <w:i w:val="0"/>
                <w:color w:val="212121"/>
                <w:sz w:val="19"/>
              </w:rPr>
              <w:t>Denture-associated stomatitis / edentulism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Denture occlusion, poor denture hygiene and xerostomia sustain palatal Candida in the elderly.</w:t>
            </w:r>
          </w:p>
        </w:tc>
      </w:tr>
      <w:tr>
        <w:trPr>
          <w:cantSplit/>
        </w:trPr>
        <w:tc>
          <w:tcPr>
            <w:tcW w:type="dxa" w:w="2232"/>
            <w:vAlign w:val="top"/>
          </w:tcPr>
          <w:p>
            <w:pPr>
              <w:spacing w:after="40" w:before="0" w:line="259" w:lineRule="auto"/>
            </w:pPr>
            <w:r>
              <w:rPr>
                <w:rFonts w:ascii="Calibri" w:hAnsi="Calibri"/>
                <w:b/>
                <w:i w:val="0"/>
                <w:color w:val="212121"/>
                <w:sz w:val="19"/>
              </w:rPr>
              <w:t>Antibiotic / corticosteroid &amp; immunosuppressive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Broad-spectrum antibiotics, inhaled/systemic steroids, chemotherapy and oral contraceptives disrupt flora and immunity and precipitate candidiasis.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folds (groin, under the breasts, abdomen, armpits, between the toes) clean and thoroughly dry; pat dry after bathing and after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cotton clothing and innerwear; change out of damp, sweaty or wet clothes and swimwear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diabetes screening and maintain good glycaemic control — recurrent thrush, VVC or intertrigo can be the first sign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antibiotics and corticosteroids (including inhalers and over-the-counter skin creams) only when prescribed, and rinse the mouth after inhaled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oral and denture hygiene — clean dentures and remove them overnight, and treat angular cheilitis and iron/vitamin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care early for persistent itch, white plaques or curd-like discharge rather than self-medicating with steroid–antifungal combination creams.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 HIV</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topical antifungal course (e.g., clotrimazole, miconazole or nystatin) and treat the whole affected area, not just symptomatic spots.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oral thrush use topical nystatin/clotrimazole; escalate to oral fluconazole for moderate–severe, esophageal or immunocompromised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prefer topical azoles and avoid oral fluconazole.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recurrent VVC follow an induction plus maintenance/suppressive regimen and correct underlying triggers (diabetes, antibiotics, tight clothing).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Disinfect dentures, replace worn toothbrushes and keep affected skin dry as an integral part of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antifungal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(≥150 min/week of moderate activity) to reduce deep moist skin folds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dry thoroughly after workouts; avoid staying in sweaty gym clothes or tight synthetic sportswear.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moisture-wicking clothing and absorbent/antifungal powders in fold areas for those prone to intertrigo.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central obesity, target a gradual 5–10% weight loss to lower both diabetes and candidal intertrigo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Humid-climate &amp; 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added sugar, sweets and sugar-sweetened beverages and refined carbohydrates that raise blood glucose and feed Candida.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pulses, vegetables and adequate protein to support immunity and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folate and vitamin B12 deficiency (common in India) to reduce angular cheilitis and chronic oral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unsweetened probiotic curd/yoghurt as an adjunct in recurrent VVC (modest evidence).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Tighten glycaemic control (diet plus medication) in diabetics with recurrent or refractory candidiasis — often the key to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high-glycaemic snacking during an active episode and while on antifungal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hydration and nutrition to support mucosal healing in oral/esophageal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 with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with oral thrush</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glycaemic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conditions that fragment sleep (nocturnal itch, poorly controlled diabetes) which can perpetuate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reduce oral Candida carriage, chronic hyperplastic candidiasis and denture stomatitis.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nicotine-replacement and behavioural support plus dental review to smokers with recurrent oral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oral hygiene and denture care in smokers who wear dentures.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 chronic hyperplastic candidiasis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the malnutrition, immune impairment and poor oral hygiene that predispose to oral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heavy drinkers for nutritional deficiency, diabetes and oral thrush.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chronic stress that can impair immunity and self-care and support adherence to diabetes and antifungal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reassurance for recurrent VVC, which commonly causes anxiety and sexual/relationship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stressed/anxious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candidiasis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iotech-asia.org/vol20no1/assessment-of-risk-factors-for-developing-vulvovaginal-candidiasis-among-women-at-various-age-groups/" TargetMode="External"/><Relationship Id="rId10" Type="http://schemas.openxmlformats.org/officeDocument/2006/relationships/hyperlink" Target="https://www.mdpi.com/2309-608X/10/5/328" TargetMode="External"/><Relationship Id="rId11" Type="http://schemas.openxmlformats.org/officeDocument/2006/relationships/hyperlink" Target="https://www.ncbi.nlm.nih.gov/books/NBK560624/" TargetMode="External"/><Relationship Id="rId12" Type="http://schemas.openxmlformats.org/officeDocument/2006/relationships/hyperlink" Target="https://academic.oup.com/ofid/article/9/12/ofac603/6960896" TargetMode="External"/><Relationship Id="rId13" Type="http://schemas.openxmlformats.org/officeDocument/2006/relationships/hyperlink" Target="https://www.ncbi.nlm.nih.gov/books/NBK531489/" TargetMode="External"/><Relationship Id="rId14" Type="http://schemas.openxmlformats.org/officeDocument/2006/relationships/hyperlink" Target="https://njmr.in/index.php/file/article/view/1342" TargetMode="External"/><Relationship Id="rId15" Type="http://schemas.openxmlformats.org/officeDocument/2006/relationships/hyperlink" Target="https://link.springer.com/article/10.1007/s12070-018-1342-3" TargetMode="External"/><Relationship Id="rId16" Type="http://schemas.openxmlformats.org/officeDocument/2006/relationships/hyperlink" Target="https://www.thelancet.com/journals/landia/article/PIIS2213-8587(23)00119-5/ful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