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Cellulitis / Erysipelas</w:t>
      </w:r>
    </w:p>
    <w:p>
      <w:pPr>
        <w:spacing w:before="0" w:after="160"/>
      </w:pPr>
      <w:r>
        <w:rPr>
          <w:rFonts w:ascii="Calibri" w:hAnsi="Calibri"/>
          <w:b/>
          <w:i w:val="0"/>
          <w:color w:val="212121"/>
          <w:sz w:val="22"/>
        </w:rPr>
        <w:t xml:space="preserve">AKA </w:t>
      </w:r>
      <w:r>
        <w:rPr>
          <w:rFonts w:ascii="Calibri" w:hAnsi="Calibri"/>
          <w:b w:val="0"/>
          <w:i w:val="0"/>
          <w:color w:val="212121"/>
          <w:sz w:val="22"/>
        </w:rPr>
        <w:t>i.e., Skin infection, Acute bacterial skin &amp; soft-tissue infection (SSTI), Erysipelas (“St. Anthony’s Fire”), Acute dermatolymphangioadenitis (ADLA) in filarial limbs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Cellulitis and erysipelas are acute, spreading bacterial infections of the skin and underlying soft tissue, usually caused by β-haemolytic streptococci (chiefly Streptococcus pyogenes) and Staphylococcus aureus entering through a breach in the skin barrier. Cellulitis involves the deeper dermis and subcutaneous fat and produces a poorly demarcated, warm, tender, erythematous, swollen area — most often on one lower leg. Erysipelas is a more superficial form confined to the upper dermis and superficial lymphatics, producing a raised, sharply demarcated, brightly erythematous plaque (classically on the face or shin). Both are essentially a clinical diagnosis and lie on the same disease spectrum.</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Cellulitis and erysipelas are among the commonest skin and soft-tissue infections seen in Indian outpatient, emergency and surgical practice, and the lower leg is the usual site. A precise population prevalence for India is not well quantified, but the at-risk pool is very large because two of the strongest predisposing conditions — diabetes mellitus and lymphatic filariasis — are highly prevalent here. India carries a heavy share of the global filariasis burden; worldwide the WHO estimates over 36 million people live with chronic filarial disease, including more than 15 million with lymphoedema, a limb state in which recurrent bacterial “acute attacks” (acute dermatolymphangioadenitis) are the principal complication. Recurrence after a first episode is common — about one-third of patients, and up to ~49% in some cohorts.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Cellulitis and erysipelas are diagnosed clinically; investigations support severity assessment and complication detection rather than confirming the diagnosis. Supportive features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acute onset of a spreading, warm, tender, erythematous and swollen area of skin, usually unilateral and most often on the lower leg (erysipelas shows a raised, sharply demarcated edge; cellulitis has a poorly defined border);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two of the four cardinal local features — warmth, erythema, oedema and tenderness;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systemic features supporting infection — fever, chills/rigors, malaise, tachycardia — which in erysipelas may precede the skin signs by up to 48 hours;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identifiable portal of entry (interdigital tinea/toe-web maceration, trauma, leg ulcer, insect bite, injection or surgical wound) and, when present, ascending lymphangitis (a red streak) with tender regional lymphadenopathy;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but non-diagnostic laboratory findings (neutrophil leucocytosis, raised CRP/ESR); blood cultures are low-yield (&lt;5–10% positive) and reserved for systemic toxicity or immunocompromise, while pus/wound cultures are taken when an abscess or open wound exists;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urgent surgical evaluation (± CT/MRI) when necrotizing infection is suspected — pain out of proportion, rapid progression, dusky or haemorrhagic bullae, crepitus, or systemic toxicity.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Cellulitis and erysipelas are grouped by anatomical depth, clinical severity, site and course:</w:t>
      </w:r>
    </w:p>
    <w:p>
      <w:pPr>
        <w:spacing w:before="0" w:after="80"/>
      </w:pPr>
      <w:r>
        <w:rPr>
          <w:rFonts w:ascii="Calibri" w:hAnsi="Calibri"/>
          <w:b w:val="0"/>
          <w:i w:val="0"/>
          <w:color w:val="212121"/>
          <w:sz w:val="21"/>
        </w:rPr>
        <w:t>(1) By depth — Erysipelas involves the upper dermis and superficial lymphatics, giving a raised, sharply demarcated, intensely red plaque (“St. Anthony’s Fire”), whereas classic cellulitis involves the deeper dermis and subcutis with a poorly demarcated, flatter edge; the two overlap and are frequently managed together.</w:t>
      </w:r>
    </w:p>
    <w:p>
      <w:pPr>
        <w:spacing w:before="0" w:after="80"/>
      </w:pPr>
      <w:r>
        <w:rPr>
          <w:rFonts w:ascii="Calibri" w:hAnsi="Calibri"/>
          <w:b w:val="0"/>
          <w:i w:val="0"/>
          <w:color w:val="212121"/>
          <w:sz w:val="21"/>
        </w:rPr>
        <w:t>(2) By severity (Eron / CREST classification) — Class I: no systemic toxicity or uncontrolled comorbidity; Class II: systemically unwell or with a comorbidity (e.g. venous disease, peripheral arterial disease) that may slow resolution; Class III: significant systemic toxicity or unstable comorbidity; Class IV: sepsis or life-threatening infection such as necrotizing fasciitis.</w:t>
      </w:r>
    </w:p>
    <w:p>
      <w:pPr>
        <w:spacing w:before="0" w:after="80"/>
      </w:pPr>
      <w:r>
        <w:rPr>
          <w:rFonts w:ascii="Calibri" w:hAnsi="Calibri"/>
          <w:b w:val="0"/>
          <w:i w:val="0"/>
          <w:color w:val="212121"/>
          <w:sz w:val="21"/>
        </w:rPr>
        <w:t>(3) By site — lower-limb cellulitis (commonest), facial/periorbital and orbital cellulitis (sight- and life-threatening), perianal, and special forms after animal bites or water/marine exposure (Pasteurella, Vibrio vulnificus, Aeromonas).</w:t>
      </w:r>
    </w:p>
    <w:p>
      <w:pPr>
        <w:spacing w:before="0" w:after="80"/>
      </w:pPr>
      <w:r>
        <w:rPr>
          <w:rFonts w:ascii="Calibri" w:hAnsi="Calibri"/>
          <w:b w:val="0"/>
          <w:i w:val="0"/>
          <w:color w:val="212121"/>
          <w:sz w:val="21"/>
        </w:rPr>
        <w:t>(4) By course — single episode versus recurrent cellulitis (≥2 episodes), typically on a background of lymphoedema or chronic venous insufficiency; in filariasis-endemic India this includes recurrent filarial acute dermatolymphangioadenitis (ADLA/ADL).</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Bacterial invasion through a skin breach: β-haemolytic streptococci (mainly Group A Streptococcus pyogenes; also groups B, C, G) and Staphylococcus aureus — including MRSA — are the predominant pathogens; S. pyogenes accounts for roughly two-thirds and S. aureus about one-third of cases.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Portal of entry: interdigital tinea pedis/toe-web intertrigo, cracked heels, trauma, insect bites, leg ulcers, eczema and surgical or injection sites — the commonest identifiable trigger, especially in a hot, humid climate that promotes dermatophyte maceration.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Lymphatic and venous compromise: lymphoedema (filarial or post-surgical), chronic venous insufficiency and dependent leg oedema impair local immune clearance and strongly predispose to first and recurrent episodes.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Impaired host defence: diabetes mellitus, obesity, peripheral arterial disease, immunosuppression, HIV, and chronic kidney or liver disease.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Prior cellulitis: a previous episode markedly raises recurrence risk because each attack further damages lymphatics, creating a self-perpetuating cycle.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Atypical organisms in specific exposures: Pasteurella multocida (animal bites), Vibrio vulnificus and Aeromonas (water/marine and aquaculture contact), and gram-negatives/anaerobes in immunocompromised hosts and diabetic feet.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(middle-aged)</w:t>
            </w:r>
          </w:p>
        </w:tc>
        <w:tc>
          <w:tcPr>
            <w:tcW w:type="dxa" w:w="4276"/>
            <w:vAlign w:val="top"/>
          </w:tcPr>
          <w:p>
            <w:pPr>
              <w:spacing w:after="60" w:line="259" w:lineRule="auto"/>
            </w:pPr>
            <w:r>
              <w:rPr>
                <w:rFonts w:ascii="Calibri" w:hAnsi="Calibri"/>
                <w:b w:val="0"/>
                <w:i w:val="0"/>
                <w:color w:val="212121"/>
                <w:sz w:val="19"/>
              </w:rPr>
              <w:t>Cellulitis is most common in middle-aged and older adults, reflecting cumulative venous disease, prior skin trauma, occupational injury and rising rates of diabetes and obesity that breach or weaken the skin barrier.</w:t>
            </w:r>
          </w:p>
          <w:p>
            <w:pPr>
              <w:spacing w:after="40" w:before="60" w:line="259" w:lineRule="auto"/>
            </w:pPr>
            <w:r>
              <w:rPr>
                <w:rFonts w:ascii="Calibri" w:hAnsi="Calibri"/>
                <w:b w:val="0"/>
                <w:i w:val="0"/>
                <w:color w:val="212121"/>
                <w:sz w:val="19"/>
              </w:rPr>
              <w:t>Reported at roughly 50 cases per 1,000 patient-years, with over 14 million cases annually in the United States; no significant overall gender difference.</w:t>
            </w:r>
          </w:p>
          <w:p>
            <w:pPr>
              <w:spacing w:after="40" w:line="252" w:lineRule="auto"/>
            </w:pPr>
            <w:hyperlink r:id="rId9">
              <w:r>
                <w:rPr>
                  <w:rFonts w:ascii="Calibri" w:hAnsi="Calibri" w:cs="Calibri"/>
                  <w:sz w:val="18"/>
                  <w:color w:val="1155CC"/>
                  <w:u w:val="single"/>
                </w:rPr>
                <w:t xml:space="preserve">ncbi.nlm.nih.gov — StatPearls: Cellulitis</w:t>
              </w:r>
            </w:hyperlink>
          </w:p>
          <w:p>
            <w:pPr>
              <w:spacing w:before="60" w:after="40"/>
            </w:pPr>
            <w:r>
              <w:rPr>
                <w:rFonts w:ascii="Calibri" w:hAnsi="Calibri"/>
                <w:b w:val="0"/>
                <w:i w:val="0"/>
                <w:color w:val="5A5A5A"/>
                <w:sz w:val="18"/>
              </w:rPr>
              <w:t>#cellulitis  #SSTI  #lowerlimb  #skinbarrier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Erysipelas and cellulitis cluster at the extremes of age. Skin fragility, immunosenescence, venous insufficiency, dependent oedema, reduced mobility and diabetes make older adults both more susceptible and more likely to be admitted.</w:t>
            </w:r>
          </w:p>
          <w:p>
            <w:pPr>
              <w:spacing w:after="40" w:before="60" w:line="259" w:lineRule="auto"/>
            </w:pPr>
            <w:r>
              <w:rPr>
                <w:rFonts w:ascii="Calibri" w:hAnsi="Calibri"/>
                <w:b w:val="0"/>
                <w:i w:val="0"/>
                <w:color w:val="212121"/>
                <w:sz w:val="19"/>
              </w:rPr>
              <w:t>Erysipelas is most common in the extremes of age; older patients more often require hospitalization and have higher recurrence.</w:t>
            </w:r>
          </w:p>
          <w:p>
            <w:pPr>
              <w:spacing w:after="40" w:line="252" w:lineRule="auto"/>
            </w:pPr>
            <w:hyperlink r:id="rId10">
              <w:r>
                <w:rPr>
                  <w:rFonts w:ascii="Calibri" w:hAnsi="Calibri" w:cs="Calibri"/>
                  <w:sz w:val="18"/>
                  <w:color w:val="1155CC"/>
                  <w:u w:val="single"/>
                </w:rPr>
                <w:t xml:space="preserve">ncbi.nlm.nih.gov — StatPearls: Erysipelas</w:t>
              </w:r>
            </w:hyperlink>
          </w:p>
          <w:p>
            <w:pPr>
              <w:spacing w:before="60" w:after="40"/>
            </w:pPr>
            <w:r>
              <w:rPr>
                <w:rFonts w:ascii="Calibri" w:hAnsi="Calibri"/>
                <w:b w:val="0"/>
                <w:i w:val="0"/>
                <w:color w:val="5A5A5A"/>
                <w:sz w:val="18"/>
              </w:rPr>
              <w:t>#elderly  #immunosenescence  #venousdisease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 (occupational) / Females (venous &amp; post-surgical)</w:t>
            </w:r>
          </w:p>
        </w:tc>
        <w:tc>
          <w:tcPr>
            <w:tcW w:type="dxa" w:w="4276"/>
            <w:vAlign w:val="top"/>
          </w:tcPr>
          <w:p>
            <w:pPr>
              <w:spacing w:after="60" w:line="259" w:lineRule="auto"/>
            </w:pPr>
            <w:r>
              <w:rPr>
                <w:rFonts w:ascii="Calibri" w:hAnsi="Calibri"/>
                <w:b w:val="0"/>
                <w:i w:val="0"/>
                <w:color w:val="212121"/>
                <w:sz w:val="19"/>
              </w:rPr>
              <w:t>Overall cellulitis shows no strong sex difference. In Indian practice men in manual/agricultural work and barefoot walkers acquire more trauma-related portals of entry, while lower-limb venous erysipelas and post-mastectomy arm cellulitis skew female.</w:t>
            </w:r>
          </w:p>
          <w:p>
            <w:pPr>
              <w:spacing w:after="40" w:before="60" w:line="259" w:lineRule="auto"/>
            </w:pPr>
            <w:r>
              <w:rPr>
                <w:rFonts w:ascii="Calibri" w:hAnsi="Calibri"/>
                <w:b w:val="0"/>
                <w:i w:val="0"/>
                <w:color w:val="212121"/>
                <w:sz w:val="19"/>
              </w:rPr>
              <w:t>Population studies report no significant gender difference in cellulitis incidence.</w:t>
            </w:r>
          </w:p>
          <w:p>
            <w:pPr>
              <w:spacing w:after="40" w:line="252" w:lineRule="auto"/>
            </w:pPr>
            <w:hyperlink r:id="rId9">
              <w:r>
                <w:rPr>
                  <w:rFonts w:ascii="Calibri" w:hAnsi="Calibri" w:cs="Calibri"/>
                  <w:sz w:val="18"/>
                  <w:color w:val="1155CC"/>
                  <w:u w:val="single"/>
                </w:rPr>
                <w:t xml:space="preserve">ncbi.nlm.nih.gov — StatPearls: Cellulitis</w:t>
              </w:r>
            </w:hyperlink>
          </w:p>
          <w:p>
            <w:pPr>
              <w:spacing w:before="60" w:after="40"/>
            </w:pPr>
            <w:r>
              <w:rPr>
                <w:rFonts w:ascii="Calibri" w:hAnsi="Calibri"/>
                <w:b w:val="0"/>
                <w:i w:val="0"/>
                <w:color w:val="5A5A5A"/>
                <w:sz w:val="18"/>
              </w:rPr>
              <w:t>#occupationaltrauma  #postmastectomy  #venous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&amp; manual labourers</w:t>
            </w:r>
          </w:p>
        </w:tc>
        <w:tc>
          <w:tcPr>
            <w:tcW w:type="dxa" w:w="4276"/>
            <w:vAlign w:val="top"/>
          </w:tcPr>
          <w:p>
            <w:pPr>
              <w:spacing w:after="60" w:line="259" w:lineRule="auto"/>
            </w:pPr>
            <w:r>
              <w:rPr>
                <w:rFonts w:ascii="Calibri" w:hAnsi="Calibri"/>
                <w:b w:val="0"/>
                <w:i w:val="0"/>
                <w:color w:val="212121"/>
                <w:sz w:val="19"/>
              </w:rPr>
              <w:t>Barefoot walking, occupational and agricultural trauma, protective-footwear gaps, crowding, delayed care and residence in filariasis-endemic districts increase both skin breaches and complicated presentations. (India-specific clinical observation.)</w:t>
            </w:r>
          </w:p>
          <w:p>
            <w:pPr>
              <w:spacing w:before="60" w:after="40"/>
            </w:pPr>
            <w:r>
              <w:rPr>
                <w:rFonts w:ascii="Calibri" w:hAnsi="Calibri"/>
                <w:b w:val="0"/>
                <w:i w:val="0"/>
                <w:color w:val="5A5A5A"/>
                <w:sz w:val="18"/>
              </w:rPr>
              <w:t>#barefoot  #ruralIndia  #delayedcare  #filariasisbelt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Residents of filariasis-endemic states (e.g., Bihar, UP, Jharkhand, Odisha, Andhra, coastal belts)</w:t>
            </w:r>
          </w:p>
        </w:tc>
        <w:tc>
          <w:tcPr>
            <w:tcW w:type="dxa" w:w="4276"/>
            <w:vAlign w:val="top"/>
          </w:tcPr>
          <w:p>
            <w:pPr>
              <w:spacing w:after="60" w:line="259" w:lineRule="auto"/>
            </w:pPr>
            <w:r>
              <w:rPr>
                <w:rFonts w:ascii="Calibri" w:hAnsi="Calibri"/>
                <w:b w:val="0"/>
                <w:i w:val="0"/>
                <w:color w:val="212121"/>
                <w:sz w:val="19"/>
              </w:rPr>
              <w:t>Lymphatic filariasis damages limb lymphatics and produces lymphoedema, in which repeated bacterial acute attacks (acute dermatolymphangioadenitis) are the principal complication; each attack further worsens the lymphoedema.</w:t>
            </w:r>
          </w:p>
          <w:p>
            <w:pPr>
              <w:spacing w:after="40" w:before="60" w:line="259" w:lineRule="auto"/>
            </w:pPr>
            <w:r>
              <w:rPr>
                <w:rFonts w:ascii="Calibri" w:hAnsi="Calibri"/>
                <w:b w:val="0"/>
                <w:i w:val="0"/>
                <w:color w:val="212121"/>
                <w:sz w:val="19"/>
              </w:rPr>
              <w:t>WHO: &gt;36 million people live with chronic filarial manifestations worldwide, including &gt;15 million with lymphoedema; acute episodes are largely due to secondary bacterial skin infection of the compromised limb.</w:t>
            </w:r>
          </w:p>
          <w:p>
            <w:pPr>
              <w:spacing w:after="40" w:line="252" w:lineRule="auto"/>
            </w:pPr>
            <w:hyperlink r:id="rId11">
              <w:r>
                <w:rPr>
                  <w:rFonts w:ascii="Calibri" w:hAnsi="Calibri" w:cs="Calibri"/>
                  <w:sz w:val="18"/>
                  <w:color w:val="1155CC"/>
                  <w:u w:val="single"/>
                </w:rPr>
                <w:t xml:space="preserve">who.int — Lymphatic filariasis fact sheet</w:t>
              </w:r>
            </w:hyperlink>
          </w:p>
          <w:p>
            <w:pPr>
              <w:spacing w:before="60" w:after="40"/>
            </w:pPr>
            <w:r>
              <w:rPr>
                <w:rFonts w:ascii="Calibri" w:hAnsi="Calibri"/>
                <w:b w:val="0"/>
                <w:i w:val="0"/>
                <w:color w:val="5A5A5A"/>
                <w:sz w:val="18"/>
              </w:rPr>
              <w:t>#filariasis  #lymphoedema  #ADLA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Hot, humid tropical regions</w:t>
            </w:r>
          </w:p>
        </w:tc>
        <w:tc>
          <w:tcPr>
            <w:tcW w:type="dxa" w:w="4276"/>
            <w:vAlign w:val="top"/>
          </w:tcPr>
          <w:p>
            <w:pPr>
              <w:spacing w:after="60" w:line="259" w:lineRule="auto"/>
            </w:pPr>
            <w:r>
              <w:rPr>
                <w:rFonts w:ascii="Calibri" w:hAnsi="Calibri"/>
                <w:b w:val="0"/>
                <w:i w:val="0"/>
                <w:color w:val="212121"/>
                <w:sz w:val="19"/>
              </w:rPr>
              <w:t>India’s warm, humid climate promotes tinea pedis and toe-web intertrigo, sweating and skin maceration — fissures that act as a portal of entry for streptococci and staphylococci into the lower limb.</w:t>
            </w:r>
          </w:p>
          <w:p>
            <w:pPr>
              <w:spacing w:after="40" w:before="60" w:line="259" w:lineRule="auto"/>
            </w:pPr>
            <w:r>
              <w:rPr>
                <w:rFonts w:ascii="Calibri" w:hAnsi="Calibri"/>
                <w:b w:val="0"/>
                <w:i w:val="0"/>
                <w:color w:val="212121"/>
                <w:sz w:val="19"/>
              </w:rPr>
              <w:t>Athlete’s foot (tinea pedis) and cracked heels are repeatedly cited entry points for lower-leg cellulitis.</w:t>
            </w:r>
          </w:p>
          <w:p>
            <w:pPr>
              <w:spacing w:after="40" w:line="252" w:lineRule="auto"/>
            </w:pPr>
            <w:hyperlink r:id="rId12">
              <w:r>
                <w:rPr>
                  <w:rFonts w:ascii="Calibri" w:hAnsi="Calibri" w:cs="Calibri"/>
                  <w:sz w:val="18"/>
                  <w:color w:val="1155CC"/>
                  <w:u w:val="single"/>
                </w:rPr>
                <w:t xml:space="preserve">nhs.uk — Cellulitis (causes &amp; prevention)</w:t>
              </w:r>
            </w:hyperlink>
          </w:p>
          <w:p>
            <w:pPr>
              <w:spacing w:before="60" w:after="40"/>
            </w:pPr>
            <w:r>
              <w:rPr>
                <w:rFonts w:ascii="Calibri" w:hAnsi="Calibri"/>
                <w:b w:val="0"/>
                <w:i w:val="0"/>
                <w:color w:val="5A5A5A"/>
                <w:sz w:val="18"/>
              </w:rPr>
              <w:t>#tineapedis  #toeweb  #humidity  #portalofentry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Immobility</w:t>
            </w:r>
          </w:p>
        </w:tc>
        <w:tc>
          <w:tcPr>
            <w:tcW w:type="dxa" w:w="2160"/>
            <w:vAlign w:val="top"/>
          </w:tcPr>
          <w:p>
            <w:pPr>
              <w:spacing w:after="40" w:before="0" w:line="259" w:lineRule="auto"/>
            </w:pPr>
            <w:r>
              <w:rPr>
                <w:rFonts w:ascii="Calibri" w:hAnsi="Calibri"/>
                <w:b w:val="0"/>
                <w:i w:val="0"/>
                <w:color w:val="212121"/>
                <w:sz w:val="19"/>
              </w:rPr>
              <w:t>Bedbound, wheelchair users, prolonged standers</w:t>
            </w:r>
          </w:p>
        </w:tc>
        <w:tc>
          <w:tcPr>
            <w:tcW w:type="dxa" w:w="4276"/>
            <w:vAlign w:val="top"/>
          </w:tcPr>
          <w:p>
            <w:pPr>
              <w:spacing w:after="60" w:line="259" w:lineRule="auto"/>
            </w:pPr>
            <w:r>
              <w:rPr>
                <w:rFonts w:ascii="Calibri" w:hAnsi="Calibri"/>
                <w:b w:val="0"/>
                <w:i w:val="0"/>
                <w:color w:val="212121"/>
                <w:sz w:val="19"/>
              </w:rPr>
              <w:t>Immobility and prolonged dependency cause venous stasis and dependent leg oedema, which impair local immunity and predispose to cellulitis; leg elevation and activity reduce this risk.</w:t>
            </w:r>
          </w:p>
          <w:p>
            <w:pPr>
              <w:spacing w:after="40" w:before="60" w:line="259" w:lineRule="auto"/>
            </w:pPr>
            <w:r>
              <w:rPr>
                <w:rFonts w:ascii="Calibri" w:hAnsi="Calibri"/>
                <w:b w:val="0"/>
                <w:i w:val="0"/>
                <w:color w:val="212121"/>
                <w:sz w:val="19"/>
              </w:rPr>
              <w:t>Limited mobility and being overweight are listed among the higher-risk conditions.</w:t>
            </w:r>
          </w:p>
          <w:p>
            <w:pPr>
              <w:spacing w:after="40" w:line="252" w:lineRule="auto"/>
            </w:pPr>
            <w:hyperlink r:id="rId12">
              <w:r>
                <w:rPr>
                  <w:rFonts w:ascii="Calibri" w:hAnsi="Calibri" w:cs="Calibri"/>
                  <w:sz w:val="18"/>
                  <w:color w:val="1155CC"/>
                  <w:u w:val="single"/>
                </w:rPr>
                <w:t xml:space="preserve">nhs.uk — Cellulitis (risk factors)</w:t>
              </w:r>
            </w:hyperlink>
          </w:p>
          <w:p>
            <w:pPr>
              <w:spacing w:before="60" w:after="40"/>
            </w:pPr>
            <w:r>
              <w:rPr>
                <w:rFonts w:ascii="Calibri" w:hAnsi="Calibri"/>
                <w:b w:val="0"/>
                <w:i w:val="0"/>
                <w:color w:val="5A5A5A"/>
                <w:sz w:val="18"/>
              </w:rPr>
              <w:t>#immobility  #venousstasis  #dependentoedema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w:t>
            </w:r>
          </w:p>
        </w:tc>
        <w:tc>
          <w:tcPr>
            <w:tcW w:type="dxa" w:w="4276"/>
            <w:vAlign w:val="top"/>
          </w:tcPr>
          <w:p>
            <w:pPr>
              <w:spacing w:after="60" w:line="259" w:lineRule="auto"/>
            </w:pPr>
            <w:r>
              <w:rPr>
                <w:rFonts w:ascii="Calibri" w:hAnsi="Calibri"/>
                <w:b w:val="0"/>
                <w:i w:val="0"/>
                <w:color w:val="212121"/>
                <w:sz w:val="19"/>
              </w:rPr>
              <w:t>Smoking impairs cutaneous microcirculation and wound healing and is associated with peripheral arterial disease, slowing resolution and raising complication risk. (General clinical statement.)</w:t>
            </w:r>
          </w:p>
          <w:p>
            <w:pPr>
              <w:spacing w:before="60" w:after="40"/>
            </w:pPr>
            <w:r>
              <w:rPr>
                <w:rFonts w:ascii="Calibri" w:hAnsi="Calibri"/>
                <w:b w:val="0"/>
                <w:i w:val="0"/>
                <w:color w:val="5A5A5A"/>
                <w:sz w:val="18"/>
              </w:rPr>
              <w:t>#smoking  #microcirculation  #delayedhealing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alcohol use</w:t>
            </w:r>
          </w:p>
        </w:tc>
        <w:tc>
          <w:tcPr>
            <w:tcW w:type="dxa" w:w="4276"/>
            <w:vAlign w:val="top"/>
          </w:tcPr>
          <w:p>
            <w:pPr>
              <w:spacing w:after="60" w:line="259" w:lineRule="auto"/>
            </w:pPr>
            <w:r>
              <w:rPr>
                <w:rFonts w:ascii="Calibri" w:hAnsi="Calibri"/>
                <w:b w:val="0"/>
                <w:i w:val="0"/>
                <w:color w:val="212121"/>
                <w:sz w:val="19"/>
              </w:rPr>
              <w:t>Chronic alcohol use and cirrhosis impair immune defence and cause hypoalbuminaemia and oedema, increasing susceptibility; alcoholism is a recognized predisposing factor.</w:t>
            </w:r>
          </w:p>
          <w:p>
            <w:pPr>
              <w:spacing w:after="40" w:before="60" w:line="259" w:lineRule="auto"/>
            </w:pPr>
            <w:r>
              <w:rPr>
                <w:rFonts w:ascii="Calibri" w:hAnsi="Calibri"/>
                <w:b w:val="0"/>
                <w:i w:val="0"/>
                <w:color w:val="212121"/>
                <w:sz w:val="19"/>
              </w:rPr>
              <w:t>Alcoholism is listed among cellulitis risk factors.</w:t>
            </w:r>
          </w:p>
          <w:p>
            <w:pPr>
              <w:spacing w:after="40" w:line="252" w:lineRule="auto"/>
            </w:pPr>
            <w:hyperlink r:id="rId13">
              <w:r>
                <w:rPr>
                  <w:rFonts w:ascii="Calibri" w:hAnsi="Calibri" w:cs="Calibri"/>
                  <w:sz w:val="18"/>
                  <w:color w:val="1155CC"/>
                  <w:u w:val="single"/>
                </w:rPr>
                <w:t xml:space="preserve">dermnetnz.org — Cellulitis (predisposing factors)</w:t>
              </w:r>
            </w:hyperlink>
          </w:p>
          <w:p>
            <w:pPr>
              <w:spacing w:before="60" w:after="40"/>
            </w:pPr>
            <w:r>
              <w:rPr>
                <w:rFonts w:ascii="Calibri" w:hAnsi="Calibri"/>
                <w:b w:val="0"/>
                <w:i w:val="0"/>
                <w:color w:val="5A5A5A"/>
                <w:sz w:val="18"/>
              </w:rPr>
              <w:t>#alcohol  #cirrhosis  #hypoalbuminaemia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w:t>
            </w:r>
          </w:p>
        </w:tc>
        <w:tc>
          <w:tcPr>
            <w:tcW w:type="dxa" w:w="4276"/>
            <w:vAlign w:val="top"/>
          </w:tcPr>
          <w:p>
            <w:pPr>
              <w:spacing w:after="60" w:line="259" w:lineRule="auto"/>
            </w:pPr>
            <w:r>
              <w:rPr>
                <w:rFonts w:ascii="Calibri" w:hAnsi="Calibri"/>
                <w:b w:val="0"/>
                <w:i w:val="0"/>
                <w:color w:val="212121"/>
                <w:sz w:val="19"/>
              </w:rPr>
              <w:t>Excess body weight correlates with higher cellulitis incidence through lymphatic overload, skin-fold intertrigo and impaired venous return in the legs.</w:t>
            </w:r>
          </w:p>
          <w:p>
            <w:pPr>
              <w:spacing w:after="40" w:before="60" w:line="259" w:lineRule="auto"/>
            </w:pPr>
            <w:r>
              <w:rPr>
                <w:rFonts w:ascii="Calibri" w:hAnsi="Calibri"/>
                <w:b w:val="0"/>
                <w:i w:val="0"/>
                <w:color w:val="212121"/>
                <w:sz w:val="19"/>
              </w:rPr>
              <w:t>Excess body weight correlates with higher cellulitis incidence.</w:t>
            </w:r>
          </w:p>
          <w:p>
            <w:pPr>
              <w:spacing w:after="40" w:line="252" w:lineRule="auto"/>
            </w:pPr>
            <w:hyperlink r:id="rId14">
              <w:r>
                <w:rPr>
                  <w:rFonts w:ascii="Calibri" w:hAnsi="Calibri" w:cs="Calibri"/>
                  <w:sz w:val="18"/>
                  <w:color w:val="1155CC"/>
                  <w:u w:val="single"/>
                </w:rPr>
                <w:t xml:space="preserve">mayoclinic.org — Cellulitis (risk factors)</w:t>
              </w:r>
            </w:hyperlink>
          </w:p>
          <w:p>
            <w:pPr>
              <w:spacing w:before="60" w:after="40"/>
            </w:pPr>
            <w:r>
              <w:rPr>
                <w:rFonts w:ascii="Calibri" w:hAnsi="Calibri"/>
                <w:b w:val="0"/>
                <w:i w:val="0"/>
                <w:color w:val="5A5A5A"/>
                <w:sz w:val="18"/>
              </w:rPr>
              <w:t>#overweight  #intertrigo  #lymphaticoverload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w:t>
            </w:r>
          </w:p>
        </w:tc>
        <w:tc>
          <w:tcPr>
            <w:tcW w:type="dxa" w:w="4276"/>
            <w:vAlign w:val="top"/>
          </w:tcPr>
          <w:p>
            <w:pPr>
              <w:spacing w:after="60" w:line="259" w:lineRule="auto"/>
            </w:pPr>
            <w:r>
              <w:rPr>
                <w:rFonts w:ascii="Calibri" w:hAnsi="Calibri"/>
                <w:b w:val="0"/>
                <w:i w:val="0"/>
                <w:color w:val="212121"/>
                <w:sz w:val="19"/>
              </w:rPr>
              <w:t>Obesity independently elevates cellulitis risk and recurrence via chronic lymphoedema, venous insufficiency, moist skin folds and poorer wound healing.</w:t>
            </w:r>
          </w:p>
          <w:p>
            <w:pPr>
              <w:spacing w:after="40" w:before="60" w:line="259" w:lineRule="auto"/>
            </w:pPr>
            <w:r>
              <w:rPr>
                <w:rFonts w:ascii="Calibri" w:hAnsi="Calibri"/>
                <w:b w:val="0"/>
                <w:i w:val="0"/>
                <w:color w:val="212121"/>
                <w:sz w:val="19"/>
              </w:rPr>
              <w:t>Obesity independently elevates cellulitis risk.</w:t>
            </w:r>
          </w:p>
          <w:p>
            <w:pPr>
              <w:spacing w:after="40" w:line="252" w:lineRule="auto"/>
            </w:pPr>
            <w:hyperlink r:id="rId14">
              <w:r>
                <w:rPr>
                  <w:rFonts w:ascii="Calibri" w:hAnsi="Calibri" w:cs="Calibri"/>
                  <w:sz w:val="18"/>
                  <w:color w:val="1155CC"/>
                  <w:u w:val="single"/>
                </w:rPr>
                <w:t xml:space="preserve">mayoclinic.org — Cellulitis (obesity)</w:t>
              </w:r>
            </w:hyperlink>
          </w:p>
          <w:p>
            <w:pPr>
              <w:spacing w:before="60" w:after="40"/>
            </w:pPr>
            <w:r>
              <w:rPr>
                <w:rFonts w:ascii="Calibri" w:hAnsi="Calibri"/>
                <w:b w:val="0"/>
                <w:i w:val="0"/>
                <w:color w:val="5A5A5A"/>
                <w:sz w:val="18"/>
              </w:rPr>
              <w:t>#obesity  #lymphoedema  #recurrence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High-glycaemic diet driving poorly controlled diabetes</w:t>
            </w:r>
          </w:p>
        </w:tc>
        <w:tc>
          <w:tcPr>
            <w:tcW w:type="dxa" w:w="4276"/>
            <w:vAlign w:val="top"/>
          </w:tcPr>
          <w:p>
            <w:pPr>
              <w:spacing w:after="60" w:line="259" w:lineRule="auto"/>
            </w:pPr>
            <w:r>
              <w:rPr>
                <w:rFonts w:ascii="Calibri" w:hAnsi="Calibri"/>
                <w:b w:val="0"/>
                <w:i w:val="0"/>
                <w:color w:val="212121"/>
                <w:sz w:val="19"/>
              </w:rPr>
              <w:t>A high-refined-carbohydrate diet promotes hyperglycaemia; poorly controlled glucose impairs neutrophil function and wound healing and, with neuropathy, allows unnoticed foot trauma — the classic diabetic-foot portal for cellulitis. (India-relevant.)</w:t>
            </w:r>
          </w:p>
          <w:p>
            <w:pPr>
              <w:spacing w:after="40" w:before="60" w:line="259" w:lineRule="auto"/>
            </w:pPr>
            <w:r>
              <w:rPr>
                <w:rFonts w:ascii="Calibri" w:hAnsi="Calibri"/>
                <w:b w:val="0"/>
                <w:i w:val="0"/>
                <w:color w:val="212121"/>
                <w:sz w:val="19"/>
              </w:rPr>
              <w:t>Diabetes (immune compromise) is repeatedly cited as a key cellulitis risk factor.</w:t>
            </w:r>
          </w:p>
          <w:p>
            <w:pPr>
              <w:spacing w:after="40" w:line="252" w:lineRule="auto"/>
            </w:pPr>
            <w:hyperlink r:id="rId14">
              <w:r>
                <w:rPr>
                  <w:rFonts w:ascii="Calibri" w:hAnsi="Calibri" w:cs="Calibri"/>
                  <w:sz w:val="18"/>
                  <w:color w:val="1155CC"/>
                  <w:u w:val="single"/>
                </w:rPr>
                <w:t xml:space="preserve">mayoclinic.org — Cellulitis (diabetes)</w:t>
              </w:r>
            </w:hyperlink>
          </w:p>
          <w:p>
            <w:pPr>
              <w:spacing w:before="60" w:after="40"/>
            </w:pPr>
            <w:r>
              <w:rPr>
                <w:rFonts w:ascii="Calibri" w:hAnsi="Calibri"/>
                <w:b w:val="0"/>
                <w:i w:val="0"/>
                <w:color w:val="5A5A5A"/>
                <w:sz w:val="18"/>
              </w:rPr>
              <w:t>#diabeticfoot  #hyperglycaemia  #neuropathy  #highGI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Malnourished / low-protein diets</w:t>
            </w:r>
          </w:p>
        </w:tc>
        <w:tc>
          <w:tcPr>
            <w:tcW w:type="dxa" w:w="4276"/>
            <w:vAlign w:val="top"/>
          </w:tcPr>
          <w:p>
            <w:pPr>
              <w:spacing w:after="60" w:line="259" w:lineRule="auto"/>
            </w:pPr>
            <w:r>
              <w:rPr>
                <w:rFonts w:ascii="Calibri" w:hAnsi="Calibri"/>
                <w:b w:val="0"/>
                <w:i w:val="0"/>
                <w:color w:val="212121"/>
                <w:sz w:val="19"/>
              </w:rPr>
              <w:t>Protein-energy and micronutrient (zinc, vitamin C/A) deficiency weaken the skin barrier and immune response and cause hypoalbuminaemic oedema, all of which favour infection and delay healing. (General clinical statement.)</w:t>
            </w:r>
          </w:p>
          <w:p>
            <w:pPr>
              <w:spacing w:before="60" w:after="40"/>
            </w:pPr>
            <w:r>
              <w:rPr>
                <w:rFonts w:ascii="Calibri" w:hAnsi="Calibri"/>
                <w:b w:val="0"/>
                <w:i w:val="0"/>
                <w:color w:val="5A5A5A"/>
                <w:sz w:val="18"/>
              </w:rPr>
              <w:t>#malnutrition  #protein  #micronutrient  #skinbarrier</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Hereditary/primary lymphoedema (e.g., Milroy disease); familial venous insufficiency</w:t>
            </w:r>
          </w:p>
        </w:tc>
        <w:tc>
          <w:tcPr>
            <w:tcW w:type="dxa" w:w="4276"/>
            <w:vAlign w:val="top"/>
          </w:tcPr>
          <w:p>
            <w:pPr>
              <w:spacing w:after="60" w:line="259" w:lineRule="auto"/>
            </w:pPr>
            <w:r>
              <w:rPr>
                <w:rFonts w:ascii="Calibri" w:hAnsi="Calibri"/>
                <w:b w:val="0"/>
                <w:i w:val="0"/>
                <w:color w:val="212121"/>
                <w:sz w:val="19"/>
              </w:rPr>
              <w:t>Inherited lymphatic malformations and heritable chronic venous insufficiency cause persistent limb oedema, a major and recurring predisposition to cellulitis.</w:t>
            </w:r>
          </w:p>
          <w:p>
            <w:pPr>
              <w:spacing w:after="40" w:before="60" w:line="259" w:lineRule="auto"/>
            </w:pPr>
            <w:r>
              <w:rPr>
                <w:rFonts w:ascii="Calibri" w:hAnsi="Calibri"/>
                <w:b w:val="0"/>
                <w:i w:val="0"/>
                <w:color w:val="212121"/>
                <w:sz w:val="19"/>
              </w:rPr>
              <w:t>Lymphatic oedema/obstruction is identified as a major risk factor for erysipelas.</w:t>
            </w:r>
          </w:p>
          <w:p>
            <w:pPr>
              <w:spacing w:after="40" w:line="252" w:lineRule="auto"/>
            </w:pPr>
            <w:hyperlink r:id="rId10">
              <w:r>
                <w:rPr>
                  <w:rFonts w:ascii="Calibri" w:hAnsi="Calibri" w:cs="Calibri"/>
                  <w:sz w:val="18"/>
                  <w:color w:val="1155CC"/>
                  <w:u w:val="single"/>
                </w:rPr>
                <w:t xml:space="preserve">ncbi.nlm.nih.gov — StatPearls: Erysipelas</w:t>
              </w:r>
            </w:hyperlink>
          </w:p>
          <w:p>
            <w:pPr>
              <w:spacing w:before="60" w:after="40"/>
            </w:pPr>
            <w:r>
              <w:rPr>
                <w:rFonts w:ascii="Calibri" w:hAnsi="Calibri"/>
                <w:b w:val="0"/>
                <w:i w:val="0"/>
                <w:color w:val="5A5A5A"/>
                <w:sz w:val="18"/>
              </w:rPr>
              <w:t>#lymphoedema  #Milroy  #hereditary  #venous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 (esp. diabetic foot)</w:t>
            </w:r>
          </w:p>
        </w:tc>
        <w:tc>
          <w:tcPr>
            <w:tcW w:type="dxa" w:w="4276"/>
            <w:vAlign w:val="top"/>
          </w:tcPr>
          <w:p>
            <w:pPr>
              <w:spacing w:after="60" w:line="259" w:lineRule="auto"/>
            </w:pPr>
            <w:r>
              <w:rPr>
                <w:rFonts w:ascii="Calibri" w:hAnsi="Calibri"/>
                <w:b w:val="0"/>
                <w:i w:val="0"/>
                <w:color w:val="212121"/>
                <w:sz w:val="19"/>
              </w:rPr>
              <w:t>Hyperglycaemia impairs immunity and healing; peripheral neuropathy and arterial disease permit unnoticed trauma and reduce perfusion, making the diabetic foot a classic and frequently recurrent cellulitis site in India.</w:t>
            </w:r>
          </w:p>
          <w:p>
            <w:pPr>
              <w:spacing w:after="40" w:before="60" w:line="259" w:lineRule="auto"/>
            </w:pPr>
            <w:r>
              <w:rPr>
                <w:rFonts w:ascii="Calibri" w:hAnsi="Calibri"/>
                <w:b w:val="0"/>
                <w:i w:val="0"/>
                <w:color w:val="212121"/>
                <w:sz w:val="19"/>
              </w:rPr>
              <w:t>Diabetes is a leading, repeatedly cited risk factor for cellulitis.</w:t>
            </w:r>
          </w:p>
          <w:p>
            <w:pPr>
              <w:spacing w:after="40" w:line="252" w:lineRule="auto"/>
            </w:pPr>
            <w:hyperlink r:id="rId9">
              <w:r>
                <w:rPr>
                  <w:rFonts w:ascii="Calibri" w:hAnsi="Calibri" w:cs="Calibri"/>
                  <w:sz w:val="18"/>
                  <w:color w:val="1155CC"/>
                  <w:u w:val="single"/>
                </w:rPr>
                <w:t xml:space="preserve">ncbi.nlm.nih.gov — StatPearls: Cellulitis</w:t>
              </w:r>
            </w:hyperlink>
          </w:p>
          <w:p>
            <w:pPr>
              <w:spacing w:before="60" w:after="40"/>
            </w:pPr>
            <w:r>
              <w:rPr>
                <w:rFonts w:ascii="Calibri" w:hAnsi="Calibri"/>
                <w:b w:val="0"/>
                <w:i w:val="0"/>
                <w:color w:val="5A5A5A"/>
                <w:sz w:val="18"/>
              </w:rPr>
              <w:t>#diabetes  #diabeticfoot  #neuropathy  #PAD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lymphoedema</w:t>
            </w:r>
          </w:p>
        </w:tc>
        <w:tc>
          <w:tcPr>
            <w:tcW w:type="dxa" w:w="2160"/>
            <w:vAlign w:val="top"/>
          </w:tcPr>
          <w:p>
            <w:pPr>
              <w:spacing w:after="40" w:before="0" w:line="259" w:lineRule="auto"/>
            </w:pPr>
            <w:r>
              <w:rPr>
                <w:rFonts w:ascii="Calibri" w:hAnsi="Calibri"/>
                <w:b w:val="0"/>
                <w:i w:val="0"/>
                <w:color w:val="212121"/>
                <w:sz w:val="19"/>
              </w:rPr>
              <w:t>Filarial or post-surgical lymphoedema</w:t>
            </w:r>
          </w:p>
        </w:tc>
        <w:tc>
          <w:tcPr>
            <w:tcW w:type="dxa" w:w="4276"/>
            <w:vAlign w:val="top"/>
          </w:tcPr>
          <w:p>
            <w:pPr>
              <w:spacing w:after="60" w:line="259" w:lineRule="auto"/>
            </w:pPr>
            <w:r>
              <w:rPr>
                <w:rFonts w:ascii="Calibri" w:hAnsi="Calibri"/>
                <w:b w:val="0"/>
                <w:i w:val="0"/>
                <w:color w:val="212121"/>
                <w:sz w:val="19"/>
              </w:rPr>
              <w:t>Impaired lymphatic drainage is the single strongest predictor of recurrent cellulitis/erysipelas; each infection damages lymphatics further, driving a vicious cycle toward secondary elephantiasis.</w:t>
            </w:r>
          </w:p>
          <w:p>
            <w:pPr>
              <w:spacing w:after="40" w:before="60" w:line="259" w:lineRule="auto"/>
            </w:pPr>
            <w:r>
              <w:rPr>
                <w:rFonts w:ascii="Calibri" w:hAnsi="Calibri"/>
                <w:b w:val="0"/>
                <w:i w:val="0"/>
                <w:color w:val="212121"/>
                <w:sz w:val="19"/>
              </w:rPr>
              <w:t>Lymphatic oedema is described as the major risk factor for erysipelas.</w:t>
            </w:r>
          </w:p>
          <w:p>
            <w:pPr>
              <w:spacing w:after="40" w:line="252" w:lineRule="auto"/>
            </w:pPr>
            <w:hyperlink r:id="rId10">
              <w:r>
                <w:rPr>
                  <w:rFonts w:ascii="Calibri" w:hAnsi="Calibri" w:cs="Calibri"/>
                  <w:sz w:val="18"/>
                  <w:color w:val="1155CC"/>
                  <w:u w:val="single"/>
                </w:rPr>
                <w:t xml:space="preserve">ncbi.nlm.nih.gov — StatPearls: Erysipelas</w:t>
              </w:r>
            </w:hyperlink>
          </w:p>
          <w:p>
            <w:pPr>
              <w:spacing w:before="60" w:after="40"/>
            </w:pPr>
            <w:r>
              <w:rPr>
                <w:rFonts w:ascii="Calibri" w:hAnsi="Calibri"/>
                <w:b w:val="0"/>
                <w:i w:val="0"/>
                <w:color w:val="5A5A5A"/>
                <w:sz w:val="18"/>
              </w:rPr>
              <w:t>#lymphoedema  #recurrence  #elephantiasis  #ADLA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venous insufficiency</w:t>
            </w:r>
          </w:p>
        </w:tc>
        <w:tc>
          <w:tcPr>
            <w:tcW w:type="dxa" w:w="2160"/>
            <w:vAlign w:val="top"/>
          </w:tcPr>
          <w:p>
            <w:pPr>
              <w:spacing w:after="40" w:before="0" w:line="259" w:lineRule="auto"/>
            </w:pPr>
            <w:r>
              <w:rPr>
                <w:rFonts w:ascii="Calibri" w:hAnsi="Calibri"/>
                <w:b w:val="0"/>
                <w:i w:val="0"/>
                <w:color w:val="212121"/>
                <w:sz w:val="19"/>
              </w:rPr>
              <w:t>Venous stasis / venous leg ulcer</w:t>
            </w:r>
          </w:p>
        </w:tc>
        <w:tc>
          <w:tcPr>
            <w:tcW w:type="dxa" w:w="4276"/>
            <w:vAlign w:val="top"/>
          </w:tcPr>
          <w:p>
            <w:pPr>
              <w:spacing w:after="60" w:line="259" w:lineRule="auto"/>
            </w:pPr>
            <w:r>
              <w:rPr>
                <w:rFonts w:ascii="Calibri" w:hAnsi="Calibri"/>
                <w:b w:val="0"/>
                <w:i w:val="0"/>
                <w:color w:val="212121"/>
                <w:sz w:val="19"/>
              </w:rPr>
              <w:t>Venous hypertension causes gravitational (stasis) eczema, oedema and leg ulceration — combined portals and impaired clearance that predispose to lower-leg cellulitis.</w:t>
            </w:r>
          </w:p>
          <w:p>
            <w:pPr>
              <w:spacing w:after="40" w:before="60" w:line="259" w:lineRule="auto"/>
            </w:pPr>
            <w:r>
              <w:rPr>
                <w:rFonts w:ascii="Calibri" w:hAnsi="Calibri"/>
                <w:b w:val="0"/>
                <w:i w:val="0"/>
                <w:color w:val="212121"/>
                <w:sz w:val="19"/>
              </w:rPr>
              <w:t>Venous disease (stasis eczema, ulceration, oedema) is a listed predisposing factor.</w:t>
            </w:r>
          </w:p>
          <w:p>
            <w:pPr>
              <w:spacing w:after="40" w:line="252" w:lineRule="auto"/>
            </w:pPr>
            <w:hyperlink r:id="rId13">
              <w:r>
                <w:rPr>
                  <w:rFonts w:ascii="Calibri" w:hAnsi="Calibri" w:cs="Calibri"/>
                  <w:sz w:val="18"/>
                  <w:color w:val="1155CC"/>
                  <w:u w:val="single"/>
                </w:rPr>
                <w:t xml:space="preserve">dermnetnz.org — Cellulitis (venous disease)</w:t>
              </w:r>
            </w:hyperlink>
          </w:p>
          <w:p>
            <w:pPr>
              <w:spacing w:before="60" w:after="40"/>
            </w:pPr>
            <w:r>
              <w:rPr>
                <w:rFonts w:ascii="Calibri" w:hAnsi="Calibri"/>
                <w:b w:val="0"/>
                <w:i w:val="0"/>
                <w:color w:val="5A5A5A"/>
                <w:sz w:val="18"/>
              </w:rPr>
              <w:t>#venousinsufficiency  #stasiseczema  #legulcer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Tinea pedis</w:t>
            </w:r>
          </w:p>
        </w:tc>
        <w:tc>
          <w:tcPr>
            <w:tcW w:type="dxa" w:w="2160"/>
            <w:vAlign w:val="top"/>
          </w:tcPr>
          <w:p>
            <w:pPr>
              <w:spacing w:after="40" w:before="0" w:line="259" w:lineRule="auto"/>
            </w:pPr>
            <w:r>
              <w:rPr>
                <w:rFonts w:ascii="Calibri" w:hAnsi="Calibri"/>
                <w:b w:val="0"/>
                <w:i w:val="0"/>
                <w:color w:val="212121"/>
                <w:sz w:val="19"/>
              </w:rPr>
              <w:t>Interdigital tinea / toe-web intertrigo</w:t>
            </w:r>
          </w:p>
        </w:tc>
        <w:tc>
          <w:tcPr>
            <w:tcW w:type="dxa" w:w="4276"/>
            <w:vAlign w:val="top"/>
          </w:tcPr>
          <w:p>
            <w:pPr>
              <w:spacing w:after="60" w:line="259" w:lineRule="auto"/>
            </w:pPr>
            <w:r>
              <w:rPr>
                <w:rFonts w:ascii="Calibri" w:hAnsi="Calibri"/>
                <w:b w:val="0"/>
                <w:i w:val="0"/>
                <w:color w:val="212121"/>
                <w:sz w:val="19"/>
              </w:rPr>
              <w:t>Dermatophyte fissuring of the toe-webs is one of the most common and modifiable portals of entry for lower-leg cellulitis, particularly in India’s humid climate; treating it reduces recurrence.</w:t>
            </w:r>
          </w:p>
          <w:p>
            <w:pPr>
              <w:spacing w:after="40" w:before="60" w:line="259" w:lineRule="auto"/>
            </w:pPr>
            <w:r>
              <w:rPr>
                <w:rFonts w:ascii="Calibri" w:hAnsi="Calibri"/>
                <w:b w:val="0"/>
                <w:i w:val="0"/>
                <w:color w:val="212121"/>
                <w:sz w:val="19"/>
              </w:rPr>
              <w:t>Athlete’s foot fissures are cited as a portal of entry; prompt treatment is advised to prevent recurrence.</w:t>
            </w:r>
          </w:p>
          <w:p>
            <w:pPr>
              <w:spacing w:after="40" w:line="252" w:lineRule="auto"/>
            </w:pPr>
            <w:hyperlink r:id="rId12">
              <w:r>
                <w:rPr>
                  <w:rFonts w:ascii="Calibri" w:hAnsi="Calibri" w:cs="Calibri"/>
                  <w:sz w:val="18"/>
                  <w:color w:val="1155CC"/>
                  <w:u w:val="single"/>
                </w:rPr>
                <w:t xml:space="preserve">nhs.uk — Cellulitis (treat athlete’s foot)</w:t>
              </w:r>
            </w:hyperlink>
          </w:p>
          <w:p>
            <w:pPr>
              <w:spacing w:before="60" w:after="40"/>
            </w:pPr>
            <w:r>
              <w:rPr>
                <w:rFonts w:ascii="Calibri" w:hAnsi="Calibri"/>
                <w:b w:val="0"/>
                <w:i w:val="0"/>
                <w:color w:val="5A5A5A"/>
                <w:sz w:val="18"/>
              </w:rPr>
              <w:t>#tineapedis  #toeweb  #portalofentry  #prevention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Immobility, prolonged standing and dependency cause venous stasis and leg oedema that predispose to cellulitis; regular activity, calf-muscle pumping and limb elevation reduce oedema and recurrence.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Glycaemic control, adequate protein/micronutrients and a healthy weight support skin-barrier integrity and immune defence; poor glycaemia and malnutrition impair healing and raise infection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 insufficient sleep impairs immune function, but direct evidence linking sleep to cellulitis incidence is limited and indirect.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cutaneous microcirculation and wound healing and is associated with peripheral arterial disease, slowing resolution and raising complication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alcohol use and cirrhosis impair immunity and cause oedema and hypoalbuminaemia; alcoholism is a recognized predisposing factor for cellulitis.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Depression and cognitive impairment reduce adherence to foot care, compression and skin hygiene, indirectly increasing risk and recurrence in chronic lymphoedema and filariasis.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skin and mucosal health, but there is no strong direct link between water intake and cellulitis risk.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cellulitis or erysipelas.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Skin and foot hygiene, keeping skin clean and moisturised, prompt treatment of tinea pedis and careful wound care are central to preventing first and recurrent episodes.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 breach in the skin barrier — tinea fissures, trauma, insect bite, ulcer or injection — is the key provoking event; lymphoedema and venous stasis provoke recurrence.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dependency and standing worsen leg oedema and predispose the lower limb; elevating the affected limb above heart level reduces oedema and speeds resolution.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(Asian-Indian cut-offs)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≥23 (overweight); ≥25 (obese)</w:t>
            </w:r>
          </w:p>
        </w:tc>
        <w:tc>
          <w:tcPr>
            <w:tcW w:type="dxa" w:w="1468"/>
            <w:vAlign w:val="top"/>
          </w:tcPr>
          <w:p>
            <w:pPr>
              <w:spacing w:after="60" w:line="259" w:lineRule="auto"/>
            </w:pPr>
            <w:r>
              <w:rPr>
                <w:rFonts w:ascii="Calibri" w:hAnsi="Calibri"/>
                <w:b w:val="0"/>
                <w:i w:val="0"/>
                <w:color w:val="212121"/>
                <w:sz w:val="19"/>
              </w:rPr>
              <w:t>Higher BMI raises cellulitis risk via lymphatic overload and venous disease; Asian-Indian thresholds are lower than global cut-offs.</w:t>
            </w:r>
          </w:p>
          <w:p>
            <w:pPr>
              <w:spacing w:after="40" w:line="252" w:lineRule="auto"/>
            </w:pPr>
            <w:hyperlink r:id="rId14">
              <w:r>
                <w:rPr>
                  <w:rFonts w:ascii="Calibri" w:hAnsi="Calibri" w:cs="Calibri"/>
                  <w:sz w:val="18"/>
                  <w:color w:val="1155CC"/>
                  <w:u w:val="single"/>
                </w:rPr>
                <w:t xml:space="preserve">https://www.mayoclinic.org/diseases-conditions/cellulitis/symptoms-causes/syc-20370762</w:t>
              </w:r>
            </w:hyperlink>
          </w:p>
        </w:tc>
      </w:tr>
      <w:tr>
        <w:trPr>
          <w:cantSplit/>
        </w:trPr>
        <w:tc>
          <w:tcPr>
            <w:tcW w:type="dxa" w:w="1512"/>
            <w:vAlign w:val="center"/>
          </w:tcPr>
          <w:p>
            <w:pPr>
              <w:spacing w:after="40"/>
            </w:pPr>
            <w:r>
              <w:rPr>
                <w:rFonts w:ascii="Calibri" w:hAnsi="Calibri"/>
                <w:b w:val="0"/>
                <w:i w:val="0"/>
                <w:color w:val="212121"/>
                <w:sz w:val="19"/>
              </w:rPr>
              <w:t>Physical activity / Posture</w:t>
            </w:r>
          </w:p>
        </w:tc>
        <w:tc>
          <w:tcPr>
            <w:tcW w:type="dxa" w:w="1944"/>
            <w:vAlign w:val="top"/>
          </w:tcPr>
          <w:p>
            <w:pPr>
              <w:spacing w:after="40" w:before="0" w:line="259" w:lineRule="auto"/>
            </w:pPr>
            <w:r>
              <w:rPr>
                <w:rFonts w:ascii="Calibri" w:hAnsi="Calibri"/>
                <w:b w:val="0"/>
                <w:i w:val="0"/>
                <w:color w:val="212121"/>
                <w:sz w:val="19"/>
              </w:rPr>
              <w:t>Affected-limb elevation</w:t>
            </w:r>
          </w:p>
        </w:tc>
        <w:tc>
          <w:tcPr>
            <w:tcW w:type="dxa" w:w="1655"/>
            <w:vAlign w:val="top"/>
          </w:tcPr>
          <w:p>
            <w:pPr>
              <w:spacing w:after="40" w:before="0" w:line="259" w:lineRule="auto"/>
            </w:pPr>
            <w:r>
              <w:rPr>
                <w:rFonts w:ascii="Calibri" w:hAnsi="Calibri"/>
                <w:b w:val="0"/>
                <w:i w:val="0"/>
                <w:color w:val="212121"/>
                <w:sz w:val="19"/>
              </w:rPr>
              <w:t>Venous / lymphoedema, acute episode</w:t>
            </w:r>
          </w:p>
        </w:tc>
        <w:tc>
          <w:tcPr>
            <w:tcW w:type="dxa" w:w="1512"/>
            <w:vAlign w:val="top"/>
          </w:tcPr>
          <w:p>
            <w:pPr>
              <w:spacing w:after="40" w:before="0" w:line="259" w:lineRule="auto"/>
            </w:pPr>
            <w:r>
              <w:rPr>
                <w:rFonts w:ascii="Calibri" w:hAnsi="Calibri"/>
                <w:b w:val="0"/>
                <w:i w:val="0"/>
                <w:color w:val="212121"/>
                <w:sz w:val="19"/>
              </w:rPr>
              <w:t>Elevate leg above heart level, several times daily</w:t>
            </w:r>
          </w:p>
        </w:tc>
        <w:tc>
          <w:tcPr>
            <w:tcW w:type="dxa" w:w="1512"/>
            <w:vAlign w:val="top"/>
          </w:tcPr>
          <w:p>
            <w:pPr>
              <w:spacing w:after="40" w:before="0" w:line="259" w:lineRule="auto"/>
            </w:pPr>
            <w:r>
              <w:rPr>
                <w:rFonts w:ascii="Calibri" w:hAnsi="Calibri"/>
                <w:b w:val="0"/>
                <w:i w:val="0"/>
                <w:color w:val="212121"/>
                <w:sz w:val="19"/>
              </w:rPr>
              <w:t>Prolonged dependency / standing</w:t>
            </w:r>
          </w:p>
        </w:tc>
        <w:tc>
          <w:tcPr>
            <w:tcW w:type="dxa" w:w="1468"/>
            <w:vAlign w:val="top"/>
          </w:tcPr>
          <w:p>
            <w:pPr>
              <w:spacing w:after="40" w:before="0" w:line="259" w:lineRule="auto"/>
            </w:pPr>
            <w:r>
              <w:rPr>
                <w:rFonts w:ascii="Calibri" w:hAnsi="Calibri"/>
                <w:b w:val="0"/>
                <w:i w:val="0"/>
                <w:color w:val="212121"/>
                <w:sz w:val="19"/>
              </w:rPr>
              <w:t>Elevation reduces oedema and hastens resolution and helps prevent recurrence.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Chronic limb oedema / pitting</w:t>
            </w:r>
          </w:p>
        </w:tc>
        <w:tc>
          <w:tcPr>
            <w:tcW w:type="dxa" w:w="1655"/>
            <w:vAlign w:val="top"/>
          </w:tcPr>
          <w:p>
            <w:pPr>
              <w:spacing w:after="40" w:before="0" w:line="259" w:lineRule="auto"/>
            </w:pPr>
            <w:r>
              <w:rPr>
                <w:rFonts w:ascii="Calibri" w:hAnsi="Calibri"/>
                <w:b w:val="0"/>
                <w:i w:val="0"/>
                <w:color w:val="212121"/>
                <w:sz w:val="19"/>
              </w:rPr>
              <w:t>Filarial, venous, post-surgical</w:t>
            </w:r>
          </w:p>
        </w:tc>
        <w:tc>
          <w:tcPr>
            <w:tcW w:type="dxa" w:w="1512"/>
            <w:vAlign w:val="top"/>
          </w:tcPr>
          <w:p>
            <w:pPr>
              <w:spacing w:after="40" w:before="0" w:line="259" w:lineRule="auto"/>
            </w:pPr>
            <w:r>
              <w:rPr>
                <w:rFonts w:ascii="Calibri" w:hAnsi="Calibri"/>
                <w:b w:val="0"/>
                <w:i w:val="0"/>
                <w:color w:val="212121"/>
                <w:sz w:val="19"/>
              </w:rPr>
              <w:t>No persistent oedema</w:t>
            </w:r>
          </w:p>
        </w:tc>
        <w:tc>
          <w:tcPr>
            <w:tcW w:type="dxa" w:w="1512"/>
            <w:vAlign w:val="top"/>
          </w:tcPr>
          <w:p>
            <w:pPr>
              <w:spacing w:after="40" w:before="0" w:line="259" w:lineRule="auto"/>
            </w:pPr>
            <w:r>
              <w:rPr>
                <w:rFonts w:ascii="Calibri" w:hAnsi="Calibri"/>
                <w:b w:val="0"/>
                <w:i w:val="0"/>
                <w:color w:val="212121"/>
                <w:sz w:val="19"/>
              </w:rPr>
              <w:t>Chronic unilateral limb swelling / lymphoedema</w:t>
            </w:r>
          </w:p>
        </w:tc>
        <w:tc>
          <w:tcPr>
            <w:tcW w:type="dxa" w:w="1468"/>
            <w:vAlign w:val="top"/>
          </w:tcPr>
          <w:p>
            <w:pPr>
              <w:spacing w:after="60" w:line="259" w:lineRule="auto"/>
            </w:pPr>
            <w:r>
              <w:rPr>
                <w:rFonts w:ascii="Calibri" w:hAnsi="Calibri"/>
                <w:b w:val="0"/>
                <w:i w:val="0"/>
                <w:color w:val="212121"/>
                <w:sz w:val="19"/>
              </w:rPr>
              <w:t>Standing oedema is the strongest driver of recurrent cellulitis.</w:t>
            </w:r>
          </w:p>
          <w:p>
            <w:pPr>
              <w:spacing w:after="40" w:line="252" w:lineRule="auto"/>
            </w:pPr>
            <w:hyperlink r:id="rId10">
              <w:r>
                <w:rPr>
                  <w:rFonts w:ascii="Calibri" w:hAnsi="Calibri" w:cs="Calibri"/>
                  <w:sz w:val="18"/>
                  <w:color w:val="1155CC"/>
                  <w:u w:val="single"/>
                </w:rPr>
                <w:t xml:space="preserve">https://www.ncbi.nlm.nih.gov/books/NBK532247/</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Interdigital tinea pedis / toe-web status</w:t>
            </w:r>
          </w:p>
        </w:tc>
        <w:tc>
          <w:tcPr>
            <w:tcW w:type="dxa" w:w="1655"/>
            <w:vAlign w:val="top"/>
          </w:tcPr>
          <w:p>
            <w:pPr>
              <w:spacing w:after="40" w:before="0" w:line="259" w:lineRule="auto"/>
            </w:pPr>
            <w:r>
              <w:rPr>
                <w:rFonts w:ascii="Calibri" w:hAnsi="Calibri"/>
                <w:b w:val="0"/>
                <w:i w:val="0"/>
                <w:color w:val="212121"/>
                <w:sz w:val="19"/>
              </w:rPr>
              <w:t>Lower-limb cellulitis, humid climate</w:t>
            </w:r>
          </w:p>
        </w:tc>
        <w:tc>
          <w:tcPr>
            <w:tcW w:type="dxa" w:w="1512"/>
            <w:vAlign w:val="top"/>
          </w:tcPr>
          <w:p>
            <w:pPr>
              <w:spacing w:after="40" w:before="0" w:line="259" w:lineRule="auto"/>
            </w:pPr>
            <w:r>
              <w:rPr>
                <w:rFonts w:ascii="Calibri" w:hAnsi="Calibri"/>
                <w:b w:val="0"/>
                <w:i w:val="0"/>
                <w:color w:val="212121"/>
                <w:sz w:val="19"/>
              </w:rPr>
              <w:t>No maceration; treated</w:t>
            </w:r>
          </w:p>
        </w:tc>
        <w:tc>
          <w:tcPr>
            <w:tcW w:type="dxa" w:w="1512"/>
            <w:vAlign w:val="top"/>
          </w:tcPr>
          <w:p>
            <w:pPr>
              <w:spacing w:after="40" w:before="0" w:line="259" w:lineRule="auto"/>
            </w:pPr>
            <w:r>
              <w:rPr>
                <w:rFonts w:ascii="Calibri" w:hAnsi="Calibri"/>
                <w:b w:val="0"/>
                <w:i w:val="0"/>
                <w:color w:val="212121"/>
                <w:sz w:val="19"/>
              </w:rPr>
              <w:t>Untreated toe-web maceration / fissuring</w:t>
            </w:r>
          </w:p>
        </w:tc>
        <w:tc>
          <w:tcPr>
            <w:tcW w:type="dxa" w:w="1468"/>
            <w:vAlign w:val="top"/>
          </w:tcPr>
          <w:p>
            <w:pPr>
              <w:spacing w:after="60" w:line="259" w:lineRule="auto"/>
            </w:pPr>
            <w:r>
              <w:rPr>
                <w:rFonts w:ascii="Calibri" w:hAnsi="Calibri"/>
                <w:b w:val="0"/>
                <w:i w:val="0"/>
                <w:color w:val="212121"/>
                <w:sz w:val="19"/>
              </w:rPr>
              <w:t>Toe-web tinea is a common, modifiable portal of entry; treat promptly.</w:t>
            </w:r>
          </w:p>
          <w:p>
            <w:pPr>
              <w:spacing w:after="40" w:line="252" w:lineRule="auto"/>
            </w:pPr>
            <w:hyperlink r:id="rId12">
              <w:r>
                <w:rPr>
                  <w:rFonts w:ascii="Calibri" w:hAnsi="Calibri" w:cs="Calibri"/>
                  <w:sz w:val="18"/>
                  <w:color w:val="1155CC"/>
                  <w:u w:val="single"/>
                </w:rPr>
                <w:t xml:space="preserve">https://www.nhs.uk/conditions/cellulitis/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foot inspection (diabetics)</w:t>
            </w:r>
          </w:p>
        </w:tc>
        <w:tc>
          <w:tcPr>
            <w:tcW w:type="dxa" w:w="1655"/>
            <w:vAlign w:val="top"/>
          </w:tcPr>
          <w:p>
            <w:pPr>
              <w:spacing w:after="40" w:before="0" w:line="259" w:lineRule="auto"/>
            </w:pPr>
            <w:r>
              <w:rPr>
                <w:rFonts w:ascii="Calibri" w:hAnsi="Calibri"/>
                <w:b w:val="0"/>
                <w:i w:val="0"/>
                <w:color w:val="212121"/>
                <w:sz w:val="19"/>
              </w:rPr>
              <w:t>Diabetic foot</w:t>
            </w:r>
          </w:p>
        </w:tc>
        <w:tc>
          <w:tcPr>
            <w:tcW w:type="dxa" w:w="1512"/>
            <w:vAlign w:val="top"/>
          </w:tcPr>
          <w:p>
            <w:pPr>
              <w:spacing w:after="40" w:before="0" w:line="259" w:lineRule="auto"/>
            </w:pPr>
            <w:r>
              <w:rPr>
                <w:rFonts w:ascii="Calibri" w:hAnsi="Calibri"/>
                <w:b w:val="0"/>
                <w:i w:val="0"/>
                <w:color w:val="212121"/>
                <w:sz w:val="19"/>
              </w:rPr>
              <w:t>Daily self-inspection + moisturising</w:t>
            </w:r>
          </w:p>
        </w:tc>
        <w:tc>
          <w:tcPr>
            <w:tcW w:type="dxa" w:w="1512"/>
            <w:vAlign w:val="top"/>
          </w:tcPr>
          <w:p>
            <w:pPr>
              <w:spacing w:after="40" w:before="0" w:line="259" w:lineRule="auto"/>
            </w:pPr>
            <w:r>
              <w:rPr>
                <w:rFonts w:ascii="Calibri" w:hAnsi="Calibri"/>
                <w:b w:val="0"/>
                <w:i w:val="0"/>
                <w:color w:val="212121"/>
                <w:sz w:val="19"/>
              </w:rPr>
              <w:t>No routine inspection</w:t>
            </w:r>
          </w:p>
        </w:tc>
        <w:tc>
          <w:tcPr>
            <w:tcW w:type="dxa" w:w="1468"/>
            <w:vAlign w:val="top"/>
          </w:tcPr>
          <w:p>
            <w:pPr>
              <w:spacing w:after="60" w:line="259" w:lineRule="auto"/>
            </w:pPr>
            <w:r>
              <w:rPr>
                <w:rFonts w:ascii="Calibri" w:hAnsi="Calibri"/>
                <w:b w:val="0"/>
                <w:i w:val="0"/>
                <w:color w:val="212121"/>
                <w:sz w:val="19"/>
              </w:rPr>
              <w:t>Detects unnoticed neuropathic trauma before it becomes a portal.</w:t>
            </w:r>
          </w:p>
          <w:p>
            <w:pPr>
              <w:spacing w:after="40" w:line="252" w:lineRule="auto"/>
            </w:pPr>
            <w:hyperlink r:id="rId14">
              <w:r>
                <w:rPr>
                  <w:rFonts w:ascii="Calibri" w:hAnsi="Calibri" w:cs="Calibri"/>
                  <w:sz w:val="18"/>
                  <w:color w:val="1155CC"/>
                  <w:u w:val="single"/>
                </w:rPr>
                <w:t xml:space="preserve">https://www.mayoclinic.org/diseases-conditions/cellulitis/symptoms-causes/syc-20370762</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(glycaemic control)</w:t>
            </w:r>
          </w:p>
        </w:tc>
        <w:tc>
          <w:tcPr>
            <w:tcW w:type="dxa" w:w="1655"/>
            <w:vAlign w:val="top"/>
          </w:tcPr>
          <w:p>
            <w:pPr>
              <w:spacing w:after="40" w:before="0" w:line="259" w:lineRule="auto"/>
            </w:pPr>
            <w:r>
              <w:rPr>
                <w:rFonts w:ascii="Calibri" w:hAnsi="Calibri"/>
                <w:b w:val="0"/>
                <w:i w:val="0"/>
                <w:color w:val="212121"/>
                <w:sz w:val="19"/>
              </w:rPr>
              <w:t>Diabetic / recurrent cellulitis</w:t>
            </w:r>
          </w:p>
        </w:tc>
        <w:tc>
          <w:tcPr>
            <w:tcW w:type="dxa" w:w="1512"/>
            <w:vAlign w:val="top"/>
          </w:tcPr>
          <w:p>
            <w:pPr>
              <w:spacing w:after="40" w:before="0" w:line="259" w:lineRule="auto"/>
            </w:pPr>
            <w:r>
              <w:rPr>
                <w:rFonts w:ascii="Calibri" w:hAnsi="Calibri"/>
                <w:b w:val="0"/>
                <w:i w:val="0"/>
                <w:color w:val="212121"/>
                <w:sz w:val="19"/>
              </w:rPr>
              <w:t>&lt;7% (individualised target)</w:t>
            </w:r>
          </w:p>
        </w:tc>
        <w:tc>
          <w:tcPr>
            <w:tcW w:type="dxa" w:w="1512"/>
            <w:vAlign w:val="top"/>
          </w:tcPr>
          <w:p>
            <w:pPr>
              <w:spacing w:after="40" w:before="0" w:line="259" w:lineRule="auto"/>
            </w:pPr>
            <w:r>
              <w:rPr>
                <w:rFonts w:ascii="Calibri" w:hAnsi="Calibri"/>
                <w:b w:val="0"/>
                <w:i w:val="0"/>
                <w:color w:val="212121"/>
                <w:sz w:val="19"/>
              </w:rPr>
              <w:t>&gt;8% (poor control)</w:t>
            </w:r>
          </w:p>
        </w:tc>
        <w:tc>
          <w:tcPr>
            <w:tcW w:type="dxa" w:w="1468"/>
            <w:vAlign w:val="top"/>
          </w:tcPr>
          <w:p>
            <w:pPr>
              <w:spacing w:after="40" w:before="0" w:line="259" w:lineRule="auto"/>
            </w:pPr>
            <w:r>
              <w:rPr>
                <w:rFonts w:ascii="Calibri" w:hAnsi="Calibri"/>
                <w:b w:val="0"/>
                <w:i w:val="0"/>
                <w:color w:val="212121"/>
                <w:sz w:val="19"/>
              </w:rPr>
              <w:t>Chronic hyperglycaemia impairs neutrophil function and wound healing.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blood glucose</w:t>
            </w:r>
          </w:p>
        </w:tc>
        <w:tc>
          <w:tcPr>
            <w:tcW w:type="dxa" w:w="1655"/>
            <w:vAlign w:val="top"/>
          </w:tcPr>
          <w:p>
            <w:pPr>
              <w:spacing w:after="40" w:before="0" w:line="259" w:lineRule="auto"/>
            </w:pPr>
            <w:r>
              <w:rPr>
                <w:rFonts w:ascii="Calibri" w:hAnsi="Calibri"/>
                <w:b w:val="0"/>
                <w:i w:val="0"/>
                <w:color w:val="212121"/>
                <w:sz w:val="19"/>
              </w:rPr>
              <w:t>All adults, diabetic foot</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≥126 mg/dL / uncontrolled</w:t>
            </w:r>
          </w:p>
        </w:tc>
        <w:tc>
          <w:tcPr>
            <w:tcW w:type="dxa" w:w="1468"/>
            <w:vAlign w:val="top"/>
          </w:tcPr>
          <w:p>
            <w:pPr>
              <w:spacing w:after="40" w:before="0" w:line="259" w:lineRule="auto"/>
            </w:pPr>
            <w:r>
              <w:rPr>
                <w:rFonts w:ascii="Calibri" w:hAnsi="Calibri"/>
                <w:b w:val="0"/>
                <w:i w:val="0"/>
                <w:color w:val="212121"/>
                <w:sz w:val="19"/>
              </w:rPr>
              <w:t>Screen for underlying diabetes precipitating infection (common in India).</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PAD, diabetics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≥1 cigarette/day</w:t>
            </w:r>
          </w:p>
        </w:tc>
        <w:tc>
          <w:tcPr>
            <w:tcW w:type="dxa" w:w="1468"/>
            <w:vAlign w:val="top"/>
          </w:tcPr>
          <w:p>
            <w:pPr>
              <w:spacing w:after="40" w:before="0" w:line="259" w:lineRule="auto"/>
            </w:pPr>
            <w:r>
              <w:rPr>
                <w:rFonts w:ascii="Calibri" w:hAnsi="Calibri"/>
                <w:b w:val="0"/>
                <w:i w:val="0"/>
                <w:color w:val="212121"/>
                <w:sz w:val="19"/>
              </w:rPr>
              <w:t>Smoking impairs microcirculation and delays healing.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Heavy drinkers, cirrhosis</w:t>
            </w:r>
          </w:p>
        </w:tc>
        <w:tc>
          <w:tcPr>
            <w:tcW w:type="dxa" w:w="1512"/>
            <w:vAlign w:val="top"/>
          </w:tcPr>
          <w:p>
            <w:pPr>
              <w:spacing w:after="40" w:before="0" w:line="259" w:lineRule="auto"/>
            </w:pPr>
            <w:r>
              <w:rPr>
                <w:rFonts w:ascii="Calibri" w:hAnsi="Calibri"/>
                <w:b w:val="0"/>
                <w:i w:val="0"/>
                <w:color w:val="212121"/>
                <w:sz w:val="19"/>
              </w:rPr>
              <w:t>Within low-risk limits / abstinence</w:t>
            </w:r>
          </w:p>
        </w:tc>
        <w:tc>
          <w:tcPr>
            <w:tcW w:type="dxa" w:w="1512"/>
            <w:vAlign w:val="top"/>
          </w:tcPr>
          <w:p>
            <w:pPr>
              <w:spacing w:after="40" w:before="0" w:line="259" w:lineRule="auto"/>
            </w:pPr>
            <w:r>
              <w:rPr>
                <w:rFonts w:ascii="Calibri" w:hAnsi="Calibri"/>
                <w:b w:val="0"/>
                <w:i w:val="0"/>
                <w:color w:val="212121"/>
                <w:sz w:val="19"/>
              </w:rPr>
              <w:t>Heavy use or established cirrhosis</w:t>
            </w:r>
          </w:p>
        </w:tc>
        <w:tc>
          <w:tcPr>
            <w:tcW w:type="dxa" w:w="1468"/>
            <w:vAlign w:val="top"/>
          </w:tcPr>
          <w:p>
            <w:pPr>
              <w:spacing w:after="60" w:line="259" w:lineRule="auto"/>
            </w:pPr>
            <w:r>
              <w:rPr>
                <w:rFonts w:ascii="Calibri" w:hAnsi="Calibri"/>
                <w:b w:val="0"/>
                <w:i w:val="0"/>
                <w:color w:val="212121"/>
                <w:sz w:val="19"/>
              </w:rPr>
              <w:t>Cirrhosis-related oedema and immune impairment raise risk.</w:t>
            </w:r>
          </w:p>
          <w:p>
            <w:pPr>
              <w:spacing w:after="40" w:line="252" w:lineRule="auto"/>
            </w:pPr>
            <w:hyperlink r:id="rId13">
              <w:r>
                <w:rPr>
                  <w:rFonts w:ascii="Calibri" w:hAnsi="Calibri" w:cs="Calibri"/>
                  <w:sz w:val="18"/>
                  <w:color w:val="1155CC"/>
                  <w:u w:val="single"/>
                </w:rPr>
                <w:t xml:space="preserve">https://dermnetnz.org/topics/cellulitis</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Skin-barrier integrity</w:t>
            </w:r>
          </w:p>
        </w:tc>
        <w:tc>
          <w:tcPr>
            <w:tcW w:type="dxa" w:w="1655"/>
            <w:vAlign w:val="top"/>
          </w:tcPr>
          <w:p>
            <w:pPr>
              <w:spacing w:after="40" w:before="0" w:line="259" w:lineRule="auto"/>
            </w:pPr>
            <w:r>
              <w:rPr>
                <w:rFonts w:ascii="Calibri" w:hAnsi="Calibri"/>
                <w:b w:val="0"/>
                <w:i w:val="0"/>
                <w:color w:val="212121"/>
                <w:sz w:val="19"/>
              </w:rPr>
              <w:t>All at-risk limbs</w:t>
            </w:r>
          </w:p>
        </w:tc>
        <w:tc>
          <w:tcPr>
            <w:tcW w:type="dxa" w:w="1512"/>
            <w:vAlign w:val="top"/>
          </w:tcPr>
          <w:p>
            <w:pPr>
              <w:spacing w:after="40" w:before="0" w:line="259" w:lineRule="auto"/>
            </w:pPr>
            <w:r>
              <w:rPr>
                <w:rFonts w:ascii="Calibri" w:hAnsi="Calibri"/>
                <w:b w:val="0"/>
                <w:i w:val="0"/>
                <w:color w:val="212121"/>
                <w:sz w:val="19"/>
              </w:rPr>
              <w:t>Intact skin</w:t>
            </w:r>
          </w:p>
        </w:tc>
        <w:tc>
          <w:tcPr>
            <w:tcW w:type="dxa" w:w="1512"/>
            <w:vAlign w:val="top"/>
          </w:tcPr>
          <w:p>
            <w:pPr>
              <w:spacing w:after="40" w:before="0" w:line="259" w:lineRule="auto"/>
            </w:pPr>
            <w:r>
              <w:rPr>
                <w:rFonts w:ascii="Calibri" w:hAnsi="Calibri"/>
                <w:b w:val="0"/>
                <w:i w:val="0"/>
                <w:color w:val="212121"/>
                <w:sz w:val="19"/>
              </w:rPr>
              <w:t>Any open wound, ulcer, fissure or bite</w:t>
            </w:r>
          </w:p>
        </w:tc>
        <w:tc>
          <w:tcPr>
            <w:tcW w:type="dxa" w:w="1468"/>
            <w:vAlign w:val="top"/>
          </w:tcPr>
          <w:p>
            <w:pPr>
              <w:spacing w:after="60" w:line="259" w:lineRule="auto"/>
            </w:pPr>
            <w:r>
              <w:rPr>
                <w:rFonts w:ascii="Calibri" w:hAnsi="Calibri"/>
                <w:b w:val="0"/>
                <w:i w:val="0"/>
                <w:color w:val="212121"/>
                <w:sz w:val="19"/>
              </w:rPr>
              <w:t>A breach is the key entry point; prompt wound care is preventive.</w:t>
            </w:r>
          </w:p>
          <w:p>
            <w:pPr>
              <w:spacing w:after="40" w:line="252" w:lineRule="auto"/>
            </w:pPr>
            <w:hyperlink r:id="rId9">
              <w:r>
                <w:rPr>
                  <w:rFonts w:ascii="Calibri" w:hAnsi="Calibri" w:cs="Calibri"/>
                  <w:sz w:val="18"/>
                  <w:color w:val="1155CC"/>
                  <w:u w:val="single"/>
                </w:rPr>
                <w:t xml:space="preserve">https://www.ncbi.nlm.nih.gov/books/NBK549770/</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Hematology</w:t>
            </w:r>
          </w:p>
        </w:tc>
        <w:tc>
          <w:tcPr>
            <w:tcW w:type="dxa" w:w="1036"/>
            <w:vAlign w:val="top"/>
          </w:tcPr>
          <w:p>
            <w:pPr>
              <w:spacing w:after="40" w:before="0" w:line="259" w:lineRule="auto"/>
            </w:pPr>
            <w:r>
              <w:rPr>
                <w:rFonts w:ascii="Calibri" w:hAnsi="Calibri"/>
                <w:b w:val="0"/>
                <w:i w:val="0"/>
                <w:color w:val="212121"/>
                <w:sz w:val="16"/>
              </w:rPr>
              <w:t>Total leukocyte count / neutrophils</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TLC 4,000–11,000 /µL</w:t>
            </w:r>
          </w:p>
        </w:tc>
        <w:tc>
          <w:tcPr>
            <w:tcW w:type="dxa" w:w="950"/>
            <w:vAlign w:val="top"/>
          </w:tcPr>
          <w:p>
            <w:pPr>
              <w:spacing w:after="40" w:before="0" w:line="259" w:lineRule="auto"/>
            </w:pPr>
            <w:r>
              <w:rPr>
                <w:rFonts w:ascii="Calibri" w:hAnsi="Calibri"/>
                <w:b w:val="0"/>
                <w:i w:val="0"/>
                <w:color w:val="212121"/>
                <w:sz w:val="16"/>
              </w:rPr>
              <w:t>Leukocytosis with neutrophilia</w:t>
            </w:r>
          </w:p>
        </w:tc>
        <w:tc>
          <w:tcPr>
            <w:tcW w:type="dxa" w:w="1036"/>
            <w:vAlign w:val="top"/>
          </w:tcPr>
          <w:p>
            <w:pPr>
              <w:spacing w:after="40" w:before="0" w:line="259" w:lineRule="auto"/>
            </w:pPr>
            <w:r>
              <w:rPr>
                <w:rFonts w:ascii="Calibri" w:hAnsi="Calibri"/>
                <w:b w:val="0"/>
                <w:i w:val="0"/>
                <w:color w:val="212121"/>
                <w:sz w:val="16"/>
              </w:rPr>
              <w:t>Supports bacterial infection and severity</w:t>
            </w:r>
          </w:p>
        </w:tc>
        <w:tc>
          <w:tcPr>
            <w:tcW w:type="dxa" w:w="1036"/>
            <w:vAlign w:val="top"/>
          </w:tcPr>
          <w:p>
            <w:pPr>
              <w:spacing w:after="40" w:before="0" w:line="259" w:lineRule="auto"/>
            </w:pPr>
            <w:r>
              <w:rPr>
                <w:rFonts w:ascii="Calibri" w:hAnsi="Calibri"/>
                <w:b w:val="0"/>
                <w:i w:val="0"/>
                <w:color w:val="212121"/>
                <w:sz w:val="16"/>
              </w:rPr>
              <w:t>Febrile, systemically unwell, immunocompromised</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May be normal in mild, localized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(CRP)</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&lt;10 mg/L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Tracks severity and response to therapy</w:t>
            </w:r>
          </w:p>
        </w:tc>
        <w:tc>
          <w:tcPr>
            <w:tcW w:type="dxa" w:w="1036"/>
            <w:vAlign w:val="top"/>
          </w:tcPr>
          <w:p>
            <w:pPr>
              <w:spacing w:after="40" w:before="0" w:line="259" w:lineRule="auto"/>
            </w:pPr>
            <w:r>
              <w:rPr>
                <w:rFonts w:ascii="Calibri" w:hAnsi="Calibri"/>
                <w:b w:val="0"/>
                <w:i w:val="0"/>
                <w:color w:val="212121"/>
                <w:sz w:val="16"/>
              </w:rPr>
              <w:t>Moderate–severe cellulitis</w:t>
            </w:r>
          </w:p>
        </w:tc>
        <w:tc>
          <w:tcPr>
            <w:tcW w:type="dxa" w:w="720"/>
            <w:vAlign w:val="top"/>
          </w:tcPr>
          <w:p>
            <w:pPr>
              <w:spacing w:after="40" w:before="0" w:line="259" w:lineRule="auto"/>
            </w:pPr>
            <w:r>
              <w:rPr>
                <w:rFonts w:ascii="Calibri" w:hAnsi="Calibri"/>
                <w:b w:val="0"/>
                <w:i w:val="0"/>
                <w:color w:val="212121"/>
                <w:sz w:val="16"/>
              </w:rPr>
              <w:t>-</w:t>
            </w:r>
          </w:p>
        </w:tc>
        <w:tc>
          <w:tcPr>
            <w:tcW w:type="dxa" w:w="720"/>
            <w:vAlign w:val="top"/>
          </w:tcPr>
          <w:p>
            <w:pPr>
              <w:spacing w:after="40" w:before="0" w:line="259" w:lineRule="auto"/>
            </w:pPr>
            <w:r>
              <w:rPr>
                <w:rFonts w:ascii="Calibri" w:hAnsi="Calibri"/>
                <w:b w:val="0"/>
                <w:i w:val="0"/>
                <w:color w:val="212121"/>
                <w:sz w:val="16"/>
              </w:rPr>
              <w:t>Supportive / monitoring</w:t>
            </w:r>
          </w:p>
        </w:tc>
        <w:tc>
          <w:tcPr>
            <w:tcW w:type="dxa" w:w="720"/>
            <w:vAlign w:val="top"/>
          </w:tcPr>
          <w:p>
            <w:pPr>
              <w:spacing w:after="40" w:before="0" w:line="259" w:lineRule="auto"/>
            </w:pPr>
            <w:r>
              <w:rPr>
                <w:rFonts w:ascii="Calibri" w:hAnsi="Calibri"/>
                <w:b w:val="0"/>
                <w:i w:val="0"/>
                <w:color w:val="212121"/>
                <w:sz w:val="16"/>
              </w:rPr>
              <w:t>Higher CRP may predict need for admission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&lt;20 mm/hr</w:t>
            </w:r>
          </w:p>
        </w:tc>
        <w:tc>
          <w:tcPr>
            <w:tcW w:type="dxa" w:w="950"/>
            <w:vAlign w:val="top"/>
          </w:tcPr>
          <w:p>
            <w:pPr>
              <w:spacing w:after="40" w:before="0" w:line="259" w:lineRule="auto"/>
            </w:pPr>
            <w:r>
              <w:rPr>
                <w:rFonts w:ascii="Calibri" w:hAnsi="Calibri"/>
                <w:b w:val="0"/>
                <w:i w:val="0"/>
                <w:color w:val="212121"/>
                <w:sz w:val="16"/>
              </w:rPr>
              <w:t>Raised</w:t>
            </w:r>
          </w:p>
        </w:tc>
        <w:tc>
          <w:tcPr>
            <w:tcW w:type="dxa" w:w="1036"/>
            <w:vAlign w:val="top"/>
          </w:tcPr>
          <w:p>
            <w:pPr>
              <w:spacing w:after="40" w:before="0" w:line="259" w:lineRule="auto"/>
            </w:pPr>
            <w:r>
              <w:rPr>
                <w:rFonts w:ascii="Calibri" w:hAnsi="Calibri"/>
                <w:b w:val="0"/>
                <w:i w:val="0"/>
                <w:color w:val="212121"/>
                <w:sz w:val="16"/>
              </w:rPr>
              <w:t>Non-specific inflammation; persistent elevation may suggest osteomyelitis</w:t>
            </w:r>
          </w:p>
        </w:tc>
        <w:tc>
          <w:tcPr>
            <w:tcW w:type="dxa" w:w="1036"/>
            <w:vAlign w:val="top"/>
          </w:tcPr>
          <w:p>
            <w:pPr>
              <w:spacing w:after="40" w:before="0" w:line="259" w:lineRule="auto"/>
            </w:pPr>
            <w:r>
              <w:rPr>
                <w:rFonts w:ascii="Calibri" w:hAnsi="Calibri"/>
                <w:b w:val="0"/>
                <w:i w:val="0"/>
                <w:color w:val="212121"/>
                <w:sz w:val="16"/>
              </w:rPr>
              <w:t>Diabetic foot, non-resolving cases</w:t>
            </w:r>
          </w:p>
        </w:tc>
        <w:tc>
          <w:tcPr>
            <w:tcW w:type="dxa" w:w="720"/>
            <w:vAlign w:val="top"/>
          </w:tcPr>
          <w:p>
            <w:pPr>
              <w:spacing w:after="40" w:before="0" w:line="259" w:lineRule="auto"/>
            </w:pPr>
            <w:r>
              <w:rPr>
                <w:rFonts w:ascii="Calibri" w:hAnsi="Calibri"/>
                <w:b w:val="0"/>
                <w:i w:val="0"/>
                <w:color w:val="212121"/>
                <w:sz w:val="16"/>
              </w:rPr>
              <w:t>-</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Blood culture &amp; sensitivity</w:t>
            </w:r>
          </w:p>
        </w:tc>
        <w:tc>
          <w:tcPr>
            <w:tcW w:type="dxa" w:w="892"/>
            <w:vAlign w:val="top"/>
          </w:tcPr>
          <w:p>
            <w:pPr>
              <w:spacing w:after="40" w:before="0" w:line="259" w:lineRule="auto"/>
            </w:pPr>
            <w:r>
              <w:rPr>
                <w:rFonts w:ascii="Calibri" w:hAnsi="Calibri"/>
                <w:b w:val="0"/>
                <w:i w:val="0"/>
                <w:color w:val="212121"/>
                <w:sz w:val="16"/>
              </w:rPr>
              <w:t>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Streptococci / staphylococci isolated</w:t>
            </w:r>
          </w:p>
        </w:tc>
        <w:tc>
          <w:tcPr>
            <w:tcW w:type="dxa" w:w="1036"/>
            <w:vAlign w:val="top"/>
          </w:tcPr>
          <w:p>
            <w:pPr>
              <w:spacing w:after="40" w:before="0" w:line="259" w:lineRule="auto"/>
            </w:pPr>
            <w:r>
              <w:rPr>
                <w:rFonts w:ascii="Calibri" w:hAnsi="Calibri"/>
                <w:b w:val="0"/>
                <w:i w:val="0"/>
                <w:color w:val="212121"/>
                <w:sz w:val="16"/>
              </w:rPr>
              <w:t>Confirms bacteraemia; low yield (&lt;5–10%)</w:t>
            </w:r>
          </w:p>
        </w:tc>
        <w:tc>
          <w:tcPr>
            <w:tcW w:type="dxa" w:w="1036"/>
            <w:vAlign w:val="top"/>
          </w:tcPr>
          <w:p>
            <w:pPr>
              <w:spacing w:after="40" w:before="0" w:line="259" w:lineRule="auto"/>
            </w:pPr>
            <w:r>
              <w:rPr>
                <w:rFonts w:ascii="Calibri" w:hAnsi="Calibri"/>
                <w:b w:val="0"/>
                <w:i w:val="0"/>
                <w:color w:val="212121"/>
                <w:sz w:val="16"/>
              </w:rPr>
              <w:t>Sepsis, immunocompromised, extremes of age</w:t>
            </w:r>
          </w:p>
        </w:tc>
        <w:tc>
          <w:tcPr>
            <w:tcW w:type="dxa" w:w="720"/>
            <w:vAlign w:val="top"/>
          </w:tcPr>
          <w:p>
            <w:pPr>
              <w:spacing w:after="40" w:before="0" w:line="259" w:lineRule="auto"/>
            </w:pPr>
            <w:r>
              <w:rPr>
                <w:rFonts w:ascii="Calibri" w:hAnsi="Calibri"/>
                <w:b w:val="0"/>
                <w:i w:val="0"/>
                <w:color w:val="212121"/>
                <w:sz w:val="16"/>
              </w:rPr>
              <w:t>-</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Reserve for systemic toxicity or immunocompromise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Wound / pus swab or aspirate culture</w:t>
            </w:r>
          </w:p>
        </w:tc>
        <w:tc>
          <w:tcPr>
            <w:tcW w:type="dxa" w:w="892"/>
            <w:vAlign w:val="top"/>
          </w:tcPr>
          <w:p>
            <w:pPr>
              <w:spacing w:after="40" w:before="0" w:line="259" w:lineRule="auto"/>
            </w:pPr>
            <w:r>
              <w:rPr>
                <w:rFonts w:ascii="Calibri" w:hAnsi="Calibri"/>
                <w:b w:val="0"/>
                <w:i w:val="0"/>
                <w:color w:val="212121"/>
                <w:sz w:val="16"/>
              </w:rPr>
              <w:t>Culture &amp; sensitivity</w:t>
            </w:r>
          </w:p>
        </w:tc>
        <w:tc>
          <w:tcPr>
            <w:tcW w:type="dxa" w:w="950"/>
            <w:vAlign w:val="top"/>
          </w:tcPr>
          <w:p>
            <w:pPr>
              <w:spacing w:after="40" w:before="0" w:line="259" w:lineRule="auto"/>
            </w:pPr>
            <w:r>
              <w:rPr>
                <w:rFonts w:ascii="Calibri" w:hAnsi="Calibri"/>
                <w:b w:val="0"/>
                <w:i w:val="0"/>
                <w:color w:val="212121"/>
                <w:sz w:val="16"/>
              </w:rPr>
              <w:t>N/A (no pus)</w:t>
            </w:r>
          </w:p>
        </w:tc>
        <w:tc>
          <w:tcPr>
            <w:tcW w:type="dxa" w:w="950"/>
            <w:vAlign w:val="top"/>
          </w:tcPr>
          <w:p>
            <w:pPr>
              <w:spacing w:after="40" w:before="0" w:line="259" w:lineRule="auto"/>
            </w:pPr>
            <w:r>
              <w:rPr>
                <w:rFonts w:ascii="Calibri" w:hAnsi="Calibri"/>
                <w:b w:val="0"/>
                <w:i w:val="0"/>
                <w:color w:val="212121"/>
                <w:sz w:val="16"/>
              </w:rPr>
              <w:t>Pathogen with sensitivities</w:t>
            </w:r>
          </w:p>
        </w:tc>
        <w:tc>
          <w:tcPr>
            <w:tcW w:type="dxa" w:w="1036"/>
            <w:vAlign w:val="top"/>
          </w:tcPr>
          <w:p>
            <w:pPr>
              <w:spacing w:after="40" w:before="0" w:line="259" w:lineRule="auto"/>
            </w:pPr>
            <w:r>
              <w:rPr>
                <w:rFonts w:ascii="Calibri" w:hAnsi="Calibri"/>
                <w:b w:val="0"/>
                <w:i w:val="0"/>
                <w:color w:val="212121"/>
                <w:sz w:val="16"/>
              </w:rPr>
              <w:t>Guides targeted therapy including MRSA cover</w:t>
            </w:r>
          </w:p>
        </w:tc>
        <w:tc>
          <w:tcPr>
            <w:tcW w:type="dxa" w:w="1036"/>
            <w:vAlign w:val="top"/>
          </w:tcPr>
          <w:p>
            <w:pPr>
              <w:spacing w:after="40" w:before="0" w:line="259" w:lineRule="auto"/>
            </w:pPr>
            <w:r>
              <w:rPr>
                <w:rFonts w:ascii="Calibri" w:hAnsi="Calibri"/>
                <w:b w:val="0"/>
                <w:i w:val="0"/>
                <w:color w:val="212121"/>
                <w:sz w:val="16"/>
              </w:rPr>
              <w:t>Abscess, ulcer, open or purulent wound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when pus present</w:t>
            </w:r>
          </w:p>
        </w:tc>
        <w:tc>
          <w:tcPr>
            <w:tcW w:type="dxa" w:w="720"/>
            <w:vAlign w:val="top"/>
          </w:tcPr>
          <w:p>
            <w:pPr>
              <w:spacing w:after="40" w:before="0" w:line="259" w:lineRule="auto"/>
            </w:pPr>
            <w:r>
              <w:rPr>
                <w:rFonts w:ascii="Calibri" w:hAnsi="Calibri"/>
                <w:b w:val="0"/>
                <w:i w:val="0"/>
                <w:color w:val="212121"/>
                <w:sz w:val="16"/>
              </w:rPr>
              <w:t>Rising community MRSA in Indian SSTI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 &amp;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FBS 70–99 mg/dL; HbA1c &lt;5.7%</w:t>
            </w:r>
          </w:p>
        </w:tc>
        <w:tc>
          <w:tcPr>
            <w:tcW w:type="dxa" w:w="950"/>
            <w:vAlign w:val="top"/>
          </w:tcPr>
          <w:p>
            <w:pPr>
              <w:spacing w:after="40" w:before="0" w:line="259" w:lineRule="auto"/>
            </w:pPr>
            <w:r>
              <w:rPr>
                <w:rFonts w:ascii="Calibri" w:hAnsi="Calibri"/>
                <w:b w:val="0"/>
                <w:i w:val="0"/>
                <w:color w:val="212121"/>
                <w:sz w:val="16"/>
              </w:rPr>
              <w:t>FBS ≥126; HbA1c ≥6.5%</w:t>
            </w:r>
          </w:p>
        </w:tc>
        <w:tc>
          <w:tcPr>
            <w:tcW w:type="dxa" w:w="1036"/>
            <w:vAlign w:val="top"/>
          </w:tcPr>
          <w:p>
            <w:pPr>
              <w:spacing w:after="40" w:before="0" w:line="259" w:lineRule="auto"/>
            </w:pPr>
            <w:r>
              <w:rPr>
                <w:rFonts w:ascii="Calibri" w:hAnsi="Calibri"/>
                <w:b w:val="0"/>
                <w:i w:val="0"/>
                <w:color w:val="212121"/>
                <w:sz w:val="16"/>
              </w:rPr>
              <w:t>Detects underlying / uncontrolled diabetes that precipitates and worsens infection</w:t>
            </w:r>
          </w:p>
        </w:tc>
        <w:tc>
          <w:tcPr>
            <w:tcW w:type="dxa" w:w="1036"/>
            <w:vAlign w:val="top"/>
          </w:tcPr>
          <w:p>
            <w:pPr>
              <w:spacing w:after="40" w:before="0" w:line="259" w:lineRule="auto"/>
            </w:pPr>
            <w:r>
              <w:rPr>
                <w:rFonts w:ascii="Calibri" w:hAnsi="Calibri"/>
                <w:b w:val="0"/>
                <w:i w:val="0"/>
                <w:color w:val="212121"/>
                <w:sz w:val="16"/>
              </w:rPr>
              <w:t>All adults, diabetic foot, recurrent cellulitis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 (India)</w:t>
            </w:r>
          </w:p>
        </w:tc>
        <w:tc>
          <w:tcPr>
            <w:tcW w:type="dxa" w:w="720"/>
            <w:vAlign w:val="top"/>
          </w:tcPr>
          <w:p>
            <w:pPr>
              <w:spacing w:after="40" w:before="0" w:line="259" w:lineRule="auto"/>
            </w:pPr>
            <w:r>
              <w:rPr>
                <w:rFonts w:ascii="Calibri" w:hAnsi="Calibri"/>
                <w:b w:val="0"/>
                <w:i w:val="0"/>
                <w:color w:val="212121"/>
                <w:sz w:val="16"/>
              </w:rPr>
              <w:t>Uncontrolled glycaemia impairs healing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Soft-tissue ultrasound / venous Doppler</w:t>
            </w:r>
          </w:p>
        </w:tc>
        <w:tc>
          <w:tcPr>
            <w:tcW w:type="dxa" w:w="892"/>
            <w:vAlign w:val="top"/>
          </w:tcPr>
          <w:p>
            <w:pPr>
              <w:spacing w:after="40" w:before="0" w:line="259" w:lineRule="auto"/>
            </w:pPr>
            <w:r>
              <w:rPr>
                <w:rFonts w:ascii="Calibri" w:hAnsi="Calibri"/>
                <w:b w:val="0"/>
                <w:i w:val="0"/>
                <w:color w:val="212121"/>
                <w:sz w:val="16"/>
              </w:rPr>
              <w:t>Ultrasound</w:t>
            </w:r>
          </w:p>
        </w:tc>
        <w:tc>
          <w:tcPr>
            <w:tcW w:type="dxa" w:w="950"/>
            <w:vAlign w:val="top"/>
          </w:tcPr>
          <w:p>
            <w:pPr>
              <w:spacing w:after="40" w:before="0" w:line="259" w:lineRule="auto"/>
            </w:pPr>
            <w:r>
              <w:rPr>
                <w:rFonts w:ascii="Calibri" w:hAnsi="Calibri"/>
                <w:b w:val="0"/>
                <w:i w:val="0"/>
                <w:color w:val="212121"/>
                <w:sz w:val="16"/>
              </w:rPr>
              <w:t>No collection; patent veins</w:t>
            </w:r>
          </w:p>
        </w:tc>
        <w:tc>
          <w:tcPr>
            <w:tcW w:type="dxa" w:w="950"/>
            <w:vAlign w:val="top"/>
          </w:tcPr>
          <w:p>
            <w:pPr>
              <w:spacing w:after="40" w:before="0" w:line="259" w:lineRule="auto"/>
            </w:pPr>
            <w:r>
              <w:rPr>
                <w:rFonts w:ascii="Calibri" w:hAnsi="Calibri"/>
                <w:b w:val="0"/>
                <w:i w:val="0"/>
                <w:color w:val="212121"/>
                <w:sz w:val="16"/>
              </w:rPr>
              <w:t>Abscess/collection; DVT</w:t>
            </w:r>
          </w:p>
        </w:tc>
        <w:tc>
          <w:tcPr>
            <w:tcW w:type="dxa" w:w="1036"/>
            <w:vAlign w:val="top"/>
          </w:tcPr>
          <w:p>
            <w:pPr>
              <w:spacing w:after="40" w:before="0" w:line="259" w:lineRule="auto"/>
            </w:pPr>
            <w:r>
              <w:rPr>
                <w:rFonts w:ascii="Calibri" w:hAnsi="Calibri"/>
                <w:b w:val="0"/>
                <w:i w:val="0"/>
                <w:color w:val="212121"/>
                <w:sz w:val="16"/>
              </w:rPr>
              <w:t>Excludes drainable abscess and DVT mimicking cellulitis</w:t>
            </w:r>
          </w:p>
        </w:tc>
        <w:tc>
          <w:tcPr>
            <w:tcW w:type="dxa" w:w="1036"/>
            <w:vAlign w:val="top"/>
          </w:tcPr>
          <w:p>
            <w:pPr>
              <w:spacing w:after="40" w:before="0" w:line="259" w:lineRule="auto"/>
            </w:pPr>
            <w:r>
              <w:rPr>
                <w:rFonts w:ascii="Calibri" w:hAnsi="Calibri"/>
                <w:b w:val="0"/>
                <w:i w:val="0"/>
                <w:color w:val="212121"/>
                <w:sz w:val="16"/>
              </w:rPr>
              <w:t>Fluctuant swelling, unilateral leg swelling, non-responders</w:t>
            </w:r>
          </w:p>
        </w:tc>
        <w:tc>
          <w:tcPr>
            <w:tcW w:type="dxa" w:w="720"/>
            <w:vAlign w:val="top"/>
          </w:tcPr>
          <w:p>
            <w:pPr>
              <w:spacing w:after="40" w:before="0" w:line="259" w:lineRule="auto"/>
            </w:pPr>
            <w:r>
              <w:rPr>
                <w:rFonts w:ascii="Calibri" w:hAnsi="Calibri"/>
                <w:b w:val="0"/>
                <w:i w:val="0"/>
                <w:color w:val="212121"/>
                <w:sz w:val="16"/>
              </w:rPr>
              <w:t>-</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CT/MRI if necrotizing infection suspected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Acute unilateral red, hot, swollen, painful skin ± fever/chills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Cardinal presentation of cellulitis/erysipelas</w:t>
            </w:r>
          </w:p>
        </w:tc>
        <w:tc>
          <w:tcPr>
            <w:tcW w:type="dxa" w:w="1036"/>
            <w:vAlign w:val="top"/>
          </w:tcPr>
          <w:p>
            <w:pPr>
              <w:spacing w:after="40" w:before="0" w:line="259" w:lineRule="auto"/>
            </w:pPr>
            <w:r>
              <w:rPr>
                <w:rFonts w:ascii="Calibri" w:hAnsi="Calibri"/>
                <w:b w:val="0"/>
                <w:i w:val="0"/>
                <w:color w:val="212121"/>
                <w:sz w:val="16"/>
              </w:rPr>
              <w:t>Lower-limb swelling, facial erysipelas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Erysipelas prodrome may precede skin signs by up to 48h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Portal of entry / precipitant</w:t>
            </w:r>
          </w:p>
        </w:tc>
        <w:tc>
          <w:tcPr>
            <w:tcW w:type="dxa" w:w="979"/>
            <w:vAlign w:val="top"/>
          </w:tcPr>
          <w:p>
            <w:pPr>
              <w:spacing w:after="40" w:before="0" w:line="259" w:lineRule="auto"/>
            </w:pPr>
            <w:r>
              <w:rPr>
                <w:rFonts w:ascii="Calibri" w:hAnsi="Calibri"/>
                <w:b w:val="0"/>
                <w:i w:val="0"/>
                <w:color w:val="212121"/>
                <w:sz w:val="16"/>
              </w:rPr>
              <w:t>Tinea pedis, trauma, ulcer, insect bite, injection, recent surgery</w:t>
            </w:r>
          </w:p>
        </w:tc>
        <w:tc>
          <w:tcPr>
            <w:tcW w:type="dxa" w:w="950"/>
            <w:vAlign w:val="top"/>
          </w:tcPr>
          <w:p>
            <w:pPr>
              <w:spacing w:after="40" w:before="0" w:line="259" w:lineRule="auto"/>
            </w:pPr>
            <w:r>
              <w:rPr>
                <w:rFonts w:ascii="Calibri" w:hAnsi="Calibri"/>
                <w:b w:val="0"/>
                <w:i w:val="0"/>
                <w:color w:val="212121"/>
                <w:sz w:val="16"/>
              </w:rPr>
              <w:t>None identified</w:t>
            </w:r>
          </w:p>
        </w:tc>
        <w:tc>
          <w:tcPr>
            <w:tcW w:type="dxa" w:w="950"/>
            <w:vAlign w:val="top"/>
          </w:tcPr>
          <w:p>
            <w:pPr>
              <w:spacing w:after="40" w:before="0" w:line="259" w:lineRule="auto"/>
            </w:pPr>
            <w:r>
              <w:rPr>
                <w:rFonts w:ascii="Calibri" w:hAnsi="Calibri"/>
                <w:b w:val="0"/>
                <w:i w:val="0"/>
                <w:color w:val="212121"/>
                <w:sz w:val="16"/>
              </w:rPr>
              <w:t>Identifiable breach</w:t>
            </w:r>
          </w:p>
        </w:tc>
        <w:tc>
          <w:tcPr>
            <w:tcW w:type="dxa" w:w="1036"/>
            <w:vAlign w:val="top"/>
          </w:tcPr>
          <w:p>
            <w:pPr>
              <w:spacing w:after="40" w:before="0" w:line="259" w:lineRule="auto"/>
            </w:pPr>
            <w:r>
              <w:rPr>
                <w:rFonts w:ascii="Calibri" w:hAnsi="Calibri"/>
                <w:b w:val="0"/>
                <w:i w:val="0"/>
                <w:color w:val="212121"/>
                <w:sz w:val="16"/>
              </w:rPr>
              <w:t>Guides source control and prevention</w:t>
            </w:r>
          </w:p>
        </w:tc>
        <w:tc>
          <w:tcPr>
            <w:tcW w:type="dxa" w:w="1036"/>
            <w:vAlign w:val="top"/>
          </w:tcPr>
          <w:p>
            <w:pPr>
              <w:spacing w:after="40" w:before="0" w:line="259" w:lineRule="auto"/>
            </w:pPr>
            <w:r>
              <w:rPr>
                <w:rFonts w:ascii="Calibri" w:hAnsi="Calibri"/>
                <w:b w:val="0"/>
                <w:i w:val="0"/>
                <w:color w:val="212121"/>
                <w:sz w:val="16"/>
              </w:rPr>
              <w:t>Farmers, barefoot walkers, diabetics, IV drug users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Toe-web tinea is a common Indian portal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Recurrence &amp; lymphatic history</w:t>
            </w:r>
          </w:p>
        </w:tc>
        <w:tc>
          <w:tcPr>
            <w:tcW w:type="dxa" w:w="979"/>
            <w:vAlign w:val="top"/>
          </w:tcPr>
          <w:p>
            <w:pPr>
              <w:spacing w:after="40" w:before="0" w:line="259" w:lineRule="auto"/>
            </w:pPr>
            <w:r>
              <w:rPr>
                <w:rFonts w:ascii="Calibri" w:hAnsi="Calibri"/>
                <w:b w:val="0"/>
                <w:i w:val="0"/>
                <w:color w:val="212121"/>
                <w:sz w:val="16"/>
              </w:rPr>
              <w:t>Prior episodes, lymphoedema, filariasis, venous disease</w:t>
            </w:r>
          </w:p>
        </w:tc>
        <w:tc>
          <w:tcPr>
            <w:tcW w:type="dxa" w:w="950"/>
            <w:vAlign w:val="top"/>
          </w:tcPr>
          <w:p>
            <w:pPr>
              <w:spacing w:after="40" w:before="0" w:line="259" w:lineRule="auto"/>
            </w:pPr>
            <w:r>
              <w:rPr>
                <w:rFonts w:ascii="Calibri" w:hAnsi="Calibri"/>
                <w:b w:val="0"/>
                <w:i w:val="0"/>
                <w:color w:val="212121"/>
                <w:sz w:val="16"/>
              </w:rPr>
              <w:t>First episode, no oedema</w:t>
            </w:r>
          </w:p>
        </w:tc>
        <w:tc>
          <w:tcPr>
            <w:tcW w:type="dxa" w:w="950"/>
            <w:vAlign w:val="top"/>
          </w:tcPr>
          <w:p>
            <w:pPr>
              <w:spacing w:after="40" w:before="0" w:line="259" w:lineRule="auto"/>
            </w:pPr>
            <w:r>
              <w:rPr>
                <w:rFonts w:ascii="Calibri" w:hAnsi="Calibri"/>
                <w:b w:val="0"/>
                <w:i w:val="0"/>
                <w:color w:val="212121"/>
                <w:sz w:val="16"/>
              </w:rPr>
              <w:t>Recurrent / chronic oedema / filarial limb</w:t>
            </w:r>
          </w:p>
        </w:tc>
        <w:tc>
          <w:tcPr>
            <w:tcW w:type="dxa" w:w="1036"/>
            <w:vAlign w:val="top"/>
          </w:tcPr>
          <w:p>
            <w:pPr>
              <w:spacing w:after="40" w:before="0" w:line="259" w:lineRule="auto"/>
            </w:pPr>
            <w:r>
              <w:rPr>
                <w:rFonts w:ascii="Calibri" w:hAnsi="Calibri"/>
                <w:b w:val="0"/>
                <w:i w:val="0"/>
                <w:color w:val="212121"/>
                <w:sz w:val="16"/>
              </w:rPr>
              <w:t>Identifies high-recurrence and prophylaxis candidates</w:t>
            </w:r>
          </w:p>
        </w:tc>
        <w:tc>
          <w:tcPr>
            <w:tcW w:type="dxa" w:w="1036"/>
            <w:vAlign w:val="top"/>
          </w:tcPr>
          <w:p>
            <w:pPr>
              <w:spacing w:after="40" w:before="0" w:line="259" w:lineRule="auto"/>
            </w:pPr>
            <w:r>
              <w:rPr>
                <w:rFonts w:ascii="Calibri" w:hAnsi="Calibri"/>
                <w:b w:val="0"/>
                <w:i w:val="0"/>
                <w:color w:val="212121"/>
                <w:sz w:val="16"/>
              </w:rPr>
              <w:t>Filariasis-endemic residents, post-mastectomy, venous ulcer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Each attack worsens lymphatics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Inspection</w:t>
            </w:r>
          </w:p>
        </w:tc>
        <w:tc>
          <w:tcPr>
            <w:tcW w:type="dxa" w:w="979"/>
            <w:vAlign w:val="top"/>
          </w:tcPr>
          <w:p>
            <w:pPr>
              <w:spacing w:after="40" w:before="0" w:line="259" w:lineRule="auto"/>
            </w:pPr>
            <w:r>
              <w:rPr>
                <w:rFonts w:ascii="Calibri" w:hAnsi="Calibri"/>
                <w:b w:val="0"/>
                <w:i w:val="0"/>
                <w:color w:val="212121"/>
                <w:sz w:val="16"/>
              </w:rPr>
              <w:t>Border demarcation, swelling, bullae, necrosis (mark the margin)</w:t>
            </w:r>
          </w:p>
        </w:tc>
        <w:tc>
          <w:tcPr>
            <w:tcW w:type="dxa" w:w="950"/>
            <w:vAlign w:val="top"/>
          </w:tcPr>
          <w:p>
            <w:pPr>
              <w:spacing w:after="40" w:before="0" w:line="259" w:lineRule="auto"/>
            </w:pPr>
            <w:r>
              <w:rPr>
                <w:rFonts w:ascii="Calibri" w:hAnsi="Calibri"/>
                <w:b w:val="0"/>
                <w:i w:val="0"/>
                <w:color w:val="212121"/>
                <w:sz w:val="16"/>
              </w:rPr>
              <w:t>Skin intact</w:t>
            </w:r>
          </w:p>
        </w:tc>
        <w:tc>
          <w:tcPr>
            <w:tcW w:type="dxa" w:w="950"/>
            <w:vAlign w:val="top"/>
          </w:tcPr>
          <w:p>
            <w:pPr>
              <w:spacing w:after="40" w:before="0" w:line="259" w:lineRule="auto"/>
            </w:pPr>
            <w:r>
              <w:rPr>
                <w:rFonts w:ascii="Calibri" w:hAnsi="Calibri"/>
                <w:b w:val="0"/>
                <w:i w:val="0"/>
                <w:color w:val="212121"/>
                <w:sz w:val="16"/>
              </w:rPr>
              <w:t>Spreading erythema; sharp raised edge (erysipelas); bullae/necrosis</w:t>
            </w:r>
          </w:p>
        </w:tc>
        <w:tc>
          <w:tcPr>
            <w:tcW w:type="dxa" w:w="1036"/>
            <w:vAlign w:val="top"/>
          </w:tcPr>
          <w:p>
            <w:pPr>
              <w:spacing w:after="40" w:before="0" w:line="259" w:lineRule="auto"/>
            </w:pPr>
            <w:r>
              <w:rPr>
                <w:rFonts w:ascii="Calibri" w:hAnsi="Calibri"/>
                <w:b w:val="0"/>
                <w:i w:val="0"/>
                <w:color w:val="212121"/>
                <w:sz w:val="16"/>
              </w:rPr>
              <w:t>Distinguishes erysipelas vs cellulitis and monitors spread</w:t>
            </w:r>
          </w:p>
        </w:tc>
        <w:tc>
          <w:tcPr>
            <w:tcW w:type="dxa" w:w="1036"/>
            <w:vAlign w:val="top"/>
          </w:tcPr>
          <w:p>
            <w:pPr>
              <w:spacing w:after="40" w:before="0" w:line="259" w:lineRule="auto"/>
            </w:pPr>
            <w:r>
              <w:rPr>
                <w:rFonts w:ascii="Calibri" w:hAnsi="Calibri"/>
                <w:b w:val="0"/>
                <w:i w:val="0"/>
                <w:color w:val="212121"/>
                <w:sz w:val="16"/>
              </w:rPr>
              <w:t>All presentations</w:t>
            </w:r>
          </w:p>
        </w:tc>
        <w:tc>
          <w:tcPr>
            <w:tcW w:type="dxa" w:w="720"/>
            <w:vAlign w:val="top"/>
          </w:tcPr>
          <w:p>
            <w:pPr>
              <w:spacing w:after="40" w:before="0" w:line="259" w:lineRule="auto"/>
            </w:pPr>
            <w:r>
              <w:rPr>
                <w:rFonts w:ascii="Calibri" w:hAnsi="Calibri"/>
                <w:b w:val="0"/>
                <w:i w:val="0"/>
                <w:color w:val="212121"/>
                <w:sz w:val="16"/>
              </w:rPr>
              <w:t>-</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Ink-mark the border to track progression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Palpation</w:t>
            </w:r>
          </w:p>
        </w:tc>
        <w:tc>
          <w:tcPr>
            <w:tcW w:type="dxa" w:w="979"/>
            <w:vAlign w:val="top"/>
          </w:tcPr>
          <w:p>
            <w:pPr>
              <w:spacing w:after="40" w:before="0" w:line="259" w:lineRule="auto"/>
            </w:pPr>
            <w:r>
              <w:rPr>
                <w:rFonts w:ascii="Calibri" w:hAnsi="Calibri"/>
                <w:b w:val="0"/>
                <w:i w:val="0"/>
                <w:color w:val="212121"/>
                <w:sz w:val="16"/>
              </w:rPr>
              <w:t>Warmth, tenderness, fluctuance, crepitus, lymphangitis, regional nodes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Fluctuance (abscess); crepitus (gas); red streak; tender nodes</w:t>
            </w:r>
          </w:p>
        </w:tc>
        <w:tc>
          <w:tcPr>
            <w:tcW w:type="dxa" w:w="1036"/>
            <w:vAlign w:val="top"/>
          </w:tcPr>
          <w:p>
            <w:pPr>
              <w:spacing w:after="40" w:before="0" w:line="259" w:lineRule="auto"/>
            </w:pPr>
            <w:r>
              <w:rPr>
                <w:rFonts w:ascii="Calibri" w:hAnsi="Calibri"/>
                <w:b w:val="0"/>
                <w:i w:val="0"/>
                <w:color w:val="212121"/>
                <w:sz w:val="16"/>
              </w:rPr>
              <w:t>Detects abscess, gas-forming/necrotizing infection and lymphatic spread</w:t>
            </w:r>
          </w:p>
        </w:tc>
        <w:tc>
          <w:tcPr>
            <w:tcW w:type="dxa" w:w="1036"/>
            <w:vAlign w:val="top"/>
          </w:tcPr>
          <w:p>
            <w:pPr>
              <w:spacing w:after="40" w:before="0" w:line="259" w:lineRule="auto"/>
            </w:pPr>
            <w:r>
              <w:rPr>
                <w:rFonts w:ascii="Calibri" w:hAnsi="Calibri"/>
                <w:b w:val="0"/>
                <w:i w:val="0"/>
                <w:color w:val="212121"/>
                <w:sz w:val="16"/>
              </w:rPr>
              <w:t>Diabetic foot, immunocompromised</w:t>
            </w:r>
          </w:p>
        </w:tc>
        <w:tc>
          <w:tcPr>
            <w:tcW w:type="dxa" w:w="720"/>
            <w:vAlign w:val="top"/>
          </w:tcPr>
          <w:p>
            <w:pPr>
              <w:spacing w:after="40" w:before="0" w:line="259" w:lineRule="auto"/>
            </w:pPr>
            <w:r>
              <w:rPr>
                <w:rFonts w:ascii="Calibri" w:hAnsi="Calibri"/>
                <w:b w:val="0"/>
                <w:i w:val="0"/>
                <w:color w:val="212121"/>
                <w:sz w:val="16"/>
              </w:rPr>
              <w:t>-</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Crepitus or pain out of proportion = surgical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Vital signs</w:t>
            </w:r>
          </w:p>
        </w:tc>
        <w:tc>
          <w:tcPr>
            <w:tcW w:type="dxa" w:w="950"/>
            <w:vAlign w:val="top"/>
          </w:tcPr>
          <w:p>
            <w:pPr>
              <w:spacing w:after="40" w:before="0" w:line="259" w:lineRule="auto"/>
            </w:pPr>
            <w:r>
              <w:rPr>
                <w:rFonts w:ascii="Calibri" w:hAnsi="Calibri"/>
                <w:b w:val="0"/>
                <w:i w:val="0"/>
                <w:color w:val="212121"/>
                <w:sz w:val="16"/>
              </w:rPr>
              <w:t>Systemic assessment (Eron class)</w:t>
            </w:r>
          </w:p>
        </w:tc>
        <w:tc>
          <w:tcPr>
            <w:tcW w:type="dxa" w:w="979"/>
            <w:vAlign w:val="top"/>
          </w:tcPr>
          <w:p>
            <w:pPr>
              <w:spacing w:after="40" w:before="0" w:line="259" w:lineRule="auto"/>
            </w:pPr>
            <w:r>
              <w:rPr>
                <w:rFonts w:ascii="Calibri" w:hAnsi="Calibri"/>
                <w:b w:val="0"/>
                <w:i w:val="0"/>
                <w:color w:val="212121"/>
                <w:sz w:val="16"/>
              </w:rPr>
              <w:t>Temperature, heart rate, blood pressure, mental status</w:t>
            </w:r>
          </w:p>
        </w:tc>
        <w:tc>
          <w:tcPr>
            <w:tcW w:type="dxa" w:w="950"/>
            <w:vAlign w:val="top"/>
          </w:tcPr>
          <w:p>
            <w:pPr>
              <w:spacing w:after="40" w:before="0" w:line="259" w:lineRule="auto"/>
            </w:pPr>
            <w:r>
              <w:rPr>
                <w:rFonts w:ascii="Calibri" w:hAnsi="Calibri"/>
                <w:b w:val="0"/>
                <w:i w:val="0"/>
                <w:color w:val="212121"/>
                <w:sz w:val="16"/>
              </w:rPr>
              <w:t>Afebrile, haemodynamically stable</w:t>
            </w:r>
          </w:p>
        </w:tc>
        <w:tc>
          <w:tcPr>
            <w:tcW w:type="dxa" w:w="950"/>
            <w:vAlign w:val="top"/>
          </w:tcPr>
          <w:p>
            <w:pPr>
              <w:spacing w:after="40" w:before="0" w:line="259" w:lineRule="auto"/>
            </w:pPr>
            <w:r>
              <w:rPr>
                <w:rFonts w:ascii="Calibri" w:hAnsi="Calibri"/>
                <w:b w:val="0"/>
                <w:i w:val="0"/>
                <w:color w:val="212121"/>
                <w:sz w:val="16"/>
              </w:rPr>
              <w:t>Fever, tachycardia, hypotension, confusion</w:t>
            </w:r>
          </w:p>
        </w:tc>
        <w:tc>
          <w:tcPr>
            <w:tcW w:type="dxa" w:w="1036"/>
            <w:vAlign w:val="top"/>
          </w:tcPr>
          <w:p>
            <w:pPr>
              <w:spacing w:after="40" w:before="0" w:line="259" w:lineRule="auto"/>
            </w:pPr>
            <w:r>
              <w:rPr>
                <w:rFonts w:ascii="Calibri" w:hAnsi="Calibri"/>
                <w:b w:val="0"/>
                <w:i w:val="0"/>
                <w:color w:val="212121"/>
                <w:sz w:val="16"/>
              </w:rPr>
              <w:t>Stratifies severity and admission need (Eron I–IV)</w:t>
            </w:r>
          </w:p>
        </w:tc>
        <w:tc>
          <w:tcPr>
            <w:tcW w:type="dxa" w:w="1036"/>
            <w:vAlign w:val="top"/>
          </w:tcPr>
          <w:p>
            <w:pPr>
              <w:spacing w:after="40" w:before="0" w:line="259" w:lineRule="auto"/>
            </w:pPr>
            <w:r>
              <w:rPr>
                <w:rFonts w:ascii="Calibri" w:hAnsi="Calibri"/>
                <w:b w:val="0"/>
                <w:i w:val="0"/>
                <w:color w:val="212121"/>
                <w:sz w:val="16"/>
              </w:rPr>
              <w:t>Elderly, comorbid, septic</w:t>
            </w:r>
          </w:p>
        </w:tc>
        <w:tc>
          <w:tcPr>
            <w:tcW w:type="dxa" w:w="720"/>
            <w:vAlign w:val="top"/>
          </w:tcPr>
          <w:p>
            <w:pPr>
              <w:spacing w:after="40" w:before="0" w:line="259" w:lineRule="auto"/>
            </w:pPr>
            <w:r>
              <w:rPr>
                <w:rFonts w:ascii="Calibri" w:hAnsi="Calibri"/>
                <w:b w:val="0"/>
                <w:i w:val="0"/>
                <w:color w:val="212121"/>
                <w:sz w:val="16"/>
              </w:rPr>
              <w:t>-</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Red flags mandate IV therapy / admission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Necrotizing infection screen</w:t>
            </w:r>
          </w:p>
        </w:tc>
        <w:tc>
          <w:tcPr>
            <w:tcW w:type="dxa" w:w="979"/>
            <w:vAlign w:val="top"/>
          </w:tcPr>
          <w:p>
            <w:pPr>
              <w:spacing w:after="40" w:before="0" w:line="259" w:lineRule="auto"/>
            </w:pPr>
            <w:r>
              <w:rPr>
                <w:rFonts w:ascii="Calibri" w:hAnsi="Calibri"/>
                <w:b w:val="0"/>
                <w:i w:val="0"/>
                <w:color w:val="212121"/>
                <w:sz w:val="16"/>
              </w:rPr>
              <w:t>Pain out of proportion, rapid progression, dusky/haemorrhagic bullae, systemic toxicity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Flags necrotizing fasciitis — a surgical emergency</w:t>
            </w:r>
          </w:p>
        </w:tc>
        <w:tc>
          <w:tcPr>
            <w:tcW w:type="dxa" w:w="1036"/>
            <w:vAlign w:val="top"/>
          </w:tcPr>
          <w:p>
            <w:pPr>
              <w:spacing w:after="40" w:before="0" w:line="259" w:lineRule="auto"/>
            </w:pPr>
            <w:r>
              <w:rPr>
                <w:rFonts w:ascii="Calibri" w:hAnsi="Calibri"/>
                <w:b w:val="0"/>
                <w:i w:val="0"/>
                <w:color w:val="212121"/>
                <w:sz w:val="16"/>
              </w:rPr>
              <w:t>Diabetics, immunocompromised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Do not delay surgical review for imaging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Redness / erythema of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Spreading red (or, on darker skin, darker/dusky) area; sharply demarcated and raised in erysipelas.</w:t>
            </w:r>
          </w:p>
        </w:tc>
      </w:tr>
      <w:tr>
        <w:trPr>
          <w:cantSplit/>
        </w:trPr>
        <w:tc>
          <w:tcPr>
            <w:tcW w:type="dxa" w:w="2304"/>
            <w:vAlign w:val="top"/>
          </w:tcPr>
          <w:p>
            <w:pPr>
              <w:spacing w:after="40" w:before="0" w:line="259" w:lineRule="auto"/>
            </w:pPr>
            <w:r>
              <w:rPr>
                <w:rFonts w:ascii="Calibri" w:hAnsi="Calibri"/>
                <w:b/>
                <w:i w:val="0"/>
                <w:color w:val="212121"/>
                <w:sz w:val="19"/>
              </w:rPr>
              <w:t>Pain and tenderness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affected skin is painful and tender to touch.</w:t>
            </w:r>
          </w:p>
        </w:tc>
      </w:tr>
      <w:tr>
        <w:trPr>
          <w:cantSplit/>
        </w:trPr>
        <w:tc>
          <w:tcPr>
            <w:tcW w:type="dxa" w:w="2304"/>
            <w:vAlign w:val="top"/>
          </w:tcPr>
          <w:p>
            <w:pPr>
              <w:spacing w:after="40" w:before="0" w:line="259" w:lineRule="auto"/>
            </w:pPr>
            <w:r>
              <w:rPr>
                <w:rFonts w:ascii="Calibri" w:hAnsi="Calibri"/>
                <w:b/>
                <w:i w:val="0"/>
                <w:color w:val="212121"/>
                <w:sz w:val="19"/>
              </w:rPr>
              <w:t>Swelling (oedema)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Localized swelling of the involved area, usually one limb.</w:t>
            </w:r>
          </w:p>
        </w:tc>
      </w:tr>
      <w:tr>
        <w:trPr>
          <w:cantSplit/>
        </w:trPr>
        <w:tc>
          <w:tcPr>
            <w:tcW w:type="dxa" w:w="2304"/>
            <w:vAlign w:val="top"/>
          </w:tcPr>
          <w:p>
            <w:pPr>
              <w:spacing w:after="40" w:before="0" w:line="259" w:lineRule="auto"/>
            </w:pPr>
            <w:r>
              <w:rPr>
                <w:rFonts w:ascii="Calibri" w:hAnsi="Calibri"/>
                <w:b/>
                <w:i w:val="0"/>
                <w:color w:val="212121"/>
                <w:sz w:val="19"/>
              </w:rPr>
              <w:t>Warmth / heat over the area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skin feels hot due to inflammation.</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with the infection; in erysipelas may precede skin signs by up to 48h.</w:t>
            </w:r>
          </w:p>
        </w:tc>
      </w:tr>
      <w:tr>
        <w:trPr>
          <w:cantSplit/>
        </w:trPr>
        <w:tc>
          <w:tcPr>
            <w:tcW w:type="dxa" w:w="2304"/>
            <w:vAlign w:val="top"/>
          </w:tcPr>
          <w:p>
            <w:pPr>
              <w:spacing w:after="40" w:before="0" w:line="259" w:lineRule="auto"/>
            </w:pPr>
            <w:r>
              <w:rPr>
                <w:rFonts w:ascii="Calibri" w:hAnsi="Calibri"/>
                <w:b/>
                <w:i w:val="0"/>
                <w:color w:val="212121"/>
                <w:sz w:val="19"/>
              </w:rPr>
              <w:t>Chills / rigors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Shaking chills accompany more systemic infection.</w:t>
            </w:r>
          </w:p>
        </w:tc>
      </w:tr>
      <w:tr>
        <w:trPr>
          <w:cantSplit/>
        </w:trPr>
        <w:tc>
          <w:tcPr>
            <w:tcW w:type="dxa" w:w="2304"/>
            <w:vAlign w:val="top"/>
          </w:tcPr>
          <w:p>
            <w:pPr>
              <w:spacing w:after="40" w:before="0" w:line="259" w:lineRule="auto"/>
            </w:pPr>
            <w:r>
              <w:rPr>
                <w:rFonts w:ascii="Calibri" w:hAnsi="Calibri"/>
                <w:b/>
                <w:i w:val="0"/>
                <w:color w:val="212121"/>
                <w:sz w:val="19"/>
              </w:rPr>
              <w:t>Malaise /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 feeling of being unwell, tiredness.</w:t>
            </w:r>
          </w:p>
        </w:tc>
      </w:tr>
      <w:tr>
        <w:trPr>
          <w:cantSplit/>
        </w:trPr>
        <w:tc>
          <w:tcPr>
            <w:tcW w:type="dxa" w:w="2304"/>
            <w:vAlign w:val="top"/>
          </w:tcPr>
          <w:p>
            <w:pPr>
              <w:spacing w:after="40" w:before="0" w:line="259" w:lineRule="auto"/>
            </w:pPr>
            <w:r>
              <w:rPr>
                <w:rFonts w:ascii="Calibri" w:hAnsi="Calibri"/>
                <w:b/>
                <w:i w:val="0"/>
                <w:color w:val="212121"/>
                <w:sz w:val="19"/>
              </w:rPr>
              <w:t>Blistering (vesicles / bullae)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Fluid-filled blisters over the inflamed skin in more severe disease.</w:t>
            </w:r>
          </w:p>
        </w:tc>
      </w:tr>
      <w:tr>
        <w:trPr>
          <w:cantSplit/>
        </w:trPr>
        <w:tc>
          <w:tcPr>
            <w:tcW w:type="dxa" w:w="2304"/>
            <w:vAlign w:val="top"/>
          </w:tcPr>
          <w:p>
            <w:pPr>
              <w:spacing w:after="40" w:before="0" w:line="259" w:lineRule="auto"/>
            </w:pPr>
            <w:r>
              <w:rPr>
                <w:rFonts w:ascii="Calibri" w:hAnsi="Calibri"/>
                <w:b/>
                <w:i w:val="0"/>
                <w:color w:val="212121"/>
                <w:sz w:val="19"/>
              </w:rPr>
              <w:t>Burning / itching (erysipelas prodrome)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Local burning, tenderness and itch, classically in erysipelas.</w:t>
            </w:r>
          </w:p>
        </w:tc>
      </w:tr>
      <w:tr>
        <w:trPr>
          <w:cantSplit/>
        </w:trPr>
        <w:tc>
          <w:tcPr>
            <w:tcW w:type="dxa" w:w="2304"/>
            <w:vAlign w:val="top"/>
          </w:tcPr>
          <w:p>
            <w:pPr>
              <w:spacing w:after="40" w:before="0" w:line="259" w:lineRule="auto"/>
            </w:pPr>
            <w:r>
              <w:rPr>
                <w:rFonts w:ascii="Calibri" w:hAnsi="Calibri"/>
                <w:b/>
                <w:i w:val="0"/>
                <w:color w:val="212121"/>
                <w:sz w:val="19"/>
              </w:rPr>
              <w:t>Red streak from the site (lymphangitis)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red line tracking proximally indicates lymphatic spread.</w:t>
            </w:r>
          </w:p>
        </w:tc>
      </w:tr>
      <w:tr>
        <w:trPr>
          <w:cantSplit/>
        </w:trPr>
        <w:tc>
          <w:tcPr>
            <w:tcW w:type="dxa" w:w="2304"/>
            <w:vAlign w:val="top"/>
          </w:tcPr>
          <w:p>
            <w:pPr>
              <w:spacing w:after="40" w:before="0" w:line="259" w:lineRule="auto"/>
            </w:pPr>
            <w:r>
              <w:rPr>
                <w:rFonts w:ascii="Calibri" w:hAnsi="Calibri"/>
                <w:b/>
                <w:i w:val="0"/>
                <w:color w:val="212121"/>
                <w:sz w:val="19"/>
              </w:rPr>
              <w:t>Skin dimpling (“peau d’orange”)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Orange-peel pitting from dermal oedema.</w:t>
            </w:r>
          </w:p>
        </w:tc>
      </w:tr>
      <w:tr>
        <w:trPr>
          <w:cantSplit/>
        </w:trPr>
        <w:tc>
          <w:tcPr>
            <w:tcW w:type="dxa" w:w="2304"/>
            <w:vAlign w:val="top"/>
          </w:tcPr>
          <w:p>
            <w:pPr>
              <w:spacing w:after="40" w:before="0" w:line="259" w:lineRule="auto"/>
            </w:pPr>
            <w:r>
              <w:rPr>
                <w:rFonts w:ascii="Calibri" w:hAnsi="Calibri"/>
                <w:b/>
                <w:i w:val="0"/>
                <w:color w:val="212121"/>
                <w:sz w:val="19"/>
              </w:rPr>
              <w:t>Severe pain out of proportion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Pain far exceeding visible signs is a warning of necrotizing fasciitis.</w:t>
            </w:r>
          </w:p>
        </w:tc>
      </w:tr>
      <w:tr>
        <w:trPr>
          <w:cantSplit/>
        </w:trPr>
        <w:tc>
          <w:tcPr>
            <w:tcW w:type="dxa" w:w="2304"/>
            <w:vAlign w:val="top"/>
          </w:tcPr>
          <w:p>
            <w:pPr>
              <w:spacing w:after="40" w:before="0" w:line="259" w:lineRule="auto"/>
            </w:pPr>
            <w:r>
              <w:rPr>
                <w:rFonts w:ascii="Calibri" w:hAnsi="Calibri"/>
                <w:b/>
                <w:i w:val="0"/>
                <w:color w:val="212121"/>
                <w:sz w:val="19"/>
              </w:rPr>
              <w:t>Skin darkening / blackening (necrosis)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Dusky, blackened or haemorrhagic skin suggests tissue necrosis — an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Poorly demarcated (cellulitis) vs sharply demarcated raised (erysipelas)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Border character helps distinguish the two forms.</w:t>
            </w:r>
          </w:p>
        </w:tc>
      </w:tr>
      <w:tr>
        <w:trPr>
          <w:cantSplit/>
        </w:trPr>
        <w:tc>
          <w:tcPr>
            <w:tcW w:type="dxa" w:w="3456"/>
            <w:vAlign w:val="top"/>
          </w:tcPr>
          <w:p>
            <w:pPr>
              <w:spacing w:after="40" w:before="0" w:line="259" w:lineRule="auto"/>
            </w:pPr>
            <w:r>
              <w:rPr>
                <w:rFonts w:ascii="Calibri" w:hAnsi="Calibri"/>
                <w:b/>
                <w:i w:val="0"/>
                <w:color w:val="212121"/>
                <w:sz w:val="19"/>
              </w:rPr>
              <w:t>Warmth on palpation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local temperature over the lesion.</w:t>
            </w:r>
          </w:p>
        </w:tc>
      </w:tr>
      <w:tr>
        <w:trPr>
          <w:cantSplit/>
        </w:trPr>
        <w:tc>
          <w:tcPr>
            <w:tcW w:type="dxa" w:w="3456"/>
            <w:vAlign w:val="top"/>
          </w:tcPr>
          <w:p>
            <w:pPr>
              <w:spacing w:after="40" w:before="0" w:line="259" w:lineRule="auto"/>
            </w:pPr>
            <w:r>
              <w:rPr>
                <w:rFonts w:ascii="Calibri" w:hAnsi="Calibri"/>
                <w:b/>
                <w:i w:val="0"/>
                <w:color w:val="212121"/>
                <w:sz w:val="19"/>
              </w:rPr>
              <w:t>Oedema /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Non-pitting to pitting swelling of the affected part.</w:t>
            </w:r>
          </w:p>
        </w:tc>
      </w:tr>
      <w:tr>
        <w:trPr>
          <w:cantSplit/>
        </w:trPr>
        <w:tc>
          <w:tcPr>
            <w:tcW w:type="dxa" w:w="3456"/>
            <w:vAlign w:val="top"/>
          </w:tcPr>
          <w:p>
            <w:pPr>
              <w:spacing w:after="40" w:before="0" w:line="259" w:lineRule="auto"/>
            </w:pPr>
            <w:r>
              <w:rPr>
                <w:rFonts w:ascii="Calibri" w:hAnsi="Calibri"/>
                <w:b/>
                <w:i w:val="0"/>
                <w:color w:val="212121"/>
                <w:sz w:val="19"/>
              </w:rPr>
              <w:t>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Marked tenderness on palpation.</w:t>
            </w:r>
          </w:p>
        </w:tc>
      </w:tr>
      <w:tr>
        <w:trPr>
          <w:cantSplit/>
        </w:trPr>
        <w:tc>
          <w:tcPr>
            <w:tcW w:type="dxa" w:w="3456"/>
            <w:vAlign w:val="top"/>
          </w:tcPr>
          <w:p>
            <w:pPr>
              <w:spacing w:after="40" w:before="0" w:line="259" w:lineRule="auto"/>
            </w:pPr>
            <w:r>
              <w:rPr>
                <w:rFonts w:ascii="Calibri" w:hAnsi="Calibri"/>
                <w:b/>
                <w:i w:val="0"/>
                <w:color w:val="212121"/>
                <w:sz w:val="19"/>
              </w:rPr>
              <w:t>Tender regional 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Enlarged, tender draining lymph nodes.</w:t>
            </w:r>
          </w:p>
        </w:tc>
      </w:tr>
      <w:tr>
        <w:trPr>
          <w:cantSplit/>
        </w:trPr>
        <w:tc>
          <w:tcPr>
            <w:tcW w:type="dxa" w:w="3456"/>
            <w:vAlign w:val="top"/>
          </w:tcPr>
          <w:p>
            <w:pPr>
              <w:spacing w:after="40" w:before="0" w:line="259" w:lineRule="auto"/>
            </w:pPr>
            <w:r>
              <w:rPr>
                <w:rFonts w:ascii="Calibri" w:hAnsi="Calibri"/>
                <w:b/>
                <w:i w:val="0"/>
                <w:color w:val="212121"/>
                <w:sz w:val="19"/>
              </w:rPr>
              <w:t>Fever / 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Systemic signs; part of Eron severity staging.</w:t>
            </w:r>
          </w:p>
        </w:tc>
      </w:tr>
      <w:tr>
        <w:trPr>
          <w:cantSplit/>
        </w:trPr>
        <w:tc>
          <w:tcPr>
            <w:tcW w:type="dxa" w:w="3456"/>
            <w:vAlign w:val="top"/>
          </w:tcPr>
          <w:p>
            <w:pPr>
              <w:spacing w:after="40" w:before="0" w:line="259" w:lineRule="auto"/>
            </w:pPr>
            <w:r>
              <w:rPr>
                <w:rFonts w:ascii="Calibri" w:hAnsi="Calibri"/>
                <w:b/>
                <w:i w:val="0"/>
                <w:color w:val="212121"/>
                <w:sz w:val="19"/>
              </w:rPr>
              <w:t>Vesicles / bullae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Blisters over the inflamed skin in severe disease.</w:t>
            </w:r>
          </w:p>
        </w:tc>
      </w:tr>
      <w:tr>
        <w:trPr>
          <w:cantSplit/>
        </w:trPr>
        <w:tc>
          <w:tcPr>
            <w:tcW w:type="dxa" w:w="3456"/>
            <w:vAlign w:val="top"/>
          </w:tcPr>
          <w:p>
            <w:pPr>
              <w:spacing w:after="40" w:before="0" w:line="259" w:lineRule="auto"/>
            </w:pPr>
            <w:r>
              <w:rPr>
                <w:rFonts w:ascii="Calibri" w:hAnsi="Calibri"/>
                <w:b/>
                <w:i w:val="0"/>
                <w:color w:val="212121"/>
                <w:sz w:val="19"/>
              </w:rPr>
              <w:t>Lymphangitic streaking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visible red line from the site toward regional nodes.</w:t>
            </w:r>
          </w:p>
        </w:tc>
      </w:tr>
      <w:tr>
        <w:trPr>
          <w:cantSplit/>
        </w:trPr>
        <w:tc>
          <w:tcPr>
            <w:tcW w:type="dxa" w:w="3456"/>
            <w:vAlign w:val="top"/>
          </w:tcPr>
          <w:p>
            <w:pPr>
              <w:spacing w:after="40" w:before="0" w:line="259" w:lineRule="auto"/>
            </w:pPr>
            <w:r>
              <w:rPr>
                <w:rFonts w:ascii="Calibri" w:hAnsi="Calibri"/>
                <w:b/>
                <w:i w:val="0"/>
                <w:color w:val="212121"/>
                <w:sz w:val="19"/>
              </w:rPr>
              <w:t>Fluctuance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soft, fluctuant area indicates an underlying abscess.</w:t>
            </w:r>
          </w:p>
        </w:tc>
      </w:tr>
      <w:tr>
        <w:trPr>
          <w:cantSplit/>
        </w:trPr>
        <w:tc>
          <w:tcPr>
            <w:tcW w:type="dxa" w:w="3456"/>
            <w:vAlign w:val="top"/>
          </w:tcPr>
          <w:p>
            <w:pPr>
              <w:spacing w:after="40" w:before="0" w:line="259" w:lineRule="auto"/>
            </w:pPr>
            <w:r>
              <w:rPr>
                <w:rFonts w:ascii="Calibri" w:hAnsi="Calibri"/>
                <w:b/>
                <w:i w:val="0"/>
                <w:color w:val="212121"/>
                <w:sz w:val="19"/>
              </w:rPr>
              <w:t>Crepitus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Palpable gas suggests a gas-forming or necrotizing infection — surgical emergency.</w:t>
            </w:r>
          </w:p>
        </w:tc>
      </w:tr>
      <w:tr>
        <w:trPr>
          <w:cantSplit/>
        </w:trPr>
        <w:tc>
          <w:tcPr>
            <w:tcW w:type="dxa" w:w="3456"/>
            <w:vAlign w:val="top"/>
          </w:tcPr>
          <w:p>
            <w:pPr>
              <w:spacing w:after="40" w:before="0" w:line="259" w:lineRule="auto"/>
            </w:pPr>
            <w:r>
              <w:rPr>
                <w:rFonts w:ascii="Calibri" w:hAnsi="Calibri"/>
                <w:b/>
                <w:i w:val="0"/>
                <w:color w:val="212121"/>
                <w:sz w:val="19"/>
              </w:rPr>
              <w:t>Haemorrhagic bullae / skin necrosis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Dusky bullae and necrosis point to necrotizing fasciitis.</w:t>
            </w:r>
          </w:p>
        </w:tc>
      </w:tr>
      <w:tr>
        <w:trPr>
          <w:cantSplit/>
        </w:trPr>
        <w:tc>
          <w:tcPr>
            <w:tcW w:type="dxa" w:w="3456"/>
            <w:vAlign w:val="top"/>
          </w:tcPr>
          <w:p>
            <w:pPr>
              <w:spacing w:after="40" w:before="0" w:line="259" w:lineRule="auto"/>
            </w:pPr>
            <w:r>
              <w:rPr>
                <w:rFonts w:ascii="Calibri" w:hAnsi="Calibri"/>
                <w:b/>
                <w:i w:val="0"/>
                <w:color w:val="212121"/>
                <w:sz w:val="19"/>
              </w:rPr>
              <w:t>Hypotension / signs of septic shock</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severe systemic sepsis (Eron IV).</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abscess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skin necrosis and haemorrhagic bullae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Ascending lymphangitis and regional lymphadenitis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necrotizing fasciitis (surgical emergency)</w:t>
            </w:r>
          </w:p>
        </w:tc>
        <w:tc>
          <w:tcPr>
            <w:tcW w:type="dxa" w:w="2980"/>
            <w:vAlign w:val="top"/>
          </w:tcPr>
          <w:p>
            <w:pPr>
              <w:spacing w:after="40" w:before="0" w:line="259" w:lineRule="auto"/>
            </w:pPr>
            <w:r>
              <w:rPr>
                <w:rFonts w:ascii="Calibri" w:hAnsi="Calibri"/>
                <w:b w:val="0"/>
                <w:i w:val="0"/>
                <w:color w:val="212121"/>
                <w:sz w:val="19"/>
              </w:rPr>
              <w:t>Direct local extension of the acute infection into skin, soft tissue and lymphatics.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and sepsis / septic shock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Osteomyelitis (especially the diabetic 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Septic arthritis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Infective endocarditis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Streptococcal toxic shock syndrome</w:t>
            </w:r>
          </w:p>
        </w:tc>
        <w:tc>
          <w:tcPr>
            <w:tcW w:type="dxa" w:w="2980"/>
            <w:vAlign w:val="top"/>
          </w:tcPr>
          <w:p>
            <w:pPr>
              <w:spacing w:after="40" w:before="0" w:line="259" w:lineRule="auto"/>
            </w:pPr>
            <w:r>
              <w:rPr>
                <w:rFonts w:ascii="Calibri" w:hAnsi="Calibri"/>
                <w:b w:val="0"/>
                <w:i w:val="0"/>
                <w:color w:val="212121"/>
                <w:sz w:val="19"/>
              </w:rPr>
              <w:t>Systemic spread of infection beyond the primary site.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cellulitis (about one-third of patients; up to ~49% in some cohorts)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lymphoedema and secondary elephantiasis from repeated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skin changes, scarring and post-inflammatory hyperpigmentation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Limb dysfunction and, in diabetic-foot infection, amputation risk</w:t>
            </w:r>
          </w:p>
        </w:tc>
        <w:tc>
          <w:tcPr>
            <w:tcW w:type="dxa" w:w="2980"/>
            <w:vAlign w:val="top"/>
          </w:tcPr>
          <w:p>
            <w:pPr>
              <w:spacing w:after="40" w:before="0" w:line="259" w:lineRule="auto"/>
            </w:pPr>
            <w:r>
              <w:rPr>
                <w:rFonts w:ascii="Calibri" w:hAnsi="Calibri"/>
                <w:b w:val="0"/>
                <w:i w:val="0"/>
                <w:color w:val="212121"/>
                <w:sz w:val="19"/>
              </w:rPr>
              <w:t>Chronic, disabling sequelae of recurrent or severe disease and of the lymphoedema–infection vicious cycle.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lymphoedema (filarial / post-surgical)</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lymphatic clearance is the strongest predictor of recurrent cellulitis; each attack further damages lymphatics, so the two drive each other toward elephantiasis.</w:t>
            </w:r>
          </w:p>
        </w:tc>
      </w:tr>
      <w:tr>
        <w:trPr>
          <w:cantSplit/>
        </w:trPr>
        <w:tc>
          <w:tcPr>
            <w:tcW w:type="dxa" w:w="2232"/>
            <w:vAlign w:val="top"/>
          </w:tcPr>
          <w:p>
            <w:pPr>
              <w:spacing w:after="40" w:before="0" w:line="259" w:lineRule="auto"/>
            </w:pPr>
            <w:r>
              <w:rPr>
                <w:rFonts w:ascii="Calibri" w:hAnsi="Calibri"/>
                <w:b/>
                <w:i w:val="0"/>
                <w:color w:val="212121"/>
                <w:sz w:val="19"/>
              </w:rPr>
              <w:t>Lymphatic filariasis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Endemic in much of India; damages limb lymphatics and produces lymphoedema in which recurrent bacterial acute dermatolymphangioadenitis (ADLA) is the principal complication.</w:t>
            </w:r>
          </w:p>
        </w:tc>
      </w:tr>
      <w:tr>
        <w:trPr>
          <w:cantSplit/>
        </w:trPr>
        <w:tc>
          <w:tcPr>
            <w:tcW w:type="dxa" w:w="2232"/>
            <w:vAlign w:val="top"/>
          </w:tcPr>
          <w:p>
            <w:pPr>
              <w:spacing w:after="40" w:before="0" w:line="259" w:lineRule="auto"/>
            </w:pPr>
            <w:r>
              <w:rPr>
                <w:rFonts w:ascii="Calibri" w:hAnsi="Calibri"/>
                <w:b/>
                <w:i w:val="0"/>
                <w:color w:val="212121"/>
                <w:sz w:val="19"/>
              </w:rPr>
              <w:t>Tinea pedis / toe-web intertrigo</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Dermatophyte fissuring is a leading, modifiable portal of entry for lower-leg cellulitis; treating it reduces recurrence.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immunity, neuropathy and peripheral arterial disease make the diabetic foot a classic, recurrent cellulitis site and complicate treatment.</w:t>
            </w:r>
          </w:p>
        </w:tc>
      </w:tr>
      <w:tr>
        <w:trPr>
          <w:cantSplit/>
        </w:trPr>
        <w:tc>
          <w:tcPr>
            <w:tcW w:type="dxa" w:w="2232"/>
            <w:vAlign w:val="top"/>
          </w:tcPr>
          <w:p>
            <w:pPr>
              <w:spacing w:after="40" w:before="0" w:line="259" w:lineRule="auto"/>
            </w:pPr>
            <w:r>
              <w:rPr>
                <w:rFonts w:ascii="Calibri" w:hAnsi="Calibri"/>
                <w:b/>
                <w:i w:val="0"/>
                <w:color w:val="212121"/>
                <w:sz w:val="19"/>
              </w:rPr>
              <w:t>Chronic venous insufficiency / venous leg ulcer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Venous hypertension causes stasis eczema, oedema and ulceration — portals and impaired clearance that predispose to lower-leg cellulitis.</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Elevates risk and recurrence through lymphatic overload, venous insufficiency, skin-fold intertrigo and poorer healing.</w:t>
            </w:r>
          </w:p>
        </w:tc>
      </w:tr>
      <w:tr>
        <w:trPr>
          <w:cantSplit/>
        </w:trPr>
        <w:tc>
          <w:tcPr>
            <w:tcW w:type="dxa" w:w="2232"/>
            <w:vAlign w:val="top"/>
          </w:tcPr>
          <w:p>
            <w:pPr>
              <w:spacing w:after="40" w:before="0" w:line="259" w:lineRule="auto"/>
            </w:pPr>
            <w:r>
              <w:rPr>
                <w:rFonts w:ascii="Calibri" w:hAnsi="Calibri"/>
                <w:b/>
                <w:i w:val="0"/>
                <w:color w:val="212121"/>
                <w:sz w:val="19"/>
              </w:rPr>
              <w:t>Peripheral arterial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perfusion impairs healing and antibiotic delivery, worsening lower-limb infection.</w:t>
            </w:r>
          </w:p>
        </w:tc>
      </w:tr>
      <w:tr>
        <w:trPr>
          <w:cantSplit/>
        </w:trPr>
        <w:tc>
          <w:tcPr>
            <w:tcW w:type="dxa" w:w="2232"/>
            <w:vAlign w:val="top"/>
          </w:tcPr>
          <w:p>
            <w:pPr>
              <w:spacing w:after="40" w:before="0" w:line="259" w:lineRule="auto"/>
            </w:pPr>
            <w:r>
              <w:rPr>
                <w:rFonts w:ascii="Calibri" w:hAnsi="Calibri"/>
                <w:b/>
                <w:i w:val="0"/>
                <w:color w:val="212121"/>
                <w:sz w:val="19"/>
              </w:rPr>
              <w:t>Diabetic foot ulcer / osteomyelitis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Deep or non-resolving cellulitis of the diabetic foot may extend to underlying bone, altering duration of therapy and surgical management.</w:t>
            </w:r>
          </w:p>
        </w:tc>
      </w:tr>
      <w:tr>
        <w:trPr>
          <w:cantSplit/>
        </w:trPr>
        <w:tc>
          <w:tcPr>
            <w:tcW w:type="dxa" w:w="2232"/>
            <w:vAlign w:val="top"/>
          </w:tcPr>
          <w:p>
            <w:pPr>
              <w:spacing w:after="40" w:before="0" w:line="259" w:lineRule="auto"/>
            </w:pPr>
            <w:r>
              <w:rPr>
                <w:rFonts w:ascii="Calibri" w:hAnsi="Calibri"/>
                <w:b/>
                <w:i w:val="0"/>
                <w:color w:val="212121"/>
                <w:sz w:val="19"/>
              </w:rPr>
              <w:t>Necrotizing fasciitis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rapidly progressive, life-threatening infection that can evolve from or mimic cellulitis and requires urgent surgical debridement.</w:t>
            </w:r>
          </w:p>
        </w:tc>
      </w:tr>
      <w:tr>
        <w:trPr>
          <w:cantSplit/>
        </w:trPr>
        <w:tc>
          <w:tcPr>
            <w:tcW w:type="dxa" w:w="2232"/>
            <w:vAlign w:val="top"/>
          </w:tcPr>
          <w:p>
            <w:pPr>
              <w:spacing w:after="40" w:before="0" w:line="259" w:lineRule="auto"/>
            </w:pPr>
            <w:r>
              <w:rPr>
                <w:rFonts w:ascii="Calibri" w:hAnsi="Calibri"/>
                <w:b/>
                <w:i w:val="0"/>
                <w:color w:val="212121"/>
                <w:sz w:val="19"/>
              </w:rPr>
              <w:t>Sepsis / bacteraemia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spread of the skin infection; drives admission, IV antibiotics and severity staging.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early warning signs (spreading redness, increasing pain, swelling, warmth, fever) and seek prompt medical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athlete’s foot / toe-web tinea promptly and keep the web spaces dry to remove a common portal of entry.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skin clean and well-moisturised; clean and cover any cut, graze, bite or ulcer without delay.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protective footwear and avoid barefoot walking, especially for farmers, labourers and 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 should inspect and moisturise their feet daily and trim nails carefully.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lymphoedema or filariasis, learn daily limb hygiene, skin care and compression to prevent acute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antibiotic course and attend follow-up if not improving within 48–72 hours.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Lymphoedema / filariasis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 &amp; barefoot walkers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 the border of the redness (with the doctor) to monitor whether the infection is spreading or settling.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and elevate the affected limb above heart level during the acute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emergency care for red flags: severe pain out of proportion, blistering or blackening skin, high fever, confusion or rapid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≥2 episodes, discuss long-term low-dose suppressive antibiotics (e.g. penicillin V) with the clinician.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underlying cause — tinea, ulcer, oedema or poor glycaemic control — to prevent recurrence.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cellulitis/erysipelas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cellulitis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Filarial limbs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affected leg above heart level several times a day to reduce oedema and speed resolution.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the acute infection is settling, use graduated compression therapy for lymphoedema or venous disease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standing or dependency; take movement breaks and use calf-muscle pumping exercises.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gentle, regular activity and weight reduction to lower lymphatic and venous load.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cellulitis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Lymphoedema / filariasis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venous insufficiency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 obese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Optimize glycaemic control with a low-glycaemic-index, balanced diet to protect skin integrity and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micronutrients (zinc, vitamin C and A) to maintain the skin barrier and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weight using Asian-Indian BMI targets (18.5–22.9 kg/m²).</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high-sugar foods that promote hyperglycaemia and weight gain.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 obese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cellulitis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immune function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conditions that fragment sleep (pain, uncontrolled diabetes) that can impair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skin microcirculation and wound healing and to reduce peripheral arterial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and avoid second-hand smoke.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arterial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cellulitis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within low-risk levels or abstain, particularly with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cirrhosis and its oedema, which impair immunity and raise infection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 chronic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to daily skin care, foot care and compression, which is often reduced by depression or cognitive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psychosocial impact of recurrent attacks and chronic lymphoedema/filariasis, which affect self-care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carers for elderly or disabled patients to maintain preventive routines.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 recurrent cellulitis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Filariasis / lymphoedema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Disabled or dependent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49770/" TargetMode="External"/><Relationship Id="rId10" Type="http://schemas.openxmlformats.org/officeDocument/2006/relationships/hyperlink" Target="https://www.ncbi.nlm.nih.gov/books/NBK532247/" TargetMode="External"/><Relationship Id="rId11" Type="http://schemas.openxmlformats.org/officeDocument/2006/relationships/hyperlink" Target="https://www.who.int/news-room/fact-sheets/detail/lymphatic-filariasis" TargetMode="External"/><Relationship Id="rId12" Type="http://schemas.openxmlformats.org/officeDocument/2006/relationships/hyperlink" Target="https://www.nhs.uk/conditions/cellulitis/" TargetMode="External"/><Relationship Id="rId13" Type="http://schemas.openxmlformats.org/officeDocument/2006/relationships/hyperlink" Target="https://dermnetnz.org/topics/cellulitis" TargetMode="External"/><Relationship Id="rId14" Type="http://schemas.openxmlformats.org/officeDocument/2006/relationships/hyperlink" Target="https://www.mayoclinic.org/diseases-conditions/cellulitis/symptoms-causes/syc-20370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