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Herpes Zoster / Shingles</w:t>
      </w:r>
    </w:p>
    <w:p>
      <w:pPr>
        <w:spacing w:before="0" w:after="160"/>
      </w:pPr>
      <w:r>
        <w:rPr>
          <w:rFonts w:ascii="Calibri" w:hAnsi="Calibri"/>
          <w:b/>
          <w:i w:val="0"/>
          <w:color w:val="212121"/>
          <w:sz w:val="22"/>
        </w:rPr>
        <w:t xml:space="preserve">AKA </w:t>
      </w:r>
      <w:r>
        <w:rPr>
          <w:rFonts w:ascii="Calibri" w:hAnsi="Calibri"/>
          <w:b w:val="0"/>
          <w:i w:val="0"/>
          <w:color w:val="212121"/>
          <w:sz w:val="22"/>
        </w:rPr>
        <w:t>i.e., Shingles, Zoster, Zona; reactivation of varicella-zoster virus (VZV); commonly called 'Naag-in'/'Naagin', 'Herpes', 'Vish-baadha' or 'daad-like girdle rash' colloquially in parts of India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Herpes zoster (shingles) is a painful, unilateral, dermatomal vesicular eruption caused by reactivation of latent varicella-zoster virus (VZV) that has persisted in the dorsal-root and cranial-nerve sensory ganglia since a primary chickenpox (varicella) infection. Waning of VZV-specific cell-mediated immunity, typically with advancing age or immunosuppression, allows the virus to replicate, travel down the sensory nerve and produce a band-like rash confined to one or two dermatomes, usually accompanied by neuritic pain. Its commonest and most debilitating sequela is postherpetic neuralgia (PHN), a persistent dermatomal pain lasting three or more months after rash onset. Shingles is not caught from another person, but the vesicle fluid can transmit VZV to a susceptible (non-immune) individual, causing chickenpox rather than shingles.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Herpes zoster is common wherever varicella is endemic: about 1 in 3 people develop shingles in their lifetime and incidence rises sharply after age 50, from roughly 2 to 9 cases per 1,000 population per year. India lacks population-based incidence data, but hospital series show HZ accounts for roughly 0.28%-2.36% of dermatology outpatient visits; the largest Indian cohort (938 cases, rural Gujarat) represented 0.38% of dermatology OPD, with about a quarter (25.5%) of cases occurring in people over 60 years. The thoracic dermatome is the most frequently affected (around 39%-71% of cases), and postherpetic neuralgia complicates roughly 10%-55% of Indian HZ patients. With an ageing population, a very high adult VZV seroprevalence and no routine zoster vaccination programme, India's HZ burden is projected to rise substantially.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Herpes zoster is primarily a clinical diagnosis based on the characteristic prodrome and rash, supported by laboratory confirmation in atypical, disseminated or immunocompromised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painful or burning prodrome (itching, tingling, paraesthesia or dermatomal pain) preceding the rash by 2-3 days is present in the great majority of patients (over 90% in Indian series);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unilateral, grouped vesicular eruption on an erythematous base confined to one (occasionally two contiguous) dermatome(s) that characteristically does not cross the body midline;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Lesions in different evolutionary stages (papules to vesicles to pustules to crusts) within the affected dermatome;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Laboratory confirmation when needed: real-time PCR for VZV DNA from vesicle fluid/swab (most sensitive and specific), direct fluorescent antibody (DFA), viral culture, or a Tzanck smear showing multinucleated giant cells (sensitive but not VZV-specific);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Ophthalmic assessment when the trigeminal (V1) dermatome is involved: a Hutchinson sign (vesicles on the tip/side of the nose, nasociliary branch) predicts ocular involvement and mandates slit-lamp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immunosuppression (HIV serology, blood glucose/HbA1c, review of steroid/immunosuppressive/biologic therapy) in young patients, multi-dermatomal or disseminated disease, or recurrent/atypical zoster.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Herpes zoster is classified by anatomical site of reactivation and by extent/host status, which together determine complications and management:</w:t>
      </w:r>
    </w:p>
    <w:p>
      <w:pPr>
        <w:spacing w:before="0" w:after="80"/>
      </w:pPr>
      <w:r>
        <w:rPr>
          <w:rFonts w:ascii="Calibri" w:hAnsi="Calibri"/>
          <w:b w:val="0"/>
          <w:i w:val="0"/>
          <w:color w:val="212121"/>
          <w:sz w:val="21"/>
        </w:rPr>
        <w:t>(1) Classic (localized) herpes zoster - a self-limited, single-dermatome vesicular eruption in an immunocompetent host, most often thoracic, with neuritic pain;</w:t>
      </w:r>
    </w:p>
    <w:p>
      <w:pPr>
        <w:spacing w:before="0" w:after="80"/>
      </w:pPr>
      <w:r>
        <w:rPr>
          <w:rFonts w:ascii="Calibri" w:hAnsi="Calibri"/>
          <w:b w:val="0"/>
          <w:i w:val="0"/>
          <w:color w:val="212121"/>
          <w:sz w:val="21"/>
        </w:rPr>
        <w:t>(2) Herpes zoster ophthalmicus (HZO) - reactivation in the ophthalmic (V1) division of the trigeminal nerve, threatening the eye with keratitis, uveitis, reduced corneal sensation and vision loss; occurs in roughly 10%-20% of HZ cases;</w:t>
      </w:r>
    </w:p>
    <w:p>
      <w:pPr>
        <w:spacing w:before="0" w:after="80"/>
      </w:pPr>
      <w:r>
        <w:rPr>
          <w:rFonts w:ascii="Calibri" w:hAnsi="Calibri"/>
          <w:b w:val="0"/>
          <w:i w:val="0"/>
          <w:color w:val="212121"/>
          <w:sz w:val="21"/>
        </w:rPr>
        <w:t>(3) Herpes zoster oticus (Ramsay Hunt syndrome) - reactivation in the geniculate ganglion causing ear-canal/auricular vesicles, ipsilateral lower-motor-neuron facial palsy, and often hearing loss, tinnitus and vertigo;</w:t>
      </w:r>
    </w:p>
    <w:p>
      <w:pPr>
        <w:spacing w:before="0" w:after="80"/>
      </w:pPr>
      <w:r>
        <w:rPr>
          <w:rFonts w:ascii="Calibri" w:hAnsi="Calibri"/>
          <w:b w:val="0"/>
          <w:i w:val="0"/>
          <w:color w:val="212121"/>
          <w:sz w:val="21"/>
        </w:rPr>
        <w:t>(4) Disseminated (generalized) herpes zoster - more than about 20 vesicles outside the primary and adjacent dermatomes, or visceral (pulmonary, hepatic, CNS) involvement, essentially confined to immunocompromised hosts and requiring intravenous antivirals;</w:t>
      </w:r>
    </w:p>
    <w:p>
      <w:pPr>
        <w:spacing w:before="0" w:after="80"/>
      </w:pPr>
      <w:r>
        <w:rPr>
          <w:rFonts w:ascii="Calibri" w:hAnsi="Calibri"/>
          <w:b w:val="0"/>
          <w:i w:val="0"/>
          <w:color w:val="212121"/>
          <w:sz w:val="21"/>
        </w:rPr>
        <w:t>(5) Zoster sine herpete - segmental neuritic pain and other zoster features without a visible rash, a diagnosis of exclusion confirmed by VZV PCR/serology;</w:t>
      </w:r>
    </w:p>
    <w:p>
      <w:pPr>
        <w:spacing w:before="0" w:after="80"/>
      </w:pPr>
      <w:r>
        <w:rPr>
          <w:rFonts w:ascii="Calibri" w:hAnsi="Calibri"/>
          <w:b w:val="0"/>
          <w:i w:val="0"/>
          <w:color w:val="212121"/>
          <w:sz w:val="21"/>
        </w:rPr>
        <w:t>By host status, HZ is further categorized as occurring in immunocompetent versus immunocompromised individuals (HIV, malignancy, transplant, immunosuppressive therapy), the latter being at higher risk of severe, multidermatomal, disseminated, recurrent and complicated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Varicella-zoster virus reactivation: HZ results from reactivation of endogenous VZV latent in sensory ganglia since primary varicella (chickenpox); it is not a new infection but a re-emergence of the same virus.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Age-related immunosenescence: Progressive decline in VZV-specific cell-mediated immunity with age is the single most important driver, explaining the sharp rise in incidence and severity after 50-60 years.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Immunosuppression: HIV/AIDS, haematological and solid malignancies, chemotherapy, haematopoietic stem-cell and solid-organ transplantation, corticosteroids, biologics and other immunosuppressive drugs markedly increase reactivation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disease: Diabetes mellitus, chronic kidney disease, COPD, and autoimmune conditions (SLE, rheumatoid arthritis) weaken cell-mediated immunity and raise HZ incidence.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Psychological and physical stress: Acute stress, trauma to a dermatome, intercurrent infection and post-stroke states can precipitate reactivation by transiently depressing immune surveillance.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Prior varicella and lack of vaccination: A history of chickenpox (near-universal in Indian adults) is a prerequisite; absence of zoster vaccination leaves waning immunity unboosted.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(50 years and above)</w:t>
            </w:r>
          </w:p>
        </w:tc>
        <w:tc>
          <w:tcPr>
            <w:tcW w:type="dxa" w:w="4276"/>
            <w:vAlign w:val="top"/>
          </w:tcPr>
          <w:p>
            <w:pPr>
              <w:spacing w:after="60" w:line="259" w:lineRule="auto"/>
            </w:pPr>
            <w:r>
              <w:rPr>
                <w:rFonts w:ascii="Calibri" w:hAnsi="Calibri"/>
                <w:b w:val="0"/>
                <w:i w:val="0"/>
                <w:color w:val="212121"/>
                <w:sz w:val="19"/>
              </w:rPr>
              <w:t>VZV-specific cell-mediated immunity wanes with age, allowing latent virus in sensory ganglia to reactivate; incidence and severity climb steeply from the fifth decade onward.</w:t>
            </w:r>
          </w:p>
          <w:p>
            <w:pPr>
              <w:spacing w:after="40" w:before="60" w:line="259" w:lineRule="auto"/>
            </w:pPr>
            <w:r>
              <w:rPr>
                <w:rFonts w:ascii="Calibri" w:hAnsi="Calibri"/>
                <w:b w:val="0"/>
                <w:i w:val="0"/>
                <w:color w:val="212121"/>
                <w:sz w:val="19"/>
              </w:rPr>
              <w:t>Incidence rises from about 2 to 9 cases per 1,000 population per year, increasing sharply after age 50; about 1 in 3 people develop shingles in their lifetime.</w:t>
            </w:r>
          </w:p>
          <w:p>
            <w:pPr>
              <w:spacing w:after="40" w:line="252" w:lineRule="auto"/>
            </w:pPr>
            <w:hyperlink r:id="rId9">
              <w:r>
                <w:rPr>
                  <w:rFonts w:ascii="Calibri" w:hAnsi="Calibri" w:cs="Calibri"/>
                  <w:sz w:val="18"/>
                  <w:color w:val="1155CC"/>
                  <w:u w:val="single"/>
                </w:rPr>
                <w:t xml:space="preserve">cdc.gov - shingles clinical overview</w:t>
              </w:r>
            </w:hyperlink>
          </w:p>
          <w:p>
            <w:pPr>
              <w:spacing w:before="60" w:after="40"/>
            </w:pPr>
            <w:r>
              <w:rPr>
                <w:rFonts w:ascii="Calibri" w:hAnsi="Calibri"/>
                <w:b w:val="0"/>
                <w:i w:val="0"/>
                <w:color w:val="5A5A5A"/>
                <w:sz w:val="18"/>
              </w:rPr>
              <w:t>#shingles  #zoster  #immunosenescence  #age50plus  #VZVreactivation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 and above)</w:t>
            </w:r>
          </w:p>
        </w:tc>
        <w:tc>
          <w:tcPr>
            <w:tcW w:type="dxa" w:w="4276"/>
            <w:vAlign w:val="top"/>
          </w:tcPr>
          <w:p>
            <w:pPr>
              <w:spacing w:after="60" w:line="259" w:lineRule="auto"/>
            </w:pPr>
            <w:r>
              <w:rPr>
                <w:rFonts w:ascii="Calibri" w:hAnsi="Calibri"/>
                <w:b w:val="0"/>
                <w:i w:val="0"/>
                <w:color w:val="212121"/>
                <w:sz w:val="19"/>
              </w:rPr>
              <w:t>The oldest adults have the greatest immune decline and the highest risk not only of zoster but of severe, prolonged and complicated disease, especially postherpetic neuralgia.</w:t>
            </w:r>
          </w:p>
          <w:p>
            <w:pPr>
              <w:spacing w:after="40" w:before="60" w:line="259" w:lineRule="auto"/>
            </w:pPr>
            <w:r>
              <w:rPr>
                <w:rFonts w:ascii="Calibri" w:hAnsi="Calibri"/>
                <w:b w:val="0"/>
                <w:i w:val="0"/>
                <w:color w:val="212121"/>
                <w:sz w:val="19"/>
              </w:rPr>
              <w:t>In the largest Indian cohort (938 cases), 25.5% occurred in people over 60 years; by age 70 roughly three-quarters of shingles patients who develop persistent pain go on to postherpetic neuralgia.</w:t>
            </w:r>
          </w:p>
          <w:p>
            <w:pPr>
              <w:spacing w:after="40" w:line="252" w:lineRule="auto"/>
            </w:pPr>
            <w:hyperlink r:id="rId10">
              <w:r>
                <w:rPr>
                  <w:rFonts w:ascii="Calibri" w:hAnsi="Calibri" w:cs="Calibri"/>
                  <w:sz w:val="18"/>
                  <w:color w:val="1155CC"/>
                  <w:u w:val="single"/>
                </w:rPr>
                <w:t xml:space="preserve">pmc.ncbi.nlm.nih.gov - HZ in Indian OPDs (review)</w:t>
              </w:r>
            </w:hyperlink>
          </w:p>
          <w:p>
            <w:pPr>
              <w:spacing w:before="60" w:after="40"/>
            </w:pPr>
            <w:r>
              <w:rPr>
                <w:rFonts w:ascii="Calibri" w:hAnsi="Calibri"/>
                <w:b w:val="0"/>
                <w:i w:val="0"/>
                <w:color w:val="5A5A5A"/>
                <w:sz w:val="18"/>
              </w:rPr>
              <w:t>#elderly  #PHN  #severezoster  #waningimmunity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 Indian clinic series); female sex a proven risk factor</w:t>
            </w:r>
          </w:p>
        </w:tc>
        <w:tc>
          <w:tcPr>
            <w:tcW w:type="dxa" w:w="4276"/>
            <w:vAlign w:val="top"/>
          </w:tcPr>
          <w:p>
            <w:pPr>
              <w:spacing w:after="60" w:line="259" w:lineRule="auto"/>
            </w:pPr>
            <w:r>
              <w:rPr>
                <w:rFonts w:ascii="Calibri" w:hAnsi="Calibri"/>
                <w:b w:val="0"/>
                <w:i w:val="0"/>
                <w:color w:val="212121"/>
                <w:sz w:val="19"/>
              </w:rPr>
              <w:t>Indian hospital series report a male predominance in those presenting with zoster, whereas population studies identify female sex as an independent risk factor for developing HZ; both sexes are substantially affected.</w:t>
            </w:r>
          </w:p>
          <w:p>
            <w:pPr>
              <w:spacing w:after="40" w:before="60" w:line="259" w:lineRule="auto"/>
            </w:pPr>
            <w:r>
              <w:rPr>
                <w:rFonts w:ascii="Calibri" w:hAnsi="Calibri"/>
                <w:b w:val="0"/>
                <w:i w:val="0"/>
                <w:color w:val="212121"/>
                <w:sz w:val="19"/>
              </w:rPr>
              <w:t>An Indian tertiary-care study of 190 cases found a male-to-female ratio of about 2:1, while population reviews list female sex among proven risk factors for occurrence.</w:t>
            </w:r>
          </w:p>
          <w:p>
            <w:pPr>
              <w:spacing w:after="40" w:line="252" w:lineRule="auto"/>
            </w:pPr>
            <w:hyperlink r:id="rId11">
              <w:r>
                <w:rPr>
                  <w:rFonts w:ascii="Calibri" w:hAnsi="Calibri" w:cs="Calibri"/>
                  <w:sz w:val="18"/>
                  <w:color w:val="1155CC"/>
                  <w:u w:val="single"/>
                </w:rPr>
                <w:t xml:space="preserve">brieflands.com - clinico-epidemiological study of HZ (India)</w:t>
              </w:r>
            </w:hyperlink>
          </w:p>
          <w:p>
            <w:pPr>
              <w:spacing w:before="60" w:after="40"/>
            </w:pPr>
            <w:r>
              <w:rPr>
                <w:rFonts w:ascii="Calibri" w:hAnsi="Calibri"/>
                <w:b w:val="0"/>
                <w:i w:val="0"/>
                <w:color w:val="5A5A5A"/>
                <w:sz w:val="18"/>
              </w:rPr>
              <w:t>#malepredominance  #sexdifference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adults with limited vaccine and specialist access</w:t>
            </w:r>
          </w:p>
        </w:tc>
        <w:tc>
          <w:tcPr>
            <w:tcW w:type="dxa" w:w="4276"/>
            <w:vAlign w:val="top"/>
          </w:tcPr>
          <w:p>
            <w:pPr>
              <w:spacing w:after="60" w:line="259" w:lineRule="auto"/>
            </w:pPr>
            <w:r>
              <w:rPr>
                <w:rFonts w:ascii="Calibri" w:hAnsi="Calibri"/>
                <w:b w:val="0"/>
                <w:i w:val="0"/>
                <w:color w:val="212121"/>
                <w:sz w:val="19"/>
              </w:rPr>
              <w:t>Zoster vaccination is not part of India's public immunization programme and recombinant vaccine cost is high; poorer patients also present late, miss the 72-hour antiviral window and are more prone to complications and PHN.</w:t>
            </w:r>
          </w:p>
          <w:p>
            <w:pPr>
              <w:spacing w:after="40" w:before="60" w:line="259" w:lineRule="auto"/>
            </w:pPr>
            <w:r>
              <w:rPr>
                <w:rFonts w:ascii="Calibri" w:hAnsi="Calibri"/>
                <w:b w:val="0"/>
                <w:i w:val="0"/>
                <w:color w:val="212121"/>
                <w:sz w:val="19"/>
              </w:rPr>
              <w:t>India has no routine adult zoster vaccination programme; the recombinant zoster vaccine (2 doses) is recommended for immunocompetent adults aged 50 years and older but remains largely out-of-pocket.</w:t>
            </w:r>
          </w:p>
          <w:p>
            <w:pPr>
              <w:spacing w:after="40" w:line="252" w:lineRule="auto"/>
            </w:pPr>
            <w:hyperlink r:id="rId12">
              <w:r>
                <w:rPr>
                  <w:rFonts w:ascii="Calibri" w:hAnsi="Calibri" w:cs="Calibri"/>
                  <w:sz w:val="18"/>
                  <w:color w:val="1155CC"/>
                  <w:u w:val="single"/>
                </w:rPr>
                <w:t xml:space="preserve">cdc.gov - shingles vaccine considerations</w:t>
              </w:r>
            </w:hyperlink>
          </w:p>
          <w:p>
            <w:pPr>
              <w:spacing w:before="60" w:after="40"/>
            </w:pPr>
            <w:r>
              <w:rPr>
                <w:rFonts w:ascii="Calibri" w:hAnsi="Calibri"/>
                <w:b w:val="0"/>
                <w:i w:val="0"/>
                <w:color w:val="5A5A5A"/>
                <w:sz w:val="18"/>
              </w:rPr>
              <w:t>#lowSES  #vaccineaccess  #latepresentation  #outofpocket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population</w:t>
            </w:r>
          </w:p>
        </w:tc>
        <w:tc>
          <w:tcPr>
            <w:tcW w:type="dxa" w:w="2160"/>
            <w:vAlign w:val="top"/>
          </w:tcPr>
          <w:p>
            <w:pPr>
              <w:spacing w:after="40" w:before="0" w:line="259" w:lineRule="auto"/>
            </w:pPr>
            <w:r>
              <w:rPr>
                <w:rFonts w:ascii="Calibri" w:hAnsi="Calibri"/>
                <w:b w:val="0"/>
                <w:i w:val="0"/>
                <w:color w:val="212121"/>
                <w:sz w:val="19"/>
              </w:rPr>
              <w:t>Indian adults with very high VZV seroprevalence</w:t>
            </w:r>
          </w:p>
        </w:tc>
        <w:tc>
          <w:tcPr>
            <w:tcW w:type="dxa" w:w="4276"/>
            <w:vAlign w:val="top"/>
          </w:tcPr>
          <w:p>
            <w:pPr>
              <w:spacing w:after="60" w:line="259" w:lineRule="auto"/>
            </w:pPr>
            <w:r>
              <w:rPr>
                <w:rFonts w:ascii="Calibri" w:hAnsi="Calibri"/>
                <w:b w:val="0"/>
                <w:i w:val="0"/>
                <w:color w:val="212121"/>
                <w:sz w:val="19"/>
              </w:rPr>
              <w:t>Near-universal childhood/adulthood varicella exposure means almost all Indian adults harbour latent VZV and are therefore at lifelong risk of reactivation once immunity wanes; the absence of a vaccination programme leaves this pool unprotected.</w:t>
            </w:r>
          </w:p>
          <w:p>
            <w:pPr>
              <w:spacing w:after="40" w:before="60" w:line="259" w:lineRule="auto"/>
            </w:pPr>
            <w:r>
              <w:rPr>
                <w:rFonts w:ascii="Calibri" w:hAnsi="Calibri"/>
                <w:b w:val="0"/>
                <w:i w:val="0"/>
                <w:color w:val="212121"/>
                <w:sz w:val="19"/>
              </w:rPr>
              <w:t>Over 99% of adults have prior wild-type VZV exposure in populations without childhood varicella vaccination; a prior chickenpox history was documented in 22.7%-79.6% across Indian HZ series.</w:t>
            </w:r>
          </w:p>
          <w:p>
            <w:pPr>
              <w:spacing w:after="40" w:line="252" w:lineRule="auto"/>
            </w:pPr>
            <w:hyperlink r:id="rId10">
              <w:r>
                <w:rPr>
                  <w:rFonts w:ascii="Calibri" w:hAnsi="Calibri" w:cs="Calibri"/>
                  <w:sz w:val="18"/>
                  <w:color w:val="1155CC"/>
                  <w:u w:val="single"/>
                </w:rPr>
                <w:t xml:space="preserve">pmc.ncbi.nlm.nih.gov - HZ in Indian OPDs (review)</w:t>
              </w:r>
            </w:hyperlink>
          </w:p>
          <w:p>
            <w:pPr>
              <w:spacing w:before="60" w:after="40"/>
            </w:pPr>
            <w:r>
              <w:rPr>
                <w:rFonts w:ascii="Calibri" w:hAnsi="Calibri"/>
                <w:b w:val="0"/>
                <w:i w:val="0"/>
                <w:color w:val="5A5A5A"/>
                <w:sz w:val="18"/>
              </w:rPr>
              <w:t>#seroprevalence  #India  #latentVZV  #novaccineprogramme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Healthcare access</w:t>
            </w:r>
          </w:p>
        </w:tc>
        <w:tc>
          <w:tcPr>
            <w:tcW w:type="dxa" w:w="2160"/>
            <w:vAlign w:val="top"/>
          </w:tcPr>
          <w:p>
            <w:pPr>
              <w:spacing w:after="40" w:before="0" w:line="259" w:lineRule="auto"/>
            </w:pPr>
            <w:r>
              <w:rPr>
                <w:rFonts w:ascii="Calibri" w:hAnsi="Calibri"/>
                <w:b w:val="0"/>
                <w:i w:val="0"/>
                <w:color w:val="212121"/>
                <w:sz w:val="19"/>
              </w:rPr>
              <w:t>Rural / underserved populations presenting late</w:t>
            </w:r>
          </w:p>
        </w:tc>
        <w:tc>
          <w:tcPr>
            <w:tcW w:type="dxa" w:w="4276"/>
            <w:vAlign w:val="top"/>
          </w:tcPr>
          <w:p>
            <w:pPr>
              <w:spacing w:after="60" w:line="259" w:lineRule="auto"/>
            </w:pPr>
            <w:r>
              <w:rPr>
                <w:rFonts w:ascii="Calibri" w:hAnsi="Calibri"/>
                <w:b w:val="0"/>
                <w:i w:val="0"/>
                <w:color w:val="212121"/>
                <w:sz w:val="19"/>
              </w:rPr>
              <w:t>Limited access to dermatology and antiviral therapy within 72 hours of rash onset in rural India increases the risk of severe disease, secondary bacterial infection and postherpetic neuralgia.</w:t>
            </w:r>
          </w:p>
          <w:p>
            <w:pPr>
              <w:spacing w:after="40" w:before="60" w:line="259" w:lineRule="auto"/>
            </w:pPr>
            <w:r>
              <w:rPr>
                <w:rFonts w:ascii="Calibri" w:hAnsi="Calibri"/>
                <w:b w:val="0"/>
                <w:i w:val="0"/>
                <w:color w:val="212121"/>
                <w:sz w:val="19"/>
              </w:rPr>
              <w:t>Secondary bacterial infection of zoster lesions was reported in 3.5%-21.0% of Indian HZ patients across studies, and postherpetic neuralgia in 10.2%-54.7%.</w:t>
            </w:r>
          </w:p>
          <w:p>
            <w:pPr>
              <w:spacing w:after="40" w:line="252" w:lineRule="auto"/>
            </w:pPr>
            <w:hyperlink r:id="rId10">
              <w:r>
                <w:rPr>
                  <w:rFonts w:ascii="Calibri" w:hAnsi="Calibri" w:cs="Calibri"/>
                  <w:sz w:val="18"/>
                  <w:color w:val="1155CC"/>
                  <w:u w:val="single"/>
                </w:rPr>
                <w:t xml:space="preserve">pmc.ncbi.nlm.nih.gov - HZ in Indian OPDs (review)</w:t>
              </w:r>
            </w:hyperlink>
          </w:p>
          <w:p>
            <w:pPr>
              <w:spacing w:before="60" w:after="40"/>
            </w:pPr>
            <w:r>
              <w:rPr>
                <w:rFonts w:ascii="Calibri" w:hAnsi="Calibri"/>
                <w:b w:val="0"/>
                <w:i w:val="0"/>
                <w:color w:val="5A5A5A"/>
                <w:sz w:val="18"/>
              </w:rPr>
              <w:t>#ruralhealth  #latepresentation  #antiviralwindow  #PHN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 bidi smokers</w:t>
            </w:r>
          </w:p>
        </w:tc>
        <w:tc>
          <w:tcPr>
            <w:tcW w:type="dxa" w:w="4276"/>
            <w:vAlign w:val="top"/>
          </w:tcPr>
          <w:p>
            <w:pPr>
              <w:spacing w:after="60" w:line="259" w:lineRule="auto"/>
            </w:pPr>
            <w:r>
              <w:rPr>
                <w:rFonts w:ascii="Calibri" w:hAnsi="Calibri"/>
                <w:b w:val="0"/>
                <w:i w:val="0"/>
                <w:color w:val="212121"/>
                <w:sz w:val="19"/>
              </w:rPr>
              <w:t>Smoking impairs cell-mediated immunity and vascular/skin health, and chronic smoking-related disease (COPD) is itself associated with higher zoster incidence and poorer healing.</w:t>
            </w:r>
          </w:p>
          <w:p>
            <w:pPr>
              <w:spacing w:after="40" w:before="60" w:line="259" w:lineRule="auto"/>
            </w:pPr>
            <w:r>
              <w:rPr>
                <w:rFonts w:ascii="Calibri" w:hAnsi="Calibri"/>
                <w:b w:val="0"/>
                <w:i w:val="0"/>
                <w:color w:val="212121"/>
                <w:sz w:val="19"/>
              </w:rPr>
              <w:t>Chronic respiratory disease such as COPD is associated with roughly a 30% higher risk of herpes zoster in population studies.</w:t>
            </w:r>
          </w:p>
          <w:p>
            <w:pPr>
              <w:spacing w:after="40" w:line="252" w:lineRule="auto"/>
            </w:pPr>
            <w:hyperlink r:id="rId13">
              <w:r>
                <w:rPr>
                  <w:rFonts w:ascii="Calibri" w:hAnsi="Calibri" w:cs="Calibri"/>
                  <w:sz w:val="18"/>
                  <w:color w:val="1155CC"/>
                  <w:u w:val="single"/>
                </w:rPr>
                <w:t xml:space="preserve">mdpi.com - HZ risk factors review</w:t>
              </w:r>
            </w:hyperlink>
          </w:p>
          <w:p>
            <w:pPr>
              <w:spacing w:before="60" w:after="40"/>
            </w:pPr>
            <w:r>
              <w:rPr>
                <w:rFonts w:ascii="Calibri" w:hAnsi="Calibri"/>
                <w:b w:val="0"/>
                <w:i w:val="0"/>
                <w:color w:val="5A5A5A"/>
                <w:sz w:val="18"/>
              </w:rPr>
              <w:t>#smoking  #COPD  #cellmediatedimmunity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Individuals under acute or chronic stress</w:t>
            </w:r>
          </w:p>
        </w:tc>
        <w:tc>
          <w:tcPr>
            <w:tcW w:type="dxa" w:w="4276"/>
            <w:vAlign w:val="top"/>
          </w:tcPr>
          <w:p>
            <w:pPr>
              <w:spacing w:after="60" w:line="259" w:lineRule="auto"/>
            </w:pPr>
            <w:r>
              <w:rPr>
                <w:rFonts w:ascii="Calibri" w:hAnsi="Calibri"/>
                <w:b w:val="0"/>
                <w:i w:val="0"/>
                <w:color w:val="212121"/>
                <w:sz w:val="19"/>
              </w:rPr>
              <w:t>Psychological and physical stress transiently suppress VZV-specific immune surveillance and are recognised precipitants of reactivation; the ensuing pain in turn worsens distress (bidirectional).</w:t>
            </w:r>
          </w:p>
          <w:p>
            <w:pPr>
              <w:spacing w:after="40" w:before="60" w:line="259" w:lineRule="auto"/>
            </w:pPr>
            <w:r>
              <w:rPr>
                <w:rFonts w:ascii="Calibri" w:hAnsi="Calibri"/>
                <w:b w:val="0"/>
                <w:i w:val="0"/>
                <w:color w:val="212121"/>
                <w:sz w:val="19"/>
              </w:rPr>
              <w:t>Psychological stress, acute infections and post-stroke states are listed among factors that elevate the risk of herpes zoster reactivation.</w:t>
            </w:r>
          </w:p>
          <w:p>
            <w:pPr>
              <w:spacing w:after="40" w:line="252" w:lineRule="auto"/>
            </w:pPr>
            <w:hyperlink r:id="rId13">
              <w:r>
                <w:rPr>
                  <w:rFonts w:ascii="Calibri" w:hAnsi="Calibri" w:cs="Calibri"/>
                  <w:sz w:val="18"/>
                  <w:color w:val="1155CC"/>
                  <w:u w:val="single"/>
                </w:rPr>
                <w:t xml:space="preserve">mdpi.com - HZ risk factors review</w:t>
              </w:r>
            </w:hyperlink>
          </w:p>
          <w:p>
            <w:pPr>
              <w:spacing w:before="60" w:after="40"/>
            </w:pPr>
            <w:r>
              <w:rPr>
                <w:rFonts w:ascii="Calibri" w:hAnsi="Calibri"/>
                <w:b w:val="0"/>
                <w:i w:val="0"/>
                <w:color w:val="5A5A5A"/>
                <w:sz w:val="18"/>
              </w:rPr>
              <w:t>#stress  #reactivation  #immunesuppression  #mindbody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Chronic heavy alcohol intake impairs cell-mediated immunity, nutrition and liver function, predisposing to more severe or complicated zoster and slower healing.</w:t>
            </w:r>
          </w:p>
          <w:p>
            <w:pPr>
              <w:spacing w:after="40" w:before="60" w:line="259" w:lineRule="auto"/>
            </w:pPr>
            <w:r>
              <w:rPr>
                <w:rFonts w:ascii="Calibri" w:hAnsi="Calibri"/>
                <w:b w:val="0"/>
                <w:i w:val="0"/>
                <w:color w:val="212121"/>
                <w:sz w:val="19"/>
              </w:rPr>
              <w:t>Heavy alcohol use impairs immune defence; alcohol-related immune suppression is a recognised contributor to more severe skin and soft-tissue infection, though HZ-specific quantification is limited.</w:t>
            </w:r>
          </w:p>
          <w:p>
            <w:pPr>
              <w:spacing w:before="60" w:after="40"/>
            </w:pPr>
            <w:r>
              <w:rPr>
                <w:rFonts w:ascii="Calibri" w:hAnsi="Calibri"/>
                <w:b w:val="0"/>
                <w:i w:val="0"/>
                <w:color w:val="5A5A5A"/>
                <w:sz w:val="18"/>
              </w:rPr>
              <w:t>#alcohol  #immunity  #nutrition  #severeinfection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micronutrient deficiency</w:t>
            </w:r>
          </w:p>
        </w:tc>
        <w:tc>
          <w:tcPr>
            <w:tcW w:type="dxa" w:w="2160"/>
            <w:vAlign w:val="top"/>
          </w:tcPr>
          <w:p>
            <w:pPr>
              <w:spacing w:after="40" w:before="0" w:line="259" w:lineRule="auto"/>
            </w:pPr>
            <w:r>
              <w:rPr>
                <w:rFonts w:ascii="Calibri" w:hAnsi="Calibri"/>
                <w:b w:val="0"/>
                <w:i w:val="0"/>
                <w:color w:val="212121"/>
                <w:sz w:val="19"/>
              </w:rPr>
              <w:t>Malnourished, protein-energy or micronutrient-deficient adults</w:t>
            </w:r>
          </w:p>
        </w:tc>
        <w:tc>
          <w:tcPr>
            <w:tcW w:type="dxa" w:w="4276"/>
            <w:vAlign w:val="top"/>
          </w:tcPr>
          <w:p>
            <w:pPr>
              <w:spacing w:after="60" w:line="259" w:lineRule="auto"/>
            </w:pPr>
            <w:r>
              <w:rPr>
                <w:rFonts w:ascii="Calibri" w:hAnsi="Calibri"/>
                <w:b w:val="0"/>
                <w:i w:val="0"/>
                <w:color w:val="212121"/>
                <w:sz w:val="19"/>
              </w:rPr>
              <w:t>Protein-energy malnutrition and deficiencies of zinc, vitamin C and vitamin D weaken cell-mediated immunity that normally contains latent VZV, favouring reactivation and impairing lesion healing.</w:t>
            </w:r>
          </w:p>
          <w:p>
            <w:pPr>
              <w:spacing w:after="40" w:before="60" w:line="259" w:lineRule="auto"/>
            </w:pPr>
            <w:r>
              <w:rPr>
                <w:rFonts w:ascii="Calibri" w:hAnsi="Calibri"/>
                <w:b w:val="0"/>
                <w:i w:val="0"/>
                <w:color w:val="212121"/>
                <w:sz w:val="19"/>
              </w:rPr>
              <w:t>Impaired cell-mediated immunity underlies VZV reactivation; undernutrition, highly prevalent in parts of India, is a recognised contributor to weakened anti-viral immune control.</w:t>
            </w:r>
          </w:p>
          <w:p>
            <w:pPr>
              <w:spacing w:before="60" w:after="40"/>
            </w:pPr>
            <w:r>
              <w:rPr>
                <w:rFonts w:ascii="Calibri" w:hAnsi="Calibri"/>
                <w:b w:val="0"/>
                <w:i w:val="0"/>
                <w:color w:val="5A5A5A"/>
                <w:sz w:val="18"/>
              </w:rPr>
              <w:t>#malnutrition  #micronutrients  #zinc  #vitaminD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herpes zoster</w:t>
            </w:r>
          </w:p>
        </w:tc>
        <w:tc>
          <w:tcPr>
            <w:tcW w:type="dxa" w:w="4276"/>
            <w:vAlign w:val="top"/>
          </w:tcPr>
          <w:p>
            <w:pPr>
              <w:spacing w:after="60" w:line="259" w:lineRule="auto"/>
            </w:pPr>
            <w:r>
              <w:rPr>
                <w:rFonts w:ascii="Calibri" w:hAnsi="Calibri"/>
                <w:b w:val="0"/>
                <w:i w:val="0"/>
                <w:color w:val="212121"/>
                <w:sz w:val="19"/>
              </w:rPr>
              <w:t>A positive family history of zoster is an independent risk factor, reflecting inherited components of VZV-specific immune control and susceptibility.</w:t>
            </w:r>
          </w:p>
          <w:p>
            <w:pPr>
              <w:spacing w:after="40" w:before="60" w:line="259" w:lineRule="auto"/>
            </w:pPr>
            <w:r>
              <w:rPr>
                <w:rFonts w:ascii="Calibri" w:hAnsi="Calibri"/>
                <w:b w:val="0"/>
                <w:i w:val="0"/>
                <w:color w:val="212121"/>
                <w:sz w:val="19"/>
              </w:rPr>
              <w:t>Family history of herpes zoster is listed among established risk factors for developing zoster and for postherpetic neuralgia.</w:t>
            </w:r>
          </w:p>
          <w:p>
            <w:pPr>
              <w:spacing w:after="40" w:line="252" w:lineRule="auto"/>
            </w:pPr>
            <w:hyperlink r:id="rId14">
              <w:r>
                <w:rPr>
                  <w:rFonts w:ascii="Calibri" w:hAnsi="Calibri" w:cs="Calibri"/>
                  <w:sz w:val="18"/>
                  <w:color w:val="1155CC"/>
                  <w:u w:val="single"/>
                </w:rPr>
                <w:t xml:space="preserve">ncbi.nlm.nih.gov - Postherpetic Neuralgia (StatPearls)</w:t>
              </w:r>
            </w:hyperlink>
          </w:p>
          <w:p>
            <w:pPr>
              <w:spacing w:before="60" w:after="40"/>
            </w:pPr>
            <w:r>
              <w:rPr>
                <w:rFonts w:ascii="Calibri" w:hAnsi="Calibri"/>
                <w:b w:val="0"/>
                <w:i w:val="0"/>
                <w:color w:val="5A5A5A"/>
                <w:sz w:val="18"/>
              </w:rPr>
              <w:t>#familyhistory  #geneticsusceptibility  #hostimmunity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 poor glycaemic control</w:t>
            </w:r>
          </w:p>
        </w:tc>
        <w:tc>
          <w:tcPr>
            <w:tcW w:type="dxa" w:w="4276"/>
            <w:vAlign w:val="top"/>
          </w:tcPr>
          <w:p>
            <w:pPr>
              <w:spacing w:after="60" w:line="259" w:lineRule="auto"/>
            </w:pPr>
            <w:r>
              <w:rPr>
                <w:rFonts w:ascii="Calibri" w:hAnsi="Calibri"/>
                <w:b w:val="0"/>
                <w:i w:val="0"/>
                <w:color w:val="212121"/>
                <w:sz w:val="19"/>
              </w:rPr>
              <w:t>Hyperglycaemia impairs T-cell and neutrophil function and blunts VZV-specific cell-mediated immunity, raising both the incidence and severity of zoster and the risk of postherpetic neuralgia.</w:t>
            </w:r>
          </w:p>
          <w:p>
            <w:pPr>
              <w:spacing w:after="40" w:before="60" w:line="259" w:lineRule="auto"/>
            </w:pPr>
            <w:r>
              <w:rPr>
                <w:rFonts w:ascii="Calibri" w:hAnsi="Calibri"/>
                <w:b w:val="0"/>
                <w:i w:val="0"/>
                <w:color w:val="212121"/>
                <w:sz w:val="19"/>
              </w:rPr>
              <w:t>Crude HZ incidence is about 78% higher in people with diabetes than without (7.96 vs 4.48 cases per 1,000 person-years); diabetes was the commonest comorbidity (35 of 190 cases) in an Indian HZ cohort.</w:t>
            </w:r>
          </w:p>
          <w:p>
            <w:pPr>
              <w:spacing w:after="40" w:line="252" w:lineRule="auto"/>
            </w:pPr>
            <w:hyperlink r:id="rId13">
              <w:r>
                <w:rPr>
                  <w:rFonts w:ascii="Calibri" w:hAnsi="Calibri" w:cs="Calibri"/>
                  <w:sz w:val="18"/>
                  <w:color w:val="1155CC"/>
                  <w:u w:val="single"/>
                </w:rPr>
                <w:t xml:space="preserve">mdpi.com - HZ risk factors review</w:t>
              </w:r>
            </w:hyperlink>
          </w:p>
          <w:p>
            <w:pPr>
              <w:spacing w:before="60" w:after="40"/>
            </w:pPr>
            <w:r>
              <w:rPr>
                <w:rFonts w:ascii="Calibri" w:hAnsi="Calibri"/>
                <w:b w:val="0"/>
                <w:i w:val="0"/>
                <w:color w:val="5A5A5A"/>
                <w:sz w:val="18"/>
              </w:rPr>
              <w:t>#diabetes  #hyperglycaemia  #cellmediatedimmunity  #PHNrisk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 especially low CD4 counts</w:t>
            </w:r>
          </w:p>
        </w:tc>
        <w:tc>
          <w:tcPr>
            <w:tcW w:type="dxa" w:w="4276"/>
            <w:vAlign w:val="top"/>
          </w:tcPr>
          <w:p>
            <w:pPr>
              <w:spacing w:after="60" w:line="259" w:lineRule="auto"/>
            </w:pPr>
            <w:r>
              <w:rPr>
                <w:rFonts w:ascii="Calibri" w:hAnsi="Calibri"/>
                <w:b w:val="0"/>
                <w:i w:val="0"/>
                <w:color w:val="212121"/>
                <w:sz w:val="19"/>
              </w:rPr>
              <w:t>HIV depletes CD4 T-cells central to VZV control, so zoster is often an early, recurrent, multidermatomal or disseminated manifestation and a sentinel indicator of underlying immunodeficiency, particularly in younger patients.</w:t>
            </w:r>
          </w:p>
          <w:p>
            <w:pPr>
              <w:spacing w:after="40" w:before="60" w:line="259" w:lineRule="auto"/>
            </w:pPr>
            <w:r>
              <w:rPr>
                <w:rFonts w:ascii="Calibri" w:hAnsi="Calibri"/>
                <w:b w:val="0"/>
                <w:i w:val="0"/>
                <w:color w:val="212121"/>
                <w:sz w:val="19"/>
              </w:rPr>
              <w:t>HIV seropositivity ranged from 0% to 44.4% across Indian HZ studies; PHN was far more frequent in HIV-positive patients (about 75%) than HIV-negative patients (about 10%) in one series.</w:t>
            </w:r>
          </w:p>
          <w:p>
            <w:pPr>
              <w:spacing w:after="40" w:line="252" w:lineRule="auto"/>
            </w:pPr>
            <w:hyperlink r:id="rId10">
              <w:r>
                <w:rPr>
                  <w:rFonts w:ascii="Calibri" w:hAnsi="Calibri" w:cs="Calibri"/>
                  <w:sz w:val="18"/>
                  <w:color w:val="1155CC"/>
                  <w:u w:val="single"/>
                </w:rPr>
                <w:t xml:space="preserve">pmc.ncbi.nlm.nih.gov - HZ in Indian OPDs (review)</w:t>
              </w:r>
            </w:hyperlink>
          </w:p>
          <w:p>
            <w:pPr>
              <w:spacing w:before="60" w:after="40"/>
            </w:pPr>
            <w:r>
              <w:rPr>
                <w:rFonts w:ascii="Calibri" w:hAnsi="Calibri"/>
                <w:b w:val="0"/>
                <w:i w:val="0"/>
                <w:color w:val="5A5A5A"/>
                <w:sz w:val="18"/>
              </w:rPr>
              <w:t>#HIV  #CD4  #disseminatedzoster  #sentinelinfection  #youngadults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 / chemotherapy</w:t>
            </w:r>
          </w:p>
        </w:tc>
        <w:tc>
          <w:tcPr>
            <w:tcW w:type="dxa" w:w="2160"/>
            <w:vAlign w:val="top"/>
          </w:tcPr>
          <w:p>
            <w:pPr>
              <w:spacing w:after="40" w:before="0" w:line="259" w:lineRule="auto"/>
            </w:pPr>
            <w:r>
              <w:rPr>
                <w:rFonts w:ascii="Calibri" w:hAnsi="Calibri"/>
                <w:b w:val="0"/>
                <w:i w:val="0"/>
                <w:color w:val="212121"/>
                <w:sz w:val="19"/>
              </w:rPr>
              <w:t>Patients with haematological or solid cancers</w:t>
            </w:r>
          </w:p>
        </w:tc>
        <w:tc>
          <w:tcPr>
            <w:tcW w:type="dxa" w:w="4276"/>
            <w:vAlign w:val="top"/>
          </w:tcPr>
          <w:p>
            <w:pPr>
              <w:spacing w:after="60" w:line="259" w:lineRule="auto"/>
            </w:pPr>
            <w:r>
              <w:rPr>
                <w:rFonts w:ascii="Calibri" w:hAnsi="Calibri"/>
                <w:b w:val="0"/>
                <w:i w:val="0"/>
                <w:color w:val="212121"/>
                <w:sz w:val="19"/>
              </w:rPr>
              <w:t>Malignancy (especially lymphoma and leukaemia) and cytotoxic chemotherapy profoundly suppress cell-mediated immunity, greatly increasing the risk of severe, disseminated and recurrent zoster.</w:t>
            </w:r>
          </w:p>
          <w:p>
            <w:pPr>
              <w:spacing w:after="40" w:before="60" w:line="259" w:lineRule="auto"/>
            </w:pPr>
            <w:r>
              <w:rPr>
                <w:rFonts w:ascii="Calibri" w:hAnsi="Calibri"/>
                <w:b w:val="0"/>
                <w:i w:val="0"/>
                <w:color w:val="212121"/>
                <w:sz w:val="19"/>
              </w:rPr>
              <w:t>Immunocompromised individuals have roughly double the HZ incidence of the immunocompetent (about 9.15 vs 4.64 per 1,000 person-years), with the highest rates in haematopoietic stem-cell transplant recipients (about 56 per 1,000 person-years).</w:t>
            </w:r>
          </w:p>
          <w:p>
            <w:pPr>
              <w:spacing w:after="40" w:line="252" w:lineRule="auto"/>
            </w:pPr>
            <w:hyperlink r:id="rId13">
              <w:r>
                <w:rPr>
                  <w:rFonts w:ascii="Calibri" w:hAnsi="Calibri" w:cs="Calibri"/>
                  <w:sz w:val="18"/>
                  <w:color w:val="1155CC"/>
                  <w:u w:val="single"/>
                </w:rPr>
                <w:t xml:space="preserve">mdpi.com - HZ risk factors review</w:t>
              </w:r>
            </w:hyperlink>
          </w:p>
          <w:p>
            <w:pPr>
              <w:spacing w:before="60" w:after="40"/>
            </w:pPr>
            <w:r>
              <w:rPr>
                <w:rFonts w:ascii="Calibri" w:hAnsi="Calibri"/>
                <w:b w:val="0"/>
                <w:i w:val="0"/>
                <w:color w:val="5A5A5A"/>
                <w:sz w:val="18"/>
              </w:rPr>
              <w:t>#malignancy  #lymphoma  #chemotherapy  #disseminated  #immunocompromised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Immunosuppressive therapy / transplant</w:t>
            </w:r>
          </w:p>
        </w:tc>
        <w:tc>
          <w:tcPr>
            <w:tcW w:type="dxa" w:w="2160"/>
            <w:vAlign w:val="top"/>
          </w:tcPr>
          <w:p>
            <w:pPr>
              <w:spacing w:after="40" w:before="0" w:line="259" w:lineRule="auto"/>
            </w:pPr>
            <w:r>
              <w:rPr>
                <w:rFonts w:ascii="Calibri" w:hAnsi="Calibri"/>
                <w:b w:val="0"/>
                <w:i w:val="0"/>
                <w:color w:val="212121"/>
                <w:sz w:val="19"/>
              </w:rPr>
              <w:t>Transplant recipients and patients on steroids/biologics</w:t>
            </w:r>
          </w:p>
        </w:tc>
        <w:tc>
          <w:tcPr>
            <w:tcW w:type="dxa" w:w="4276"/>
            <w:vAlign w:val="top"/>
          </w:tcPr>
          <w:p>
            <w:pPr>
              <w:spacing w:after="60" w:line="259" w:lineRule="auto"/>
            </w:pPr>
            <w:r>
              <w:rPr>
                <w:rFonts w:ascii="Calibri" w:hAnsi="Calibri"/>
                <w:b w:val="0"/>
                <w:i w:val="0"/>
                <w:color w:val="212121"/>
                <w:sz w:val="19"/>
              </w:rPr>
              <w:t>Systemic corticosteroids, biologic and conventional immunosuppressants, and organ/stem-cell transplantation suppress the T-cell immunity that contains latent VZV, and these patients account for a large share of hospitalized zoster.</w:t>
            </w:r>
          </w:p>
          <w:p>
            <w:pPr>
              <w:spacing w:after="40" w:before="60" w:line="259" w:lineRule="auto"/>
            </w:pPr>
            <w:r>
              <w:rPr>
                <w:rFonts w:ascii="Calibri" w:hAnsi="Calibri"/>
                <w:b w:val="0"/>
                <w:i w:val="0"/>
                <w:color w:val="212121"/>
                <w:sz w:val="19"/>
              </w:rPr>
              <w:t>About 30% of people hospitalized with herpes zoster are immunocompromised; biologic DMARDs carry an adjusted hazard ratio of about 2.53 for HZ versus conventional agents.</w:t>
            </w:r>
          </w:p>
          <w:p>
            <w:pPr>
              <w:spacing w:after="40" w:line="252" w:lineRule="auto"/>
            </w:pPr>
            <w:hyperlink r:id="rId9">
              <w:r>
                <w:rPr>
                  <w:rFonts w:ascii="Calibri" w:hAnsi="Calibri" w:cs="Calibri"/>
                  <w:sz w:val="18"/>
                  <w:color w:val="1155CC"/>
                  <w:u w:val="single"/>
                </w:rPr>
                <w:t xml:space="preserve">cdc.gov - shingles clinical overview</w:t>
              </w:r>
            </w:hyperlink>
          </w:p>
          <w:p>
            <w:pPr>
              <w:spacing w:before="60" w:after="40"/>
            </w:pPr>
            <w:r>
              <w:rPr>
                <w:rFonts w:ascii="Calibri" w:hAnsi="Calibri"/>
                <w:b w:val="0"/>
                <w:i w:val="0"/>
                <w:color w:val="5A5A5A"/>
                <w:sz w:val="18"/>
              </w:rPr>
              <w:t>#transplant  #steroids  #biologics  #DMARD  #hospitalizedzoster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Patients with SLE, rheumatoid arthritis and related conditions</w:t>
            </w:r>
          </w:p>
        </w:tc>
        <w:tc>
          <w:tcPr>
            <w:tcW w:type="dxa" w:w="4276"/>
            <w:vAlign w:val="top"/>
          </w:tcPr>
          <w:p>
            <w:pPr>
              <w:spacing w:after="60" w:line="259" w:lineRule="auto"/>
            </w:pPr>
            <w:r>
              <w:rPr>
                <w:rFonts w:ascii="Calibri" w:hAnsi="Calibri"/>
                <w:b w:val="0"/>
                <w:i w:val="0"/>
                <w:color w:val="212121"/>
                <w:sz w:val="19"/>
              </w:rPr>
              <w:t>Autoimmune diseases and their immunosuppressive treatments both impair VZV-specific immunity; systemic lupus erythematosus carries a particularly high zoster incidence.</w:t>
            </w:r>
          </w:p>
          <w:p>
            <w:pPr>
              <w:spacing w:after="40" w:before="60" w:line="259" w:lineRule="auto"/>
            </w:pPr>
            <w:r>
              <w:rPr>
                <w:rFonts w:ascii="Calibri" w:hAnsi="Calibri"/>
                <w:b w:val="0"/>
                <w:i w:val="0"/>
                <w:color w:val="212121"/>
                <w:sz w:val="19"/>
              </w:rPr>
              <w:t>Systemic lupus erythematosus shows the highest HZ incidence among autoimmune conditions (about 19.9 per 1,000 person-years); rheumatoid arthritis raises risk by roughly 30%.</w:t>
            </w:r>
          </w:p>
          <w:p>
            <w:pPr>
              <w:spacing w:after="40" w:line="252" w:lineRule="auto"/>
            </w:pPr>
            <w:hyperlink r:id="rId13">
              <w:r>
                <w:rPr>
                  <w:rFonts w:ascii="Calibri" w:hAnsi="Calibri" w:cs="Calibri"/>
                  <w:sz w:val="18"/>
                  <w:color w:val="1155CC"/>
                  <w:u w:val="single"/>
                </w:rPr>
                <w:t xml:space="preserve">mdpi.com - HZ risk factors review</w:t>
              </w:r>
            </w:hyperlink>
          </w:p>
          <w:p>
            <w:pPr>
              <w:spacing w:before="60" w:after="40"/>
            </w:pPr>
            <w:r>
              <w:rPr>
                <w:rFonts w:ascii="Calibri" w:hAnsi="Calibri"/>
                <w:b w:val="0"/>
                <w:i w:val="0"/>
                <w:color w:val="5A5A5A"/>
                <w:sz w:val="18"/>
              </w:rPr>
              <w:t>#SLE  #rheumatoidarthritis  #autoimmune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on dialysis</w:t>
            </w:r>
          </w:p>
        </w:tc>
        <w:tc>
          <w:tcPr>
            <w:tcW w:type="dxa" w:w="4276"/>
            <w:vAlign w:val="top"/>
          </w:tcPr>
          <w:p>
            <w:pPr>
              <w:spacing w:after="60" w:line="259" w:lineRule="auto"/>
            </w:pPr>
            <w:r>
              <w:rPr>
                <w:rFonts w:ascii="Calibri" w:hAnsi="Calibri"/>
                <w:b w:val="0"/>
                <w:i w:val="0"/>
                <w:color w:val="212121"/>
                <w:sz w:val="19"/>
              </w:rPr>
              <w:t>Uraemia-related immune dysfunction and frequent immunosuppressive therapy in renal disease impair cell-mediated immunity and increase the incidence and severity of herpes zoster.</w:t>
            </w:r>
          </w:p>
          <w:p>
            <w:pPr>
              <w:spacing w:after="40" w:before="60" w:line="259" w:lineRule="auto"/>
            </w:pPr>
            <w:r>
              <w:rPr>
                <w:rFonts w:ascii="Calibri" w:hAnsi="Calibri"/>
                <w:b w:val="0"/>
                <w:i w:val="0"/>
                <w:color w:val="212121"/>
                <w:sz w:val="19"/>
              </w:rPr>
              <w:t>Chronic organ diseases including renal impairment are recognised comorbidities that raise HZ risk; comorbidities were present in about 34% of an Indian HZ cohort.</w:t>
            </w:r>
          </w:p>
          <w:p>
            <w:pPr>
              <w:spacing w:after="40" w:line="252" w:lineRule="auto"/>
            </w:pPr>
            <w:hyperlink r:id="rId11">
              <w:r>
                <w:rPr>
                  <w:rFonts w:ascii="Calibri" w:hAnsi="Calibri" w:cs="Calibri"/>
                  <w:sz w:val="18"/>
                  <w:color w:val="1155CC"/>
                  <w:u w:val="single"/>
                </w:rPr>
                <w:t xml:space="preserve">brieflands.com - clinico-epidemiological study of HZ (India)</w:t>
              </w:r>
            </w:hyperlink>
          </w:p>
          <w:p>
            <w:pPr>
              <w:spacing w:before="60" w:after="40"/>
            </w:pPr>
            <w:r>
              <w:rPr>
                <w:rFonts w:ascii="Calibri" w:hAnsi="Calibri"/>
                <w:b w:val="0"/>
                <w:i w:val="0"/>
                <w:color w:val="5A5A5A"/>
                <w:sz w:val="18"/>
              </w:rPr>
              <w:t>#CKD  #dialysis  #uraemia  #immunedysfunction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moderate exercise supports cell-mediated immunity that contains latent VZV, and reduces diabetes/obesity risk, but there is no strong direct evidence linking activity levels to zoster incidence.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Protein-energy malnutrition and deficiencies of zinc, vitamin C and vitamin D weaken the cell-mediated immunity controlling VZV; high-glycaemic diets worsen the diabetes-related risk pathway. Good nutrition supports immune competence and lesion healing.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sleep deprivation and poor sleep quality impair T-cell and NK-cell function and glycaemic control, plausibly favouring reactivation; disabling zoster pain and PHN also severely disrupt sleep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cell-mediated immunity and microcirculation and drives COPD, which is associated with about a 30% higher zoster risk and poorer wound healing.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impairs immunity and nutrition and may predispose to more severe or complicated zoster, but zoster-specific evidence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and chronic psychological stress transiently suppress VZV-specific immunity and are recognised precipitants of reactivation; conversely, zoster pain and PHN commonly cause anxiety, depression and impaired quality of life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skin integrity and healing of crusted lesions but has no established direct role in preventing zoster reactivation.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herpes zoster occurrence or complications.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Clean handling and covering of weeping lesions reduces secondary bacterial superinfection (reported in 3.5%-21% of Indian cases) and limits VZV transmission to susceptible (non-immune, pregnant or immunocompromised) contacts, who can develop chickenpox.</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Advancing age with waning VZV-specific cell-mediated immunity, immunosuppression (HIV, malignancy, transplant, steroids/biologics), diabetes, acute stress, trauma to a dermatome and intercurrent illness are the dominant triggers of reactivation.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(years)</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Vaccinate from age 50 to offset waning immunity</w:t>
            </w:r>
          </w:p>
        </w:tc>
        <w:tc>
          <w:tcPr>
            <w:tcW w:type="dxa" w:w="1512"/>
            <w:vAlign w:val="top"/>
          </w:tcPr>
          <w:p>
            <w:pPr>
              <w:spacing w:after="40" w:before="0" w:line="259" w:lineRule="auto"/>
            </w:pPr>
            <w:r>
              <w:rPr>
                <w:rFonts w:ascii="Calibri" w:hAnsi="Calibri"/>
                <w:b w:val="0"/>
                <w:i w:val="0"/>
                <w:color w:val="212121"/>
                <w:sz w:val="19"/>
              </w:rPr>
              <w:t>&gt;= 50 years (risk rises sharply)</w:t>
            </w:r>
          </w:p>
        </w:tc>
        <w:tc>
          <w:tcPr>
            <w:tcW w:type="dxa" w:w="1468"/>
            <w:vAlign w:val="top"/>
          </w:tcPr>
          <w:p>
            <w:pPr>
              <w:spacing w:after="60" w:line="259" w:lineRule="auto"/>
            </w:pPr>
            <w:r>
              <w:rPr>
                <w:rFonts w:ascii="Calibri" w:hAnsi="Calibri"/>
                <w:b w:val="0"/>
                <w:i w:val="0"/>
                <w:color w:val="212121"/>
                <w:sz w:val="19"/>
              </w:rPr>
              <w:t>Age-related decline in VZV-specific cell-mediated immunity is the leading driver</w:t>
            </w:r>
          </w:p>
          <w:p>
            <w:pPr>
              <w:spacing w:after="40" w:line="252" w:lineRule="auto"/>
            </w:pPr>
            <w:hyperlink r:id="rId9">
              <w:r>
                <w:rPr>
                  <w:rFonts w:ascii="Calibri" w:hAnsi="Calibri" w:cs="Calibri"/>
                  <w:sz w:val="18"/>
                  <w:color w:val="1155CC"/>
                  <w:u w:val="single"/>
                </w:rPr>
                <w:t xml:space="preserve">https://www.cdc.gov/shingles/hcp/clinical-overview/index.html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Immune status / CD4 count (HIV)</w:t>
            </w:r>
          </w:p>
        </w:tc>
        <w:tc>
          <w:tcPr>
            <w:tcW w:type="dxa" w:w="1655"/>
            <w:vAlign w:val="top"/>
          </w:tcPr>
          <w:p>
            <w:pPr>
              <w:spacing w:after="40" w:before="0" w:line="259" w:lineRule="auto"/>
            </w:pPr>
            <w:r>
              <w:rPr>
                <w:rFonts w:ascii="Calibri" w:hAnsi="Calibri"/>
                <w:b w:val="0"/>
                <w:i w:val="0"/>
                <w:color w:val="212121"/>
                <w:sz w:val="19"/>
              </w:rPr>
              <w:t>People living with HIV</w:t>
            </w:r>
          </w:p>
        </w:tc>
        <w:tc>
          <w:tcPr>
            <w:tcW w:type="dxa" w:w="1512"/>
            <w:vAlign w:val="top"/>
          </w:tcPr>
          <w:p>
            <w:pPr>
              <w:spacing w:after="40" w:before="0" w:line="259" w:lineRule="auto"/>
            </w:pPr>
            <w:r>
              <w:rPr>
                <w:rFonts w:ascii="Calibri" w:hAnsi="Calibri"/>
                <w:b w:val="0"/>
                <w:i w:val="0"/>
                <w:color w:val="212121"/>
                <w:sz w:val="19"/>
              </w:rPr>
              <w:t>CD4 &gt; 500 cells/mm3; virally suppressed</w:t>
            </w:r>
          </w:p>
        </w:tc>
        <w:tc>
          <w:tcPr>
            <w:tcW w:type="dxa" w:w="1512"/>
            <w:vAlign w:val="top"/>
          </w:tcPr>
          <w:p>
            <w:pPr>
              <w:spacing w:after="40" w:before="0" w:line="259" w:lineRule="auto"/>
            </w:pPr>
            <w:r>
              <w:rPr>
                <w:rFonts w:ascii="Calibri" w:hAnsi="Calibri"/>
                <w:b w:val="0"/>
                <w:i w:val="0"/>
                <w:color w:val="212121"/>
                <w:sz w:val="19"/>
              </w:rPr>
              <w:t>CD4 &lt; 200 cells/mm3</w:t>
            </w:r>
          </w:p>
        </w:tc>
        <w:tc>
          <w:tcPr>
            <w:tcW w:type="dxa" w:w="1468"/>
            <w:vAlign w:val="top"/>
          </w:tcPr>
          <w:p>
            <w:pPr>
              <w:spacing w:after="60" w:line="259" w:lineRule="auto"/>
            </w:pPr>
            <w:r>
              <w:rPr>
                <w:rFonts w:ascii="Calibri" w:hAnsi="Calibri"/>
                <w:b w:val="0"/>
                <w:i w:val="0"/>
                <w:color w:val="212121"/>
                <w:sz w:val="19"/>
              </w:rPr>
              <w:t>Low CD4 predisposes to recurrent, multidermatomal and disseminated zoster</w:t>
            </w:r>
          </w:p>
          <w:p>
            <w:pPr>
              <w:spacing w:after="40" w:line="252" w:lineRule="auto"/>
            </w:pPr>
            <w:hyperlink r:id="rId10">
              <w:r>
                <w:rPr>
                  <w:rFonts w:ascii="Calibri" w:hAnsi="Calibri" w:cs="Calibri"/>
                  <w:sz w:val="18"/>
                  <w:color w:val="1155CC"/>
                  <w:u w:val="single"/>
                </w:rPr>
                <w:t xml:space="preserve">https://pmc.ncbi.nlm.nih.gov/articles/PMC8828134/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Immunosuppressive therapy</w:t>
            </w:r>
          </w:p>
        </w:tc>
        <w:tc>
          <w:tcPr>
            <w:tcW w:type="dxa" w:w="1655"/>
            <w:vAlign w:val="top"/>
          </w:tcPr>
          <w:p>
            <w:pPr>
              <w:spacing w:after="40" w:before="0" w:line="259" w:lineRule="auto"/>
            </w:pPr>
            <w:r>
              <w:rPr>
                <w:rFonts w:ascii="Calibri" w:hAnsi="Calibri"/>
                <w:b w:val="0"/>
                <w:i w:val="0"/>
                <w:color w:val="212121"/>
                <w:sz w:val="19"/>
              </w:rPr>
              <w:t>Transplant, autoimmune, cancer patients</w:t>
            </w:r>
          </w:p>
        </w:tc>
        <w:tc>
          <w:tcPr>
            <w:tcW w:type="dxa" w:w="1512"/>
            <w:vAlign w:val="top"/>
          </w:tcPr>
          <w:p>
            <w:pPr>
              <w:spacing w:after="40" w:before="0" w:line="259" w:lineRule="auto"/>
            </w:pPr>
            <w:r>
              <w:rPr>
                <w:rFonts w:ascii="Calibri" w:hAnsi="Calibri"/>
                <w:b w:val="0"/>
                <w:i w:val="0"/>
                <w:color w:val="212121"/>
                <w:sz w:val="19"/>
              </w:rPr>
              <w:t>Lowest effective dose; consider RZV before starting</w:t>
            </w:r>
          </w:p>
        </w:tc>
        <w:tc>
          <w:tcPr>
            <w:tcW w:type="dxa" w:w="1512"/>
            <w:vAlign w:val="top"/>
          </w:tcPr>
          <w:p>
            <w:pPr>
              <w:spacing w:after="40" w:before="0" w:line="259" w:lineRule="auto"/>
            </w:pPr>
            <w:r>
              <w:rPr>
                <w:rFonts w:ascii="Calibri" w:hAnsi="Calibri"/>
                <w:b w:val="0"/>
                <w:i w:val="0"/>
                <w:color w:val="212121"/>
                <w:sz w:val="19"/>
              </w:rPr>
              <w:t>High-dose steroids, biologics, chemotherapy</w:t>
            </w:r>
          </w:p>
        </w:tc>
        <w:tc>
          <w:tcPr>
            <w:tcW w:type="dxa" w:w="1468"/>
            <w:vAlign w:val="top"/>
          </w:tcPr>
          <w:p>
            <w:pPr>
              <w:spacing w:after="60" w:line="259" w:lineRule="auto"/>
            </w:pPr>
            <w:r>
              <w:rPr>
                <w:rFonts w:ascii="Calibri" w:hAnsi="Calibri"/>
                <w:b w:val="0"/>
                <w:i w:val="0"/>
                <w:color w:val="212121"/>
                <w:sz w:val="19"/>
              </w:rPr>
              <w:t>Biologic DMARDs carry ~2.5x HZ risk; ~30% of hospitalized HZ are immunocompromised</w:t>
            </w:r>
          </w:p>
          <w:p>
            <w:pPr>
              <w:spacing w:after="40" w:line="252" w:lineRule="auto"/>
            </w:pPr>
            <w:hyperlink r:id="rId13">
              <w:r>
                <w:rPr>
                  <w:rFonts w:ascii="Calibri" w:hAnsi="Calibri" w:cs="Calibri"/>
                  <w:sz w:val="18"/>
                  <w:color w:val="1155CC"/>
                  <w:u w:val="single"/>
                </w:rPr>
                <w:t xml:space="preserve">https://www.mdpi.com/2079-9721/13/3/71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 / HbA1c</w:t>
            </w:r>
          </w:p>
        </w:tc>
        <w:tc>
          <w:tcPr>
            <w:tcW w:type="dxa" w:w="1655"/>
            <w:vAlign w:val="top"/>
          </w:tcPr>
          <w:p>
            <w:pPr>
              <w:spacing w:after="40" w:before="0" w:line="259" w:lineRule="auto"/>
            </w:pPr>
            <w:r>
              <w:rPr>
                <w:rFonts w:ascii="Calibri" w:hAnsi="Calibri"/>
                <w:b w:val="0"/>
                <w:i w:val="0"/>
                <w:color w:val="212121"/>
                <w:sz w:val="19"/>
              </w:rPr>
              <w:t>Diabetics and prediabetics</w:t>
            </w:r>
          </w:p>
        </w:tc>
        <w:tc>
          <w:tcPr>
            <w:tcW w:type="dxa" w:w="1512"/>
            <w:vAlign w:val="top"/>
          </w:tcPr>
          <w:p>
            <w:pPr>
              <w:spacing w:after="40" w:before="0" w:line="259" w:lineRule="auto"/>
            </w:pPr>
            <w:r>
              <w:rPr>
                <w:rFonts w:ascii="Calibri" w:hAnsi="Calibri"/>
                <w:b w:val="0"/>
                <w:i w:val="0"/>
                <w:color w:val="212121"/>
                <w:sz w:val="19"/>
              </w:rPr>
              <w:t>FPG 70-99 mg/dL; HbA1c &lt; 5.7%</w:t>
            </w:r>
          </w:p>
        </w:tc>
        <w:tc>
          <w:tcPr>
            <w:tcW w:type="dxa" w:w="1512"/>
            <w:vAlign w:val="top"/>
          </w:tcPr>
          <w:p>
            <w:pPr>
              <w:spacing w:after="40" w:before="0" w:line="259" w:lineRule="auto"/>
            </w:pPr>
            <w:r>
              <w:rPr>
                <w:rFonts w:ascii="Calibri" w:hAnsi="Calibri"/>
                <w:b w:val="0"/>
                <w:i w:val="0"/>
                <w:color w:val="212121"/>
                <w:sz w:val="19"/>
              </w:rPr>
              <w:t>FPG &gt;= 126 mg/dL; HbA1c &gt;= 6.5%</w:t>
            </w:r>
          </w:p>
        </w:tc>
        <w:tc>
          <w:tcPr>
            <w:tcW w:type="dxa" w:w="1468"/>
            <w:vAlign w:val="top"/>
          </w:tcPr>
          <w:p>
            <w:pPr>
              <w:spacing w:after="60" w:line="259" w:lineRule="auto"/>
            </w:pPr>
            <w:r>
              <w:rPr>
                <w:rFonts w:ascii="Calibri" w:hAnsi="Calibri"/>
                <w:b w:val="0"/>
                <w:i w:val="0"/>
                <w:color w:val="212121"/>
                <w:sz w:val="19"/>
              </w:rPr>
              <w:t>Diabetes raises HZ incidence ~78% and worsens PHN risk</w:t>
            </w:r>
          </w:p>
          <w:p>
            <w:pPr>
              <w:spacing w:after="40" w:line="252" w:lineRule="auto"/>
            </w:pPr>
            <w:hyperlink r:id="rId13">
              <w:r>
                <w:rPr>
                  <w:rFonts w:ascii="Calibri" w:hAnsi="Calibri" w:cs="Calibri"/>
                  <w:sz w:val="18"/>
                  <w:color w:val="1155CC"/>
                  <w:u w:val="single"/>
                </w:rPr>
                <w:t xml:space="preserve">https://www.mdpi.com/2079-9721/13/3/71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Time from rash onset to antiviral start</w:t>
            </w:r>
          </w:p>
        </w:tc>
        <w:tc>
          <w:tcPr>
            <w:tcW w:type="dxa" w:w="1655"/>
            <w:vAlign w:val="top"/>
          </w:tcPr>
          <w:p>
            <w:pPr>
              <w:spacing w:after="40" w:before="0" w:line="259" w:lineRule="auto"/>
            </w:pPr>
            <w:r>
              <w:rPr>
                <w:rFonts w:ascii="Calibri" w:hAnsi="Calibri"/>
                <w:b w:val="0"/>
                <w:i w:val="0"/>
                <w:color w:val="212121"/>
                <w:sz w:val="19"/>
              </w:rPr>
              <w:t>All patients with active zoster</w:t>
            </w:r>
          </w:p>
        </w:tc>
        <w:tc>
          <w:tcPr>
            <w:tcW w:type="dxa" w:w="1512"/>
            <w:vAlign w:val="top"/>
          </w:tcPr>
          <w:p>
            <w:pPr>
              <w:spacing w:after="40" w:before="0" w:line="259" w:lineRule="auto"/>
            </w:pPr>
            <w:r>
              <w:rPr>
                <w:rFonts w:ascii="Calibri" w:hAnsi="Calibri"/>
                <w:b w:val="0"/>
                <w:i w:val="0"/>
                <w:color w:val="212121"/>
                <w:sz w:val="19"/>
              </w:rPr>
              <w:t>Antiviral started within 72 hours of rash</w:t>
            </w:r>
          </w:p>
        </w:tc>
        <w:tc>
          <w:tcPr>
            <w:tcW w:type="dxa" w:w="1512"/>
            <w:vAlign w:val="top"/>
          </w:tcPr>
          <w:p>
            <w:pPr>
              <w:spacing w:after="40" w:before="0" w:line="259" w:lineRule="auto"/>
            </w:pPr>
            <w:r>
              <w:rPr>
                <w:rFonts w:ascii="Calibri" w:hAnsi="Calibri"/>
                <w:b w:val="0"/>
                <w:i w:val="0"/>
                <w:color w:val="212121"/>
                <w:sz w:val="19"/>
              </w:rPr>
              <w:t>&gt; 72 hours (reduced efficacy)</w:t>
            </w:r>
          </w:p>
        </w:tc>
        <w:tc>
          <w:tcPr>
            <w:tcW w:type="dxa" w:w="1468"/>
            <w:vAlign w:val="top"/>
          </w:tcPr>
          <w:p>
            <w:pPr>
              <w:spacing w:after="60" w:line="259" w:lineRule="auto"/>
            </w:pPr>
            <w:r>
              <w:rPr>
                <w:rFonts w:ascii="Calibri" w:hAnsi="Calibri"/>
                <w:b w:val="0"/>
                <w:i w:val="0"/>
                <w:color w:val="212121"/>
                <w:sz w:val="19"/>
              </w:rPr>
              <w:t>Early aciclovir/valaciclovir/famciclovir shortens the course and reduces acute pain</w:t>
            </w:r>
          </w:p>
          <w:p>
            <w:pPr>
              <w:spacing w:after="40" w:line="252" w:lineRule="auto"/>
            </w:pPr>
            <w:hyperlink r:id="rId10">
              <w:r>
                <w:rPr>
                  <w:rFonts w:ascii="Calibri" w:hAnsi="Calibri" w:cs="Calibri"/>
                  <w:sz w:val="18"/>
                  <w:color w:val="1155CC"/>
                  <w:u w:val="single"/>
                </w:rPr>
                <w:t xml:space="preserve">https://pmc.ncbi.nlm.nih.gov/articles/PMC8828134/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Zoster vaccination status (RZV)</w:t>
            </w:r>
          </w:p>
        </w:tc>
        <w:tc>
          <w:tcPr>
            <w:tcW w:type="dxa" w:w="1655"/>
            <w:vAlign w:val="top"/>
          </w:tcPr>
          <w:p>
            <w:pPr>
              <w:spacing w:after="40" w:before="0" w:line="259" w:lineRule="auto"/>
            </w:pPr>
            <w:r>
              <w:rPr>
                <w:rFonts w:ascii="Calibri" w:hAnsi="Calibri"/>
                <w:b w:val="0"/>
                <w:i w:val="0"/>
                <w:color w:val="212121"/>
                <w:sz w:val="19"/>
              </w:rPr>
              <w:t>Immunocompetent adults &gt;= 50; immunocompromised &gt;= 19</w:t>
            </w:r>
          </w:p>
        </w:tc>
        <w:tc>
          <w:tcPr>
            <w:tcW w:type="dxa" w:w="1512"/>
            <w:vAlign w:val="top"/>
          </w:tcPr>
          <w:p>
            <w:pPr>
              <w:spacing w:after="40" w:before="0" w:line="259" w:lineRule="auto"/>
            </w:pPr>
            <w:r>
              <w:rPr>
                <w:rFonts w:ascii="Calibri" w:hAnsi="Calibri"/>
                <w:b w:val="0"/>
                <w:i w:val="0"/>
                <w:color w:val="212121"/>
                <w:sz w:val="19"/>
              </w:rPr>
              <w:t>2 doses of recombinant zoster vaccine completed</w:t>
            </w:r>
          </w:p>
        </w:tc>
        <w:tc>
          <w:tcPr>
            <w:tcW w:type="dxa" w:w="1512"/>
            <w:vAlign w:val="top"/>
          </w:tcPr>
          <w:p>
            <w:pPr>
              <w:spacing w:after="40" w:before="0" w:line="259" w:lineRule="auto"/>
            </w:pPr>
            <w:r>
              <w:rPr>
                <w:rFonts w:ascii="Calibri" w:hAnsi="Calibri"/>
                <w:b w:val="0"/>
                <w:i w:val="0"/>
                <w:color w:val="212121"/>
                <w:sz w:val="19"/>
              </w:rPr>
              <w:t>Unvaccinated / incomplete schedule</w:t>
            </w:r>
          </w:p>
        </w:tc>
        <w:tc>
          <w:tcPr>
            <w:tcW w:type="dxa" w:w="1468"/>
            <w:vAlign w:val="top"/>
          </w:tcPr>
          <w:p>
            <w:pPr>
              <w:spacing w:after="60" w:line="259" w:lineRule="auto"/>
            </w:pPr>
            <w:r>
              <w:rPr>
                <w:rFonts w:ascii="Calibri" w:hAnsi="Calibri"/>
                <w:b w:val="0"/>
                <w:i w:val="0"/>
                <w:color w:val="212121"/>
                <w:sz w:val="19"/>
              </w:rPr>
              <w:t>Two doses of RZV are recommended to prevent shingles and PHN</w:t>
            </w:r>
          </w:p>
          <w:p>
            <w:pPr>
              <w:spacing w:after="40" w:line="252" w:lineRule="auto"/>
            </w:pPr>
            <w:hyperlink r:id="rId12">
              <w:r>
                <w:rPr>
                  <w:rFonts w:ascii="Calibri" w:hAnsi="Calibri" w:cs="Calibri"/>
                  <w:sz w:val="18"/>
                  <w:color w:val="1155CC"/>
                  <w:u w:val="single"/>
                </w:rPr>
                <w:t xml:space="preserve">https://www.cdc.gov/shingles/hcp/vaccine-considerations/index.html</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mood</w:t>
            </w:r>
          </w:p>
        </w:tc>
        <w:tc>
          <w:tcPr>
            <w:tcW w:type="dxa" w:w="1655"/>
            <w:vAlign w:val="top"/>
          </w:tcPr>
          <w:p>
            <w:pPr>
              <w:spacing w:after="40" w:before="0" w:line="259" w:lineRule="auto"/>
            </w:pPr>
            <w:r>
              <w:rPr>
                <w:rFonts w:ascii="Calibri" w:hAnsi="Calibri"/>
                <w:b w:val="0"/>
                <w:i w:val="0"/>
                <w:color w:val="212121"/>
                <w:sz w:val="19"/>
              </w:rPr>
              <w:t>Adults under acute or chronic stress</w:t>
            </w:r>
          </w:p>
        </w:tc>
        <w:tc>
          <w:tcPr>
            <w:tcW w:type="dxa" w:w="1512"/>
            <w:vAlign w:val="top"/>
          </w:tcPr>
          <w:p>
            <w:pPr>
              <w:spacing w:after="40" w:before="0" w:line="259" w:lineRule="auto"/>
            </w:pPr>
            <w:r>
              <w:rPr>
                <w:rFonts w:ascii="Calibri" w:hAnsi="Calibri"/>
                <w:b w:val="0"/>
                <w:i w:val="0"/>
                <w:color w:val="212121"/>
                <w:sz w:val="19"/>
              </w:rPr>
              <w:t>Well-managed stress; no depression</w:t>
            </w:r>
          </w:p>
        </w:tc>
        <w:tc>
          <w:tcPr>
            <w:tcW w:type="dxa" w:w="1512"/>
            <w:vAlign w:val="top"/>
          </w:tcPr>
          <w:p>
            <w:pPr>
              <w:spacing w:after="40" w:before="0" w:line="259" w:lineRule="auto"/>
            </w:pPr>
            <w:r>
              <w:rPr>
                <w:rFonts w:ascii="Calibri" w:hAnsi="Calibri"/>
                <w:b w:val="0"/>
                <w:i w:val="0"/>
                <w:color w:val="212121"/>
                <w:sz w:val="19"/>
              </w:rPr>
              <w:t>High sustained stress; depression</w:t>
            </w:r>
          </w:p>
        </w:tc>
        <w:tc>
          <w:tcPr>
            <w:tcW w:type="dxa" w:w="1468"/>
            <w:vAlign w:val="top"/>
          </w:tcPr>
          <w:p>
            <w:pPr>
              <w:spacing w:after="60" w:line="259" w:lineRule="auto"/>
            </w:pPr>
            <w:r>
              <w:rPr>
                <w:rFonts w:ascii="Calibri" w:hAnsi="Calibri"/>
                <w:b w:val="0"/>
                <w:i w:val="0"/>
                <w:color w:val="212121"/>
                <w:sz w:val="19"/>
              </w:rPr>
              <w:t>Stress can precipitate reactivation; PHN commonly causes depression (bidirectional)</w:t>
            </w:r>
          </w:p>
          <w:p>
            <w:pPr>
              <w:spacing w:after="40" w:line="252" w:lineRule="auto"/>
            </w:pPr>
            <w:hyperlink r:id="rId13">
              <w:r>
                <w:rPr>
                  <w:rFonts w:ascii="Calibri" w:hAnsi="Calibri" w:cs="Calibri"/>
                  <w:sz w:val="18"/>
                  <w:color w:val="1155CC"/>
                  <w:u w:val="single"/>
                </w:rPr>
                <w:t xml:space="preserve">https://www.mdpi.com/2079-9721/13/3/71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Smokers, COPD patients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Smoking-related COPD is linked to ~30% higher HZ risk and poorer healing</w:t>
            </w:r>
          </w:p>
          <w:p>
            <w:pPr>
              <w:spacing w:after="40" w:line="252" w:lineRule="auto"/>
            </w:pPr>
            <w:hyperlink r:id="rId13">
              <w:r>
                <w:rPr>
                  <w:rFonts w:ascii="Calibri" w:hAnsi="Calibri" w:cs="Calibri"/>
                  <w:sz w:val="18"/>
                  <w:color w:val="1155CC"/>
                  <w:u w:val="single"/>
                </w:rPr>
                <w:t xml:space="preserve">https://www.mdpi.com/2079-9721/13/3/71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quality</w:t>
            </w:r>
          </w:p>
        </w:tc>
        <w:tc>
          <w:tcPr>
            <w:tcW w:type="dxa" w:w="1655"/>
            <w:vAlign w:val="top"/>
          </w:tcPr>
          <w:p>
            <w:pPr>
              <w:spacing w:after="40" w:before="0" w:line="259" w:lineRule="auto"/>
            </w:pPr>
            <w:r>
              <w:rPr>
                <w:rFonts w:ascii="Calibri" w:hAnsi="Calibri"/>
                <w:b w:val="0"/>
                <w:i w:val="0"/>
                <w:color w:val="212121"/>
                <w:sz w:val="19"/>
              </w:rPr>
              <w:t>All adults, PHN patients</w:t>
            </w:r>
          </w:p>
        </w:tc>
        <w:tc>
          <w:tcPr>
            <w:tcW w:type="dxa" w:w="1512"/>
            <w:vAlign w:val="top"/>
          </w:tcPr>
          <w:p>
            <w:pPr>
              <w:spacing w:after="40" w:before="0" w:line="259" w:lineRule="auto"/>
            </w:pPr>
            <w:r>
              <w:rPr>
                <w:rFonts w:ascii="Calibri" w:hAnsi="Calibri"/>
                <w:b w:val="0"/>
                <w:i w:val="0"/>
                <w:color w:val="212121"/>
                <w:sz w:val="19"/>
              </w:rPr>
              <w:t>7-9 hours of good-quality sleep</w:t>
            </w:r>
          </w:p>
        </w:tc>
        <w:tc>
          <w:tcPr>
            <w:tcW w:type="dxa" w:w="1512"/>
            <w:vAlign w:val="top"/>
          </w:tcPr>
          <w:p>
            <w:pPr>
              <w:spacing w:after="40" w:before="0" w:line="259" w:lineRule="auto"/>
            </w:pPr>
            <w:r>
              <w:rPr>
                <w:rFonts w:ascii="Calibri" w:hAnsi="Calibri"/>
                <w:b w:val="0"/>
                <w:i w:val="0"/>
                <w:color w:val="212121"/>
                <w:sz w:val="19"/>
              </w:rPr>
              <w:t>&lt; 6 hours or fragmented sleep</w:t>
            </w:r>
          </w:p>
        </w:tc>
        <w:tc>
          <w:tcPr>
            <w:tcW w:type="dxa" w:w="1468"/>
            <w:vAlign w:val="top"/>
          </w:tcPr>
          <w:p>
            <w:pPr>
              <w:spacing w:after="60" w:line="259" w:lineRule="auto"/>
            </w:pPr>
            <w:r>
              <w:rPr>
                <w:rFonts w:ascii="Calibri" w:hAnsi="Calibri"/>
                <w:b w:val="0"/>
                <w:i w:val="0"/>
                <w:color w:val="212121"/>
                <w:sz w:val="19"/>
              </w:rPr>
              <w:t>Poor sleep impairs immunity; zoster/PHN pain fragments sleep</w:t>
            </w:r>
          </w:p>
          <w:p>
            <w:pPr>
              <w:spacing w:after="40" w:line="252" w:lineRule="auto"/>
            </w:pPr>
            <w:hyperlink r:id="rId14">
              <w:r>
                <w:rPr>
                  <w:rFonts w:ascii="Calibri" w:hAnsi="Calibri" w:cs="Calibri"/>
                  <w:sz w:val="18"/>
                  <w:color w:val="1155CC"/>
                  <w:u w:val="single"/>
                </w:rPr>
                <w:t xml:space="preserve">https://www.ncbi.nlm.nih.gov/books/NBK493198/</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Lesion care and contact precautions</w:t>
            </w:r>
          </w:p>
        </w:tc>
        <w:tc>
          <w:tcPr>
            <w:tcW w:type="dxa" w:w="1655"/>
            <w:vAlign w:val="top"/>
          </w:tcPr>
          <w:p>
            <w:pPr>
              <w:spacing w:after="40" w:before="0" w:line="259" w:lineRule="auto"/>
            </w:pPr>
            <w:r>
              <w:rPr>
                <w:rFonts w:ascii="Calibri" w:hAnsi="Calibri"/>
                <w:b w:val="0"/>
                <w:i w:val="0"/>
                <w:color w:val="212121"/>
                <w:sz w:val="19"/>
              </w:rPr>
              <w:t>Patients with active vesicles</w:t>
            </w:r>
          </w:p>
        </w:tc>
        <w:tc>
          <w:tcPr>
            <w:tcW w:type="dxa" w:w="1512"/>
            <w:vAlign w:val="top"/>
          </w:tcPr>
          <w:p>
            <w:pPr>
              <w:spacing w:after="40" w:before="0" w:line="259" w:lineRule="auto"/>
            </w:pPr>
            <w:r>
              <w:rPr>
                <w:rFonts w:ascii="Calibri" w:hAnsi="Calibri"/>
                <w:b w:val="0"/>
                <w:i w:val="0"/>
                <w:color w:val="212121"/>
                <w:sz w:val="19"/>
              </w:rPr>
              <w:t>Cover lesions; avoid susceptible contacts until crusted</w:t>
            </w:r>
          </w:p>
        </w:tc>
        <w:tc>
          <w:tcPr>
            <w:tcW w:type="dxa" w:w="1512"/>
            <w:vAlign w:val="top"/>
          </w:tcPr>
          <w:p>
            <w:pPr>
              <w:spacing w:after="40" w:before="0" w:line="259" w:lineRule="auto"/>
            </w:pPr>
            <w:r>
              <w:rPr>
                <w:rFonts w:ascii="Calibri" w:hAnsi="Calibri"/>
                <w:b w:val="0"/>
                <w:i w:val="0"/>
                <w:color w:val="212121"/>
                <w:sz w:val="19"/>
              </w:rPr>
              <w:t>Open weeping lesions near non-immune contacts</w:t>
            </w:r>
          </w:p>
        </w:tc>
        <w:tc>
          <w:tcPr>
            <w:tcW w:type="dxa" w:w="1468"/>
            <w:vAlign w:val="top"/>
          </w:tcPr>
          <w:p>
            <w:pPr>
              <w:spacing w:after="60" w:line="259" w:lineRule="auto"/>
            </w:pPr>
            <w:r>
              <w:rPr>
                <w:rFonts w:ascii="Calibri" w:hAnsi="Calibri"/>
                <w:b w:val="0"/>
                <w:i w:val="0"/>
                <w:color w:val="212121"/>
                <w:sz w:val="19"/>
              </w:rPr>
              <w:t>Reduces secondary bacterial infection and VZV transmission (as chickenpox) to susceptibles</w:t>
            </w:r>
          </w:p>
          <w:p>
            <w:pPr>
              <w:spacing w:after="40" w:line="252" w:lineRule="auto"/>
            </w:pPr>
            <w:hyperlink r:id="rId10">
              <w:r>
                <w:rPr>
                  <w:rFonts w:ascii="Calibri" w:hAnsi="Calibri" w:cs="Calibri"/>
                  <w:sz w:val="18"/>
                  <w:color w:val="1155CC"/>
                  <w:u w:val="single"/>
                </w:rPr>
                <w:t xml:space="preserve">https://pmc.ncbi.nlm.nih.gov/articles/PMC8828134/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VZV DNA PCR from vesicle fluid</w:t>
            </w:r>
          </w:p>
        </w:tc>
        <w:tc>
          <w:tcPr>
            <w:tcW w:type="dxa" w:w="892"/>
            <w:vAlign w:val="top"/>
          </w:tcPr>
          <w:p>
            <w:pPr>
              <w:spacing w:after="40" w:before="0" w:line="259" w:lineRule="auto"/>
            </w:pPr>
            <w:r>
              <w:rPr>
                <w:rFonts w:ascii="Calibri" w:hAnsi="Calibri"/>
                <w:b w:val="0"/>
                <w:i w:val="0"/>
                <w:color w:val="212121"/>
                <w:sz w:val="16"/>
              </w:rPr>
              <w:t>Real-time PCR (swab of lesion base/fluid)</w:t>
            </w:r>
          </w:p>
        </w:tc>
        <w:tc>
          <w:tcPr>
            <w:tcW w:type="dxa" w:w="950"/>
            <w:vAlign w:val="top"/>
          </w:tcPr>
          <w:p>
            <w:pPr>
              <w:spacing w:after="40" w:before="0" w:line="259" w:lineRule="auto"/>
            </w:pPr>
            <w:r>
              <w:rPr>
                <w:rFonts w:ascii="Calibri" w:hAnsi="Calibri"/>
                <w:b w:val="0"/>
                <w:i w:val="0"/>
                <w:color w:val="212121"/>
                <w:sz w:val="16"/>
              </w:rPr>
              <w:t>VZV DNA not detected</w:t>
            </w:r>
          </w:p>
        </w:tc>
        <w:tc>
          <w:tcPr>
            <w:tcW w:type="dxa" w:w="950"/>
            <w:vAlign w:val="top"/>
          </w:tcPr>
          <w:p>
            <w:pPr>
              <w:spacing w:after="40" w:before="0" w:line="259" w:lineRule="auto"/>
            </w:pPr>
            <w:r>
              <w:rPr>
                <w:rFonts w:ascii="Calibri" w:hAnsi="Calibri"/>
                <w:b w:val="0"/>
                <w:i w:val="0"/>
                <w:color w:val="212121"/>
                <w:sz w:val="16"/>
              </w:rPr>
              <w:t>VZV DNA detected</w:t>
            </w:r>
          </w:p>
        </w:tc>
        <w:tc>
          <w:tcPr>
            <w:tcW w:type="dxa" w:w="1036"/>
            <w:vAlign w:val="top"/>
          </w:tcPr>
          <w:p>
            <w:pPr>
              <w:spacing w:after="40" w:before="0" w:line="259" w:lineRule="auto"/>
            </w:pPr>
            <w:r>
              <w:rPr>
                <w:rFonts w:ascii="Calibri" w:hAnsi="Calibri"/>
                <w:b w:val="0"/>
                <w:i w:val="0"/>
                <w:color w:val="212121"/>
                <w:sz w:val="16"/>
              </w:rPr>
              <w:t>Most sensitive and specific confirmation of VZV reactivation</w:t>
            </w:r>
          </w:p>
        </w:tc>
        <w:tc>
          <w:tcPr>
            <w:tcW w:type="dxa" w:w="1036"/>
            <w:vAlign w:val="top"/>
          </w:tcPr>
          <w:p>
            <w:pPr>
              <w:spacing w:after="40" w:before="0" w:line="259" w:lineRule="auto"/>
            </w:pPr>
            <w:r>
              <w:rPr>
                <w:rFonts w:ascii="Calibri" w:hAnsi="Calibri"/>
                <w:b w:val="0"/>
                <w:i w:val="0"/>
                <w:color w:val="212121"/>
                <w:sz w:val="16"/>
              </w:rPr>
              <w:t>Atypical, disseminated, immunocompromised, zoster sine herpete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Sample a fresh vesicle for best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Direct fluorescent antibody (DFA)</w:t>
            </w:r>
          </w:p>
        </w:tc>
        <w:tc>
          <w:tcPr>
            <w:tcW w:type="dxa" w:w="892"/>
            <w:vAlign w:val="top"/>
          </w:tcPr>
          <w:p>
            <w:pPr>
              <w:spacing w:after="40" w:before="0" w:line="259" w:lineRule="auto"/>
            </w:pPr>
            <w:r>
              <w:rPr>
                <w:rFonts w:ascii="Calibri" w:hAnsi="Calibri"/>
                <w:b w:val="0"/>
                <w:i w:val="0"/>
                <w:color w:val="212121"/>
                <w:sz w:val="16"/>
              </w:rPr>
              <w:t>VZV antigen detection from lesion scraping</w:t>
            </w:r>
          </w:p>
        </w:tc>
        <w:tc>
          <w:tcPr>
            <w:tcW w:type="dxa" w:w="950"/>
            <w:vAlign w:val="top"/>
          </w:tcPr>
          <w:p>
            <w:pPr>
              <w:spacing w:after="40" w:before="0" w:line="259" w:lineRule="auto"/>
            </w:pPr>
            <w:r>
              <w:rPr>
                <w:rFonts w:ascii="Calibri" w:hAnsi="Calibri"/>
                <w:b w:val="0"/>
                <w:i w:val="0"/>
                <w:color w:val="212121"/>
                <w:sz w:val="16"/>
              </w:rPr>
              <w:t>No VZV antigen</w:t>
            </w:r>
          </w:p>
        </w:tc>
        <w:tc>
          <w:tcPr>
            <w:tcW w:type="dxa" w:w="950"/>
            <w:vAlign w:val="top"/>
          </w:tcPr>
          <w:p>
            <w:pPr>
              <w:spacing w:after="40" w:before="0" w:line="259" w:lineRule="auto"/>
            </w:pPr>
            <w:r>
              <w:rPr>
                <w:rFonts w:ascii="Calibri" w:hAnsi="Calibri"/>
                <w:b w:val="0"/>
                <w:i w:val="0"/>
                <w:color w:val="212121"/>
                <w:sz w:val="16"/>
              </w:rPr>
              <w:t>VZV antigen positive</w:t>
            </w:r>
          </w:p>
        </w:tc>
        <w:tc>
          <w:tcPr>
            <w:tcW w:type="dxa" w:w="1036"/>
            <w:vAlign w:val="top"/>
          </w:tcPr>
          <w:p>
            <w:pPr>
              <w:spacing w:after="40" w:before="0" w:line="259" w:lineRule="auto"/>
            </w:pPr>
            <w:r>
              <w:rPr>
                <w:rFonts w:ascii="Calibri" w:hAnsi="Calibri"/>
                <w:b w:val="0"/>
                <w:i w:val="0"/>
                <w:color w:val="212121"/>
                <w:sz w:val="16"/>
              </w:rPr>
              <w:t>Rapid, VZV-specific confirmation when PCR unavailable</w:t>
            </w:r>
          </w:p>
        </w:tc>
        <w:tc>
          <w:tcPr>
            <w:tcW w:type="dxa" w:w="1036"/>
            <w:vAlign w:val="top"/>
          </w:tcPr>
          <w:p>
            <w:pPr>
              <w:spacing w:after="40" w:before="0" w:line="259" w:lineRule="auto"/>
            </w:pPr>
            <w:r>
              <w:rPr>
                <w:rFonts w:ascii="Calibri" w:hAnsi="Calibri"/>
                <w:b w:val="0"/>
                <w:i w:val="0"/>
                <w:color w:val="212121"/>
                <w:sz w:val="16"/>
              </w:rPr>
              <w:t>Rapid bedside confirmation, resource-limited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Faster but less sensitive than PCR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Tzanck smear</w:t>
            </w:r>
          </w:p>
        </w:tc>
        <w:tc>
          <w:tcPr>
            <w:tcW w:type="dxa" w:w="892"/>
            <w:vAlign w:val="top"/>
          </w:tcPr>
          <w:p>
            <w:pPr>
              <w:spacing w:after="40" w:before="0" w:line="259" w:lineRule="auto"/>
            </w:pPr>
            <w:r>
              <w:rPr>
                <w:rFonts w:ascii="Calibri" w:hAnsi="Calibri"/>
                <w:b w:val="0"/>
                <w:i w:val="0"/>
                <w:color w:val="212121"/>
                <w:sz w:val="16"/>
              </w:rPr>
              <w:t>Giemsa-stained lesion scraping microscopy</w:t>
            </w:r>
          </w:p>
        </w:tc>
        <w:tc>
          <w:tcPr>
            <w:tcW w:type="dxa" w:w="950"/>
            <w:vAlign w:val="top"/>
          </w:tcPr>
          <w:p>
            <w:pPr>
              <w:spacing w:after="40" w:before="0" w:line="259" w:lineRule="auto"/>
            </w:pPr>
            <w:r>
              <w:rPr>
                <w:rFonts w:ascii="Calibri" w:hAnsi="Calibri"/>
                <w:b w:val="0"/>
                <w:i w:val="0"/>
                <w:color w:val="212121"/>
                <w:sz w:val="16"/>
              </w:rPr>
              <w:t>No multinucleated giant cells</w:t>
            </w:r>
          </w:p>
        </w:tc>
        <w:tc>
          <w:tcPr>
            <w:tcW w:type="dxa" w:w="950"/>
            <w:vAlign w:val="top"/>
          </w:tcPr>
          <w:p>
            <w:pPr>
              <w:spacing w:after="40" w:before="0" w:line="259" w:lineRule="auto"/>
            </w:pPr>
            <w:r>
              <w:rPr>
                <w:rFonts w:ascii="Calibri" w:hAnsi="Calibri"/>
                <w:b w:val="0"/>
                <w:i w:val="0"/>
                <w:color w:val="212121"/>
                <w:sz w:val="16"/>
              </w:rPr>
              <w:t>Multinucleated giant cells / acantholytic cells</w:t>
            </w:r>
          </w:p>
        </w:tc>
        <w:tc>
          <w:tcPr>
            <w:tcW w:type="dxa" w:w="1036"/>
            <w:vAlign w:val="top"/>
          </w:tcPr>
          <w:p>
            <w:pPr>
              <w:spacing w:after="40" w:before="0" w:line="259" w:lineRule="auto"/>
            </w:pPr>
            <w:r>
              <w:rPr>
                <w:rFonts w:ascii="Calibri" w:hAnsi="Calibri"/>
                <w:b w:val="0"/>
                <w:i w:val="0"/>
                <w:color w:val="212121"/>
                <w:sz w:val="16"/>
              </w:rPr>
              <w:t>Supports a herpesvirus infection but does not distinguish VZV from HSV</w:t>
            </w:r>
          </w:p>
        </w:tc>
        <w:tc>
          <w:tcPr>
            <w:tcW w:type="dxa" w:w="1036"/>
            <w:vAlign w:val="top"/>
          </w:tcPr>
          <w:p>
            <w:pPr>
              <w:spacing w:after="40" w:before="0" w:line="259" w:lineRule="auto"/>
            </w:pPr>
            <w:r>
              <w:rPr>
                <w:rFonts w:ascii="Calibri" w:hAnsi="Calibri"/>
                <w:b w:val="0"/>
                <w:i w:val="0"/>
                <w:color w:val="212121"/>
                <w:sz w:val="16"/>
              </w:rPr>
              <w:t>Low-resource settings, quick screen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Sensitive but not virus-specific; confirm with PCR/DFA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immune status</w:t>
            </w:r>
          </w:p>
        </w:tc>
        <w:tc>
          <w:tcPr>
            <w:tcW w:type="dxa" w:w="1036"/>
            <w:vAlign w:val="top"/>
          </w:tcPr>
          <w:p>
            <w:pPr>
              <w:spacing w:after="40" w:before="0" w:line="259" w:lineRule="auto"/>
            </w:pPr>
            <w:r>
              <w:rPr>
                <w:rFonts w:ascii="Calibri" w:hAnsi="Calibri"/>
                <w:b w:val="0"/>
                <w:i w:val="0"/>
                <w:color w:val="212121"/>
                <w:sz w:val="16"/>
              </w:rPr>
              <w:t>HIV serology</w:t>
            </w:r>
          </w:p>
        </w:tc>
        <w:tc>
          <w:tcPr>
            <w:tcW w:type="dxa" w:w="892"/>
            <w:vAlign w:val="top"/>
          </w:tcPr>
          <w:p>
            <w:pPr>
              <w:spacing w:after="40" w:before="0" w:line="259" w:lineRule="auto"/>
            </w:pPr>
            <w:r>
              <w:rPr>
                <w:rFonts w:ascii="Calibri" w:hAnsi="Calibri"/>
                <w:b w:val="0"/>
                <w:i w:val="0"/>
                <w:color w:val="212121"/>
                <w:sz w:val="16"/>
              </w:rPr>
              <w:t>HIV rapid test / ELISA</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 (confirm)</w:t>
            </w:r>
          </w:p>
        </w:tc>
        <w:tc>
          <w:tcPr>
            <w:tcW w:type="dxa" w:w="1036"/>
            <w:vAlign w:val="top"/>
          </w:tcPr>
          <w:p>
            <w:pPr>
              <w:spacing w:after="40" w:before="0" w:line="259" w:lineRule="auto"/>
            </w:pPr>
            <w:r>
              <w:rPr>
                <w:rFonts w:ascii="Calibri" w:hAnsi="Calibri"/>
                <w:b w:val="0"/>
                <w:i w:val="0"/>
                <w:color w:val="212121"/>
                <w:sz w:val="16"/>
              </w:rPr>
              <w:t>Zoster may be a sentinel of undiagnosed HIV, especially in the young or with disseminated disease</w:t>
            </w:r>
          </w:p>
        </w:tc>
        <w:tc>
          <w:tcPr>
            <w:tcW w:type="dxa" w:w="1036"/>
            <w:vAlign w:val="top"/>
          </w:tcPr>
          <w:p>
            <w:pPr>
              <w:spacing w:after="40" w:before="0" w:line="259" w:lineRule="auto"/>
            </w:pPr>
            <w:r>
              <w:rPr>
                <w:rFonts w:ascii="Calibri" w:hAnsi="Calibri"/>
                <w:b w:val="0"/>
                <w:i w:val="0"/>
                <w:color w:val="212121"/>
                <w:sz w:val="16"/>
              </w:rPr>
              <w:t>Young adults, recurrent/multidermatomal/disseminated zoster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Offer routinely in atypical or severe zoster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&gt;= 126 mg/dL; HbA1c &gt;= 6.5%</w:t>
            </w:r>
          </w:p>
        </w:tc>
        <w:tc>
          <w:tcPr>
            <w:tcW w:type="dxa" w:w="1036"/>
            <w:vAlign w:val="top"/>
          </w:tcPr>
          <w:p>
            <w:pPr>
              <w:spacing w:after="40" w:before="0" w:line="259" w:lineRule="auto"/>
            </w:pPr>
            <w:r>
              <w:rPr>
                <w:rFonts w:ascii="Calibri" w:hAnsi="Calibri"/>
                <w:b w:val="0"/>
                <w:i w:val="0"/>
                <w:color w:val="212121"/>
                <w:sz w:val="16"/>
              </w:rPr>
              <w:t>Detects diabetes, a common driver of zoster and PHN</w:t>
            </w:r>
          </w:p>
        </w:tc>
        <w:tc>
          <w:tcPr>
            <w:tcW w:type="dxa" w:w="1036"/>
            <w:vAlign w:val="top"/>
          </w:tcPr>
          <w:p>
            <w:pPr>
              <w:spacing w:after="40" w:before="0" w:line="259" w:lineRule="auto"/>
            </w:pPr>
            <w:r>
              <w:rPr>
                <w:rFonts w:ascii="Calibri" w:hAnsi="Calibri"/>
                <w:b w:val="0"/>
                <w:i w:val="0"/>
                <w:color w:val="212121"/>
                <w:sz w:val="16"/>
              </w:rPr>
              <w:t>Adults with zoster, elderly, obese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Common comorbidity in Indian HZ cohorts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immunology</w:t>
            </w:r>
          </w:p>
        </w:tc>
        <w:tc>
          <w:tcPr>
            <w:tcW w:type="dxa" w:w="1036"/>
            <w:vAlign w:val="top"/>
          </w:tcPr>
          <w:p>
            <w:pPr>
              <w:spacing w:after="40" w:before="0" w:line="259" w:lineRule="auto"/>
            </w:pPr>
            <w:r>
              <w:rPr>
                <w:rFonts w:ascii="Calibri" w:hAnsi="Calibri"/>
                <w:b w:val="0"/>
                <w:i w:val="0"/>
                <w:color w:val="212121"/>
                <w:sz w:val="16"/>
              </w:rPr>
              <w:t>CBC with differential; CD4 count if HIV+</w:t>
            </w:r>
          </w:p>
        </w:tc>
        <w:tc>
          <w:tcPr>
            <w:tcW w:type="dxa" w:w="892"/>
            <w:vAlign w:val="top"/>
          </w:tcPr>
          <w:p>
            <w:pPr>
              <w:spacing w:after="40" w:before="0" w:line="259" w:lineRule="auto"/>
            </w:pPr>
            <w:r>
              <w:rPr>
                <w:rFonts w:ascii="Calibri" w:hAnsi="Calibri"/>
                <w:b w:val="0"/>
                <w:i w:val="0"/>
                <w:color w:val="212121"/>
                <w:sz w:val="16"/>
              </w:rPr>
              <w:t>Blood counts and lymphocyte subsets</w:t>
            </w:r>
          </w:p>
        </w:tc>
        <w:tc>
          <w:tcPr>
            <w:tcW w:type="dxa" w:w="950"/>
            <w:vAlign w:val="top"/>
          </w:tcPr>
          <w:p>
            <w:pPr>
              <w:spacing w:after="40" w:before="0" w:line="259" w:lineRule="auto"/>
            </w:pPr>
            <w:r>
              <w:rPr>
                <w:rFonts w:ascii="Calibri" w:hAnsi="Calibri"/>
                <w:b w:val="0"/>
                <w:i w:val="0"/>
                <w:color w:val="212121"/>
                <w:sz w:val="16"/>
              </w:rPr>
              <w:t>Normal counts; CD4 &gt; 500 cells/mm3</w:t>
            </w:r>
          </w:p>
        </w:tc>
        <w:tc>
          <w:tcPr>
            <w:tcW w:type="dxa" w:w="950"/>
            <w:vAlign w:val="top"/>
          </w:tcPr>
          <w:p>
            <w:pPr>
              <w:spacing w:after="40" w:before="0" w:line="259" w:lineRule="auto"/>
            </w:pPr>
            <w:r>
              <w:rPr>
                <w:rFonts w:ascii="Calibri" w:hAnsi="Calibri"/>
                <w:b w:val="0"/>
                <w:i w:val="0"/>
                <w:color w:val="212121"/>
                <w:sz w:val="16"/>
              </w:rPr>
              <w:t>Lymphopenia; CD4 &lt; 200 cells/mm3</w:t>
            </w:r>
          </w:p>
        </w:tc>
        <w:tc>
          <w:tcPr>
            <w:tcW w:type="dxa" w:w="1036"/>
            <w:vAlign w:val="top"/>
          </w:tcPr>
          <w:p>
            <w:pPr>
              <w:spacing w:after="40" w:before="0" w:line="259" w:lineRule="auto"/>
            </w:pPr>
            <w:r>
              <w:rPr>
                <w:rFonts w:ascii="Calibri" w:hAnsi="Calibri"/>
                <w:b w:val="0"/>
                <w:i w:val="0"/>
                <w:color w:val="212121"/>
                <w:sz w:val="16"/>
              </w:rPr>
              <w:t>Assesses degree of immunosuppression guiding severity risk and IV therapy</w:t>
            </w:r>
          </w:p>
        </w:tc>
        <w:tc>
          <w:tcPr>
            <w:tcW w:type="dxa" w:w="1036"/>
            <w:vAlign w:val="top"/>
          </w:tcPr>
          <w:p>
            <w:pPr>
              <w:spacing w:after="40" w:before="0" w:line="259" w:lineRule="auto"/>
            </w:pPr>
            <w:r>
              <w:rPr>
                <w:rFonts w:ascii="Calibri" w:hAnsi="Calibri"/>
                <w:b w:val="0"/>
                <w:i w:val="0"/>
                <w:color w:val="212121"/>
                <w:sz w:val="16"/>
              </w:rPr>
              <w:t>Immunocompromised, disseminated zoster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Low CD4 predicts severe/disseminated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Neuro-investigation</w:t>
            </w:r>
          </w:p>
        </w:tc>
        <w:tc>
          <w:tcPr>
            <w:tcW w:type="dxa" w:w="1036"/>
            <w:vAlign w:val="top"/>
          </w:tcPr>
          <w:p>
            <w:pPr>
              <w:spacing w:after="40" w:before="0" w:line="259" w:lineRule="auto"/>
            </w:pPr>
            <w:r>
              <w:rPr>
                <w:rFonts w:ascii="Calibri" w:hAnsi="Calibri"/>
                <w:b w:val="0"/>
                <w:i w:val="0"/>
                <w:color w:val="212121"/>
                <w:sz w:val="16"/>
              </w:rPr>
              <w:t>CSF analysis / MRI brain</w:t>
            </w:r>
          </w:p>
        </w:tc>
        <w:tc>
          <w:tcPr>
            <w:tcW w:type="dxa" w:w="892"/>
            <w:vAlign w:val="top"/>
          </w:tcPr>
          <w:p>
            <w:pPr>
              <w:spacing w:after="40" w:before="0" w:line="259" w:lineRule="auto"/>
            </w:pPr>
            <w:r>
              <w:rPr>
                <w:rFonts w:ascii="Calibri" w:hAnsi="Calibri"/>
                <w:b w:val="0"/>
                <w:i w:val="0"/>
                <w:color w:val="212121"/>
                <w:sz w:val="16"/>
              </w:rPr>
              <w:t>Lumbar puncture with VZV PCR; neuroimaging</w:t>
            </w:r>
          </w:p>
        </w:tc>
        <w:tc>
          <w:tcPr>
            <w:tcW w:type="dxa" w:w="950"/>
            <w:vAlign w:val="top"/>
          </w:tcPr>
          <w:p>
            <w:pPr>
              <w:spacing w:after="40" w:before="0" w:line="259" w:lineRule="auto"/>
            </w:pPr>
            <w:r>
              <w:rPr>
                <w:rFonts w:ascii="Calibri" w:hAnsi="Calibri"/>
                <w:b w:val="0"/>
                <w:i w:val="0"/>
                <w:color w:val="212121"/>
                <w:sz w:val="16"/>
              </w:rPr>
              <w:t>Normal CSF; no parenchymal lesion</w:t>
            </w:r>
          </w:p>
        </w:tc>
        <w:tc>
          <w:tcPr>
            <w:tcW w:type="dxa" w:w="950"/>
            <w:vAlign w:val="top"/>
          </w:tcPr>
          <w:p>
            <w:pPr>
              <w:spacing w:after="40" w:before="0" w:line="259" w:lineRule="auto"/>
            </w:pPr>
            <w:r>
              <w:rPr>
                <w:rFonts w:ascii="Calibri" w:hAnsi="Calibri"/>
                <w:b w:val="0"/>
                <w:i w:val="0"/>
                <w:color w:val="212121"/>
                <w:sz w:val="16"/>
              </w:rPr>
              <w:t>VZV PCR positive CSF; encephalitis/myelitis/vasculopathy on MRI</w:t>
            </w:r>
          </w:p>
        </w:tc>
        <w:tc>
          <w:tcPr>
            <w:tcW w:type="dxa" w:w="1036"/>
            <w:vAlign w:val="top"/>
          </w:tcPr>
          <w:p>
            <w:pPr>
              <w:spacing w:after="40" w:before="0" w:line="259" w:lineRule="auto"/>
            </w:pPr>
            <w:r>
              <w:rPr>
                <w:rFonts w:ascii="Calibri" w:hAnsi="Calibri"/>
                <w:b w:val="0"/>
                <w:i w:val="0"/>
                <w:color w:val="212121"/>
                <w:sz w:val="16"/>
              </w:rPr>
              <w:t>Confirms CNS complications (meningoencephalitis, myelitis, vasculopathy/stroke)</w:t>
            </w:r>
          </w:p>
        </w:tc>
        <w:tc>
          <w:tcPr>
            <w:tcW w:type="dxa" w:w="1036"/>
            <w:vAlign w:val="top"/>
          </w:tcPr>
          <w:p>
            <w:pPr>
              <w:spacing w:after="40" w:before="0" w:line="259" w:lineRule="auto"/>
            </w:pPr>
            <w:r>
              <w:rPr>
                <w:rFonts w:ascii="Calibri" w:hAnsi="Calibri"/>
                <w:b w:val="0"/>
                <w:i w:val="0"/>
                <w:color w:val="212121"/>
                <w:sz w:val="16"/>
              </w:rPr>
              <w:t>Zoster with neurological deficit, stroke, HZO with CNS signs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Reserve for suspected CNS involvement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Unilateral dermatomal pain/burning then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Band-like pain followed by grouped vesicles</w:t>
            </w:r>
          </w:p>
        </w:tc>
        <w:tc>
          <w:tcPr>
            <w:tcW w:type="dxa" w:w="1036"/>
            <w:vAlign w:val="top"/>
          </w:tcPr>
          <w:p>
            <w:pPr>
              <w:spacing w:after="40" w:before="0" w:line="259" w:lineRule="auto"/>
            </w:pPr>
            <w:r>
              <w:rPr>
                <w:rFonts w:ascii="Calibri" w:hAnsi="Calibri"/>
                <w:b w:val="0"/>
                <w:i w:val="0"/>
                <w:color w:val="212121"/>
                <w:sz w:val="16"/>
              </w:rPr>
              <w:t>Cardinal presentation of herpes zoster</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Prodromal pain precedes rash in over 90%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Prodrome and pain characterization</w:t>
            </w:r>
          </w:p>
        </w:tc>
        <w:tc>
          <w:tcPr>
            <w:tcW w:type="dxa" w:w="979"/>
            <w:vAlign w:val="top"/>
          </w:tcPr>
          <w:p>
            <w:pPr>
              <w:spacing w:after="40" w:before="0" w:line="259" w:lineRule="auto"/>
            </w:pPr>
            <w:r>
              <w:rPr>
                <w:rFonts w:ascii="Calibri" w:hAnsi="Calibri"/>
                <w:b w:val="0"/>
                <w:i w:val="0"/>
                <w:color w:val="212121"/>
                <w:sz w:val="16"/>
              </w:rPr>
              <w:t>Duration, severity, allodynia; ophthalmic/otic symptoms</w:t>
            </w:r>
          </w:p>
        </w:tc>
        <w:tc>
          <w:tcPr>
            <w:tcW w:type="dxa" w:w="950"/>
            <w:vAlign w:val="top"/>
          </w:tcPr>
          <w:p>
            <w:pPr>
              <w:spacing w:after="40" w:before="0" w:line="259" w:lineRule="auto"/>
            </w:pPr>
            <w:r>
              <w:rPr>
                <w:rFonts w:ascii="Calibri" w:hAnsi="Calibri"/>
                <w:b w:val="0"/>
                <w:i w:val="0"/>
                <w:color w:val="212121"/>
                <w:sz w:val="16"/>
              </w:rPr>
              <w:t>No or mild transient pain</w:t>
            </w:r>
          </w:p>
        </w:tc>
        <w:tc>
          <w:tcPr>
            <w:tcW w:type="dxa" w:w="950"/>
            <w:vAlign w:val="top"/>
          </w:tcPr>
          <w:p>
            <w:pPr>
              <w:spacing w:after="40" w:before="0" w:line="259" w:lineRule="auto"/>
            </w:pPr>
            <w:r>
              <w:rPr>
                <w:rFonts w:ascii="Calibri" w:hAnsi="Calibri"/>
                <w:b w:val="0"/>
                <w:i w:val="0"/>
                <w:color w:val="212121"/>
                <w:sz w:val="16"/>
              </w:rPr>
              <w:t>Severe pain, allodynia, eye or ear involvement</w:t>
            </w:r>
          </w:p>
        </w:tc>
        <w:tc>
          <w:tcPr>
            <w:tcW w:type="dxa" w:w="1036"/>
            <w:vAlign w:val="top"/>
          </w:tcPr>
          <w:p>
            <w:pPr>
              <w:spacing w:after="40" w:before="0" w:line="259" w:lineRule="auto"/>
            </w:pPr>
            <w:r>
              <w:rPr>
                <w:rFonts w:ascii="Calibri" w:hAnsi="Calibri"/>
                <w:b w:val="0"/>
                <w:i w:val="0"/>
                <w:color w:val="212121"/>
                <w:sz w:val="16"/>
              </w:rPr>
              <w:t>Severe acute pain and allodynia predict postherpetic neuralgia</w:t>
            </w:r>
          </w:p>
        </w:tc>
        <w:tc>
          <w:tcPr>
            <w:tcW w:type="dxa" w:w="1036"/>
            <w:vAlign w:val="top"/>
          </w:tcPr>
          <w:p>
            <w:pPr>
              <w:spacing w:after="40" w:before="0" w:line="259" w:lineRule="auto"/>
            </w:pPr>
            <w:r>
              <w:rPr>
                <w:rFonts w:ascii="Calibri" w:hAnsi="Calibri"/>
                <w:b w:val="0"/>
                <w:i w:val="0"/>
                <w:color w:val="212121"/>
                <w:sz w:val="16"/>
              </w:rPr>
              <w:t>Elderly, severe pain, HZO/Ramsay Hunt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early aggressive analgesia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Rash distribution and morphology</w:t>
            </w:r>
          </w:p>
        </w:tc>
        <w:tc>
          <w:tcPr>
            <w:tcW w:type="dxa" w:w="979"/>
            <w:vAlign w:val="top"/>
          </w:tcPr>
          <w:p>
            <w:pPr>
              <w:spacing w:after="40" w:before="0" w:line="259" w:lineRule="auto"/>
            </w:pPr>
            <w:r>
              <w:rPr>
                <w:rFonts w:ascii="Calibri" w:hAnsi="Calibri"/>
                <w:b w:val="0"/>
                <w:i w:val="0"/>
                <w:color w:val="212121"/>
                <w:sz w:val="16"/>
              </w:rPr>
              <w:t>Dermatomal, unilateral, non-midline-crossing grouped vesicles at mixed stages</w:t>
            </w:r>
          </w:p>
        </w:tc>
        <w:tc>
          <w:tcPr>
            <w:tcW w:type="dxa" w:w="950"/>
            <w:vAlign w:val="top"/>
          </w:tcPr>
          <w:p>
            <w:pPr>
              <w:spacing w:after="40" w:before="0" w:line="259" w:lineRule="auto"/>
            </w:pPr>
            <w:r>
              <w:rPr>
                <w:rFonts w:ascii="Calibri" w:hAnsi="Calibri"/>
                <w:b w:val="0"/>
                <w:i w:val="0"/>
                <w:color w:val="212121"/>
                <w:sz w:val="16"/>
              </w:rPr>
              <w:t>No rash</w:t>
            </w:r>
          </w:p>
        </w:tc>
        <w:tc>
          <w:tcPr>
            <w:tcW w:type="dxa" w:w="950"/>
            <w:vAlign w:val="top"/>
          </w:tcPr>
          <w:p>
            <w:pPr>
              <w:spacing w:after="40" w:before="0" w:line="259" w:lineRule="auto"/>
            </w:pPr>
            <w:r>
              <w:rPr>
                <w:rFonts w:ascii="Calibri" w:hAnsi="Calibri"/>
                <w:b w:val="0"/>
                <w:i w:val="0"/>
                <w:color w:val="212121"/>
                <w:sz w:val="16"/>
              </w:rPr>
              <w:t>Grouped vesicles on erythematous base within a dermatome</w:t>
            </w:r>
          </w:p>
        </w:tc>
        <w:tc>
          <w:tcPr>
            <w:tcW w:type="dxa" w:w="1036"/>
            <w:vAlign w:val="top"/>
          </w:tcPr>
          <w:p>
            <w:pPr>
              <w:spacing w:after="40" w:before="0" w:line="259" w:lineRule="auto"/>
            </w:pPr>
            <w:r>
              <w:rPr>
                <w:rFonts w:ascii="Calibri" w:hAnsi="Calibri"/>
                <w:b w:val="0"/>
                <w:i w:val="0"/>
                <w:color w:val="212121"/>
                <w:sz w:val="16"/>
              </w:rPr>
              <w:t>Confirms clinical diagnosis and identifies the affected dermatome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Thoracic dermatome most common (~39-71%)</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Ophthalmic assessment (V1)</w:t>
            </w:r>
          </w:p>
        </w:tc>
        <w:tc>
          <w:tcPr>
            <w:tcW w:type="dxa" w:w="979"/>
            <w:vAlign w:val="top"/>
          </w:tcPr>
          <w:p>
            <w:pPr>
              <w:spacing w:after="40" w:before="0" w:line="259" w:lineRule="auto"/>
            </w:pPr>
            <w:r>
              <w:rPr>
                <w:rFonts w:ascii="Calibri" w:hAnsi="Calibri"/>
                <w:b w:val="0"/>
                <w:i w:val="0"/>
                <w:color w:val="212121"/>
                <w:sz w:val="16"/>
              </w:rPr>
              <w:t>Hutchinson sign; conjunctival/corneal involvement, visual acuity</w:t>
            </w:r>
          </w:p>
        </w:tc>
        <w:tc>
          <w:tcPr>
            <w:tcW w:type="dxa" w:w="950"/>
            <w:vAlign w:val="top"/>
          </w:tcPr>
          <w:p>
            <w:pPr>
              <w:spacing w:after="40" w:before="0" w:line="259" w:lineRule="auto"/>
            </w:pPr>
            <w:r>
              <w:rPr>
                <w:rFonts w:ascii="Calibri" w:hAnsi="Calibri"/>
                <w:b w:val="0"/>
                <w:i w:val="0"/>
                <w:color w:val="212121"/>
                <w:sz w:val="16"/>
              </w:rPr>
              <w:t>No nasal-tip lesions; normal eye</w:t>
            </w:r>
          </w:p>
        </w:tc>
        <w:tc>
          <w:tcPr>
            <w:tcW w:type="dxa" w:w="950"/>
            <w:vAlign w:val="top"/>
          </w:tcPr>
          <w:p>
            <w:pPr>
              <w:spacing w:after="40" w:before="0" w:line="259" w:lineRule="auto"/>
            </w:pPr>
            <w:r>
              <w:rPr>
                <w:rFonts w:ascii="Calibri" w:hAnsi="Calibri"/>
                <w:b w:val="0"/>
                <w:i w:val="0"/>
                <w:color w:val="212121"/>
                <w:sz w:val="16"/>
              </w:rPr>
              <w:t>Nose-tip vesicles; red/painful eye, reduced corneal sensation</w:t>
            </w:r>
          </w:p>
        </w:tc>
        <w:tc>
          <w:tcPr>
            <w:tcW w:type="dxa" w:w="1036"/>
            <w:vAlign w:val="top"/>
          </w:tcPr>
          <w:p>
            <w:pPr>
              <w:spacing w:after="40" w:before="0" w:line="259" w:lineRule="auto"/>
            </w:pPr>
            <w:r>
              <w:rPr>
                <w:rFonts w:ascii="Calibri" w:hAnsi="Calibri"/>
                <w:b w:val="0"/>
                <w:i w:val="0"/>
                <w:color w:val="212121"/>
                <w:sz w:val="16"/>
              </w:rPr>
              <w:t>Flags herpes zoster ophthalmicus threatening vision</w:t>
            </w:r>
          </w:p>
        </w:tc>
        <w:tc>
          <w:tcPr>
            <w:tcW w:type="dxa" w:w="1036"/>
            <w:vAlign w:val="top"/>
          </w:tcPr>
          <w:p>
            <w:pPr>
              <w:spacing w:after="40" w:before="0" w:line="259" w:lineRule="auto"/>
            </w:pPr>
            <w:r>
              <w:rPr>
                <w:rFonts w:ascii="Calibri" w:hAnsi="Calibri"/>
                <w:b w:val="0"/>
                <w:i w:val="0"/>
                <w:color w:val="212121"/>
                <w:sz w:val="16"/>
              </w:rPr>
              <w:t>Trigeminal (V1) zoster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Refer urgently for slit-lamp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Cranial-nerve examination</w:t>
            </w:r>
          </w:p>
        </w:tc>
        <w:tc>
          <w:tcPr>
            <w:tcW w:type="dxa" w:w="950"/>
            <w:vAlign w:val="top"/>
          </w:tcPr>
          <w:p>
            <w:pPr>
              <w:spacing w:after="40" w:before="0" w:line="259" w:lineRule="auto"/>
            </w:pPr>
            <w:r>
              <w:rPr>
                <w:rFonts w:ascii="Calibri" w:hAnsi="Calibri"/>
                <w:b w:val="0"/>
                <w:i w:val="0"/>
                <w:color w:val="212121"/>
                <w:sz w:val="16"/>
              </w:rPr>
              <w:t>Ear and facial-nerve assessment</w:t>
            </w:r>
          </w:p>
        </w:tc>
        <w:tc>
          <w:tcPr>
            <w:tcW w:type="dxa" w:w="979"/>
            <w:vAlign w:val="top"/>
          </w:tcPr>
          <w:p>
            <w:pPr>
              <w:spacing w:after="40" w:before="0" w:line="259" w:lineRule="auto"/>
            </w:pPr>
            <w:r>
              <w:rPr>
                <w:rFonts w:ascii="Calibri" w:hAnsi="Calibri"/>
                <w:b w:val="0"/>
                <w:i w:val="0"/>
                <w:color w:val="212121"/>
                <w:sz w:val="16"/>
              </w:rPr>
              <w:t>Auricular/ear-canal vesicles, facial palsy, hearing, balance</w:t>
            </w:r>
          </w:p>
        </w:tc>
        <w:tc>
          <w:tcPr>
            <w:tcW w:type="dxa" w:w="950"/>
            <w:vAlign w:val="top"/>
          </w:tcPr>
          <w:p>
            <w:pPr>
              <w:spacing w:after="40" w:before="0" w:line="259" w:lineRule="auto"/>
            </w:pPr>
            <w:r>
              <w:rPr>
                <w:rFonts w:ascii="Calibri" w:hAnsi="Calibri"/>
                <w:b w:val="0"/>
                <w:i w:val="0"/>
                <w:color w:val="212121"/>
                <w:sz w:val="16"/>
              </w:rPr>
              <w:t>No ear vesicles; symmetric face</w:t>
            </w:r>
          </w:p>
        </w:tc>
        <w:tc>
          <w:tcPr>
            <w:tcW w:type="dxa" w:w="950"/>
            <w:vAlign w:val="top"/>
          </w:tcPr>
          <w:p>
            <w:pPr>
              <w:spacing w:after="40" w:before="0" w:line="259" w:lineRule="auto"/>
            </w:pPr>
            <w:r>
              <w:rPr>
                <w:rFonts w:ascii="Calibri" w:hAnsi="Calibri"/>
                <w:b w:val="0"/>
                <w:i w:val="0"/>
                <w:color w:val="212121"/>
                <w:sz w:val="16"/>
              </w:rPr>
              <w:t>Ear vesicles with facial weakness (Ramsay Hunt)</w:t>
            </w:r>
          </w:p>
        </w:tc>
        <w:tc>
          <w:tcPr>
            <w:tcW w:type="dxa" w:w="1036"/>
            <w:vAlign w:val="top"/>
          </w:tcPr>
          <w:p>
            <w:pPr>
              <w:spacing w:after="40" w:before="0" w:line="259" w:lineRule="auto"/>
            </w:pPr>
            <w:r>
              <w:rPr>
                <w:rFonts w:ascii="Calibri" w:hAnsi="Calibri"/>
                <w:b w:val="0"/>
                <w:i w:val="0"/>
                <w:color w:val="212121"/>
                <w:sz w:val="16"/>
              </w:rPr>
              <w:t>Identifies zoster oticus/Ramsay Hunt syndrome</w:t>
            </w:r>
          </w:p>
        </w:tc>
        <w:tc>
          <w:tcPr>
            <w:tcW w:type="dxa" w:w="1036"/>
            <w:vAlign w:val="top"/>
          </w:tcPr>
          <w:p>
            <w:pPr>
              <w:spacing w:after="40" w:before="0" w:line="259" w:lineRule="auto"/>
            </w:pPr>
            <w:r>
              <w:rPr>
                <w:rFonts w:ascii="Calibri" w:hAnsi="Calibri"/>
                <w:b w:val="0"/>
                <w:i w:val="0"/>
                <w:color w:val="212121"/>
                <w:sz w:val="16"/>
              </w:rPr>
              <w:t>Facial palsy with ear pain/vesicles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Early treatment improves facial-nerve recovery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Immunosuppression &amp; vaccination history</w:t>
            </w:r>
          </w:p>
        </w:tc>
        <w:tc>
          <w:tcPr>
            <w:tcW w:type="dxa" w:w="979"/>
            <w:vAlign w:val="top"/>
          </w:tcPr>
          <w:p>
            <w:pPr>
              <w:spacing w:after="40" w:before="0" w:line="259" w:lineRule="auto"/>
            </w:pPr>
            <w:r>
              <w:rPr>
                <w:rFonts w:ascii="Calibri" w:hAnsi="Calibri"/>
                <w:b w:val="0"/>
                <w:i w:val="0"/>
                <w:color w:val="212121"/>
                <w:sz w:val="16"/>
              </w:rPr>
              <w:t>HIV, diabetes, cancer, steroids/biologics, transplant; varicella &amp; zoster vaccine status</w:t>
            </w:r>
          </w:p>
        </w:tc>
        <w:tc>
          <w:tcPr>
            <w:tcW w:type="dxa" w:w="950"/>
            <w:vAlign w:val="top"/>
          </w:tcPr>
          <w:p>
            <w:pPr>
              <w:spacing w:after="40" w:before="0" w:line="259" w:lineRule="auto"/>
            </w:pPr>
            <w:r>
              <w:rPr>
                <w:rFonts w:ascii="Calibri" w:hAnsi="Calibri"/>
                <w:b w:val="0"/>
                <w:i w:val="0"/>
                <w:color w:val="212121"/>
                <w:sz w:val="16"/>
              </w:rPr>
              <w:t>Immunocompetent, vaccinated</w:t>
            </w:r>
          </w:p>
        </w:tc>
        <w:tc>
          <w:tcPr>
            <w:tcW w:type="dxa" w:w="950"/>
            <w:vAlign w:val="top"/>
          </w:tcPr>
          <w:p>
            <w:pPr>
              <w:spacing w:after="40" w:before="0" w:line="259" w:lineRule="auto"/>
            </w:pPr>
            <w:r>
              <w:rPr>
                <w:rFonts w:ascii="Calibri" w:hAnsi="Calibri"/>
                <w:b w:val="0"/>
                <w:i w:val="0"/>
                <w:color w:val="212121"/>
                <w:sz w:val="16"/>
              </w:rPr>
              <w:t>Immunocompromising condition/therapy; unvaccinated</w:t>
            </w:r>
          </w:p>
        </w:tc>
        <w:tc>
          <w:tcPr>
            <w:tcW w:type="dxa" w:w="1036"/>
            <w:vAlign w:val="top"/>
          </w:tcPr>
          <w:p>
            <w:pPr>
              <w:spacing w:after="40" w:before="0" w:line="259" w:lineRule="auto"/>
            </w:pPr>
            <w:r>
              <w:rPr>
                <w:rFonts w:ascii="Calibri" w:hAnsi="Calibri"/>
                <w:b w:val="0"/>
                <w:i w:val="0"/>
                <w:color w:val="212121"/>
                <w:sz w:val="16"/>
              </w:rPr>
              <w:t>Identifies drivers of severe/disseminated disease and prevention gaps</w:t>
            </w:r>
          </w:p>
        </w:tc>
        <w:tc>
          <w:tcPr>
            <w:tcW w:type="dxa" w:w="1036"/>
            <w:vAlign w:val="top"/>
          </w:tcPr>
          <w:p>
            <w:pPr>
              <w:spacing w:after="40" w:before="0" w:line="259" w:lineRule="auto"/>
            </w:pPr>
            <w:r>
              <w:rPr>
                <w:rFonts w:ascii="Calibri" w:hAnsi="Calibri"/>
                <w:b w:val="0"/>
                <w:i w:val="0"/>
                <w:color w:val="212121"/>
                <w:sz w:val="16"/>
              </w:rPr>
              <w:t>Young, recurrent, multidermatomal or disseminated zoster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HIV testing and vaccination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Extent and systemic assessment</w:t>
            </w:r>
          </w:p>
        </w:tc>
        <w:tc>
          <w:tcPr>
            <w:tcW w:type="dxa" w:w="979"/>
            <w:vAlign w:val="top"/>
          </w:tcPr>
          <w:p>
            <w:pPr>
              <w:spacing w:after="40" w:before="0" w:line="259" w:lineRule="auto"/>
            </w:pPr>
            <w:r>
              <w:rPr>
                <w:rFonts w:ascii="Calibri" w:hAnsi="Calibri"/>
                <w:b w:val="0"/>
                <w:i w:val="0"/>
                <w:color w:val="212121"/>
                <w:sz w:val="16"/>
              </w:rPr>
              <w:t>Number of dermatomes, vesicles outside dermatome, fever, regional nodes</w:t>
            </w:r>
          </w:p>
        </w:tc>
        <w:tc>
          <w:tcPr>
            <w:tcW w:type="dxa" w:w="950"/>
            <w:vAlign w:val="top"/>
          </w:tcPr>
          <w:p>
            <w:pPr>
              <w:spacing w:after="40" w:before="0" w:line="259" w:lineRule="auto"/>
            </w:pPr>
            <w:r>
              <w:rPr>
                <w:rFonts w:ascii="Calibri" w:hAnsi="Calibri"/>
                <w:b w:val="0"/>
                <w:i w:val="0"/>
                <w:color w:val="212121"/>
                <w:sz w:val="16"/>
              </w:rPr>
              <w:t>Single dermatome, afebrile</w:t>
            </w:r>
          </w:p>
        </w:tc>
        <w:tc>
          <w:tcPr>
            <w:tcW w:type="dxa" w:w="950"/>
            <w:vAlign w:val="top"/>
          </w:tcPr>
          <w:p>
            <w:pPr>
              <w:spacing w:after="40" w:before="0" w:line="259" w:lineRule="auto"/>
            </w:pPr>
            <w:r>
              <w:rPr>
                <w:rFonts w:ascii="Calibri" w:hAnsi="Calibri"/>
                <w:b w:val="0"/>
                <w:i w:val="0"/>
                <w:color w:val="212121"/>
                <w:sz w:val="16"/>
              </w:rPr>
              <w:t>&gt;1 dermatome, &gt;20 outside lesions, fever (dissemination)</w:t>
            </w:r>
          </w:p>
        </w:tc>
        <w:tc>
          <w:tcPr>
            <w:tcW w:type="dxa" w:w="1036"/>
            <w:vAlign w:val="top"/>
          </w:tcPr>
          <w:p>
            <w:pPr>
              <w:spacing w:after="40" w:before="0" w:line="259" w:lineRule="auto"/>
            </w:pPr>
            <w:r>
              <w:rPr>
                <w:rFonts w:ascii="Calibri" w:hAnsi="Calibri"/>
                <w:b w:val="0"/>
                <w:i w:val="0"/>
                <w:color w:val="212121"/>
                <w:sz w:val="16"/>
              </w:rPr>
              <w:t>Detects disseminated/systemic zoster requiring IV antivirals and admission</w:t>
            </w:r>
          </w:p>
        </w:tc>
        <w:tc>
          <w:tcPr>
            <w:tcW w:type="dxa" w:w="1036"/>
            <w:vAlign w:val="top"/>
          </w:tcPr>
          <w:p>
            <w:pPr>
              <w:spacing w:after="40" w:before="0" w:line="259" w:lineRule="auto"/>
            </w:pPr>
            <w:r>
              <w:rPr>
                <w:rFonts w:ascii="Calibri" w:hAnsi="Calibri"/>
                <w:b w:val="0"/>
                <w:i w:val="0"/>
                <w:color w:val="212121"/>
                <w:sz w:val="16"/>
              </w:rPr>
              <w:t>Immunocompromised, severe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Dissemination is largely confined to immunocompromised hosts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Prodromal dermatomal pain /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burning, stabbing or itching pain in a band-like distribution preceding the rash by 2-3 days; present in over 90% of Indian cases.</w:t>
            </w:r>
          </w:p>
        </w:tc>
      </w:tr>
      <w:tr>
        <w:trPr>
          <w:cantSplit/>
        </w:trPr>
        <w:tc>
          <w:tcPr>
            <w:tcW w:type="dxa" w:w="2304"/>
            <w:vAlign w:val="top"/>
          </w:tcPr>
          <w:p>
            <w:pPr>
              <w:spacing w:after="40" w:before="0" w:line="259" w:lineRule="auto"/>
            </w:pPr>
            <w:r>
              <w:rPr>
                <w:rFonts w:ascii="Calibri" w:hAnsi="Calibri"/>
                <w:b/>
                <w:i w:val="0"/>
                <w:color w:val="212121"/>
                <w:sz w:val="19"/>
              </w:rPr>
              <w:t>Unilateral dermatomal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band or patch of rash on one side of the body/face that does not cross the midline, in the distribution of the affected nerve.</w:t>
            </w:r>
          </w:p>
        </w:tc>
      </w:tr>
      <w:tr>
        <w:trPr>
          <w:cantSplit/>
        </w:trPr>
        <w:tc>
          <w:tcPr>
            <w:tcW w:type="dxa" w:w="2304"/>
            <w:vAlign w:val="top"/>
          </w:tcPr>
          <w:p>
            <w:pPr>
              <w:spacing w:after="40" w:before="0" w:line="259" w:lineRule="auto"/>
            </w:pPr>
            <w:r>
              <w:rPr>
                <w:rFonts w:ascii="Calibri" w:hAnsi="Calibri"/>
                <w:b/>
                <w:i w:val="0"/>
                <w:color w:val="212121"/>
                <w:sz w:val="19"/>
              </w:rPr>
              <w:t>Grouped fluid-filled blisters (vesicles)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Clusters of clear vesicles on a red base that later become pustular and crust over about 7-10 days.</w:t>
            </w:r>
          </w:p>
        </w:tc>
      </w:tr>
      <w:tr>
        <w:trPr>
          <w:cantSplit/>
        </w:trPr>
        <w:tc>
          <w:tcPr>
            <w:tcW w:type="dxa" w:w="2304"/>
            <w:vAlign w:val="top"/>
          </w:tcPr>
          <w:p>
            <w:pPr>
              <w:spacing w:after="40" w:before="0" w:line="259" w:lineRule="auto"/>
            </w:pPr>
            <w:r>
              <w:rPr>
                <w:rFonts w:ascii="Calibri" w:hAnsi="Calibri"/>
                <w:b/>
                <w:i w:val="0"/>
                <w:color w:val="212121"/>
                <w:sz w:val="19"/>
              </w:rPr>
              <w:t>Itching, tingling or numbness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Abnormal sensations in the affected dermatome accompanying or preceding the rash.</w:t>
            </w:r>
          </w:p>
        </w:tc>
      </w:tr>
      <w:tr>
        <w:trPr>
          <w:cantSplit/>
        </w:trPr>
        <w:tc>
          <w:tcPr>
            <w:tcW w:type="dxa" w:w="2304"/>
            <w:vAlign w:val="top"/>
          </w:tcPr>
          <w:p>
            <w:pPr>
              <w:spacing w:after="40" w:before="0" w:line="259" w:lineRule="auto"/>
            </w:pPr>
            <w:r>
              <w:rPr>
                <w:rFonts w:ascii="Calibri" w:hAnsi="Calibri"/>
                <w:b/>
                <w:i w:val="0"/>
                <w:color w:val="212121"/>
                <w:sz w:val="19"/>
              </w:rPr>
              <w:t>Allodynia (pain from light touch)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Even clothing or a breeze provokes pain; a predictor of postherpetic neuralgia.</w:t>
            </w:r>
          </w:p>
        </w:tc>
      </w:tr>
      <w:tr>
        <w:trPr>
          <w:cantSplit/>
        </w:trPr>
        <w:tc>
          <w:tcPr>
            <w:tcW w:type="dxa" w:w="2304"/>
            <w:vAlign w:val="top"/>
          </w:tcPr>
          <w:p>
            <w:pPr>
              <w:spacing w:after="40" w:before="0" w:line="259" w:lineRule="auto"/>
            </w:pPr>
            <w:r>
              <w:rPr>
                <w:rFonts w:ascii="Calibri" w:hAnsi="Calibri"/>
                <w:b/>
                <w:i w:val="0"/>
                <w:color w:val="212121"/>
                <w:sz w:val="19"/>
              </w:rPr>
              <w:t>Fever, headache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constitutional upset, more frequent with extensive or severe disease.</w:t>
            </w:r>
          </w:p>
        </w:tc>
      </w:tr>
      <w:tr>
        <w:trPr>
          <w:cantSplit/>
        </w:trPr>
        <w:tc>
          <w:tcPr>
            <w:tcW w:type="dxa" w:w="2304"/>
            <w:vAlign w:val="top"/>
          </w:tcPr>
          <w:p>
            <w:pPr>
              <w:spacing w:after="40" w:before="0" w:line="259" w:lineRule="auto"/>
            </w:pPr>
            <w:r>
              <w:rPr>
                <w:rFonts w:ascii="Calibri" w:hAnsi="Calibri"/>
                <w:b/>
                <w:i w:val="0"/>
                <w:color w:val="212121"/>
                <w:sz w:val="19"/>
              </w:rPr>
              <w:t>Regional lymph node tenderness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Enlarged, tender draining nodes near the affected dermatome.</w:t>
            </w:r>
          </w:p>
        </w:tc>
      </w:tr>
      <w:tr>
        <w:trPr>
          <w:cantSplit/>
        </w:trPr>
        <w:tc>
          <w:tcPr>
            <w:tcW w:type="dxa" w:w="2304"/>
            <w:vAlign w:val="top"/>
          </w:tcPr>
          <w:p>
            <w:pPr>
              <w:spacing w:after="40" w:before="0" w:line="259" w:lineRule="auto"/>
            </w:pPr>
            <w:r>
              <w:rPr>
                <w:rFonts w:ascii="Calibri" w:hAnsi="Calibri"/>
                <w:b/>
                <w:i w:val="0"/>
                <w:color w:val="212121"/>
                <w:sz w:val="19"/>
              </w:rPr>
              <w:t>Persistent pain after the rash heals (PHN)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Dermatomal pain lasting three or more months after rash onset; complicates roughly 10-55% of Indian cases and rises steeply with age.</w:t>
            </w:r>
          </w:p>
        </w:tc>
      </w:tr>
      <w:tr>
        <w:trPr>
          <w:cantSplit/>
        </w:trPr>
        <w:tc>
          <w:tcPr>
            <w:tcW w:type="dxa" w:w="2304"/>
            <w:vAlign w:val="top"/>
          </w:tcPr>
          <w:p>
            <w:pPr>
              <w:spacing w:after="40" w:before="0" w:line="259" w:lineRule="auto"/>
            </w:pPr>
            <w:r>
              <w:rPr>
                <w:rFonts w:ascii="Calibri" w:hAnsi="Calibri"/>
                <w:b/>
                <w:i w:val="0"/>
                <w:color w:val="212121"/>
                <w:sz w:val="19"/>
              </w:rPr>
              <w:t>Eye pain, redness or blurred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herpes zoster ophthalmicus (V1 involvement) threatening sight; needs urgent eye review.</w:t>
            </w:r>
          </w:p>
        </w:tc>
      </w:tr>
      <w:tr>
        <w:trPr>
          <w:cantSplit/>
        </w:trPr>
        <w:tc>
          <w:tcPr>
            <w:tcW w:type="dxa" w:w="2304"/>
            <w:vAlign w:val="top"/>
          </w:tcPr>
          <w:p>
            <w:pPr>
              <w:spacing w:after="40" w:before="0" w:line="259" w:lineRule="auto"/>
            </w:pPr>
            <w:r>
              <w:rPr>
                <w:rFonts w:ascii="Calibri" w:hAnsi="Calibri"/>
                <w:b/>
                <w:i w:val="0"/>
                <w:color w:val="212121"/>
                <w:sz w:val="19"/>
              </w:rPr>
              <w:t>Ear pain, facial weakness, hearing loss or vertigo</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Features of Ramsay Hunt syndrome (zoster oticus) from geniculate ganglion reactivation.</w:t>
            </w:r>
          </w:p>
        </w:tc>
      </w:tr>
      <w:tr>
        <w:trPr>
          <w:cantSplit/>
        </w:trPr>
        <w:tc>
          <w:tcPr>
            <w:tcW w:type="dxa" w:w="2304"/>
            <w:vAlign w:val="top"/>
          </w:tcPr>
          <w:p>
            <w:pPr>
              <w:spacing w:after="40" w:before="0" w:line="259" w:lineRule="auto"/>
            </w:pPr>
            <w:r>
              <w:rPr>
                <w:rFonts w:ascii="Calibri" w:hAnsi="Calibri"/>
                <w:b/>
                <w:i w:val="0"/>
                <w:color w:val="212121"/>
                <w:sz w:val="19"/>
              </w:rPr>
              <w:t>Widespread rash beyond one dermatome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disseminated zoster, essentially confined to immunocompromised patients.</w:t>
            </w:r>
          </w:p>
        </w:tc>
      </w:tr>
      <w:tr>
        <w:trPr>
          <w:cantSplit/>
        </w:trPr>
        <w:tc>
          <w:tcPr>
            <w:tcW w:type="dxa" w:w="2304"/>
            <w:vAlign w:val="top"/>
          </w:tcPr>
          <w:p>
            <w:pPr>
              <w:spacing w:after="40" w:before="0" w:line="259" w:lineRule="auto"/>
            </w:pPr>
            <w:r>
              <w:rPr>
                <w:rFonts w:ascii="Calibri" w:hAnsi="Calibri"/>
                <w:b/>
                <w:i w:val="0"/>
                <w:color w:val="212121"/>
                <w:sz w:val="19"/>
              </w:rPr>
              <w:t>Segmental pain without any rash (zoster sine herpete)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Dermatomal neuritic pain with no visible eruption; a diagnosis of exclusion confirmed by VZV PCR/serology.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Grouped vesicles on an erythematous base in a dermatome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unilateral eruption confined to a sensory nerve territory.</w:t>
            </w:r>
          </w:p>
        </w:tc>
      </w:tr>
      <w:tr>
        <w:trPr>
          <w:cantSplit/>
        </w:trPr>
        <w:tc>
          <w:tcPr>
            <w:tcW w:type="dxa" w:w="3456"/>
            <w:vAlign w:val="top"/>
          </w:tcPr>
          <w:p>
            <w:pPr>
              <w:spacing w:after="40" w:before="0" w:line="259" w:lineRule="auto"/>
            </w:pPr>
            <w:r>
              <w:rPr>
                <w:rFonts w:ascii="Calibri" w:hAnsi="Calibri"/>
                <w:b/>
                <w:i w:val="0"/>
                <w:color w:val="212121"/>
                <w:sz w:val="19"/>
              </w:rPr>
              <w:t>Lesions do not cross the body midline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Sharp cut-off at the midline distinguishes zoster from other vesicular rashes.</w:t>
            </w:r>
          </w:p>
        </w:tc>
      </w:tr>
      <w:tr>
        <w:trPr>
          <w:cantSplit/>
        </w:trPr>
        <w:tc>
          <w:tcPr>
            <w:tcW w:type="dxa" w:w="3456"/>
            <w:vAlign w:val="top"/>
          </w:tcPr>
          <w:p>
            <w:pPr>
              <w:spacing w:after="40" w:before="0" w:line="259" w:lineRule="auto"/>
            </w:pPr>
            <w:r>
              <w:rPr>
                <w:rFonts w:ascii="Calibri" w:hAnsi="Calibri"/>
                <w:b/>
                <w:i w:val="0"/>
                <w:color w:val="212121"/>
                <w:sz w:val="19"/>
              </w:rPr>
              <w:t>Lesions at multiple stages (papule, vesicle, pustule, crust)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Simultaneous evolutionary stages within the affected dermatome.</w:t>
            </w:r>
          </w:p>
        </w:tc>
      </w:tr>
      <w:tr>
        <w:trPr>
          <w:cantSplit/>
        </w:trPr>
        <w:tc>
          <w:tcPr>
            <w:tcW w:type="dxa" w:w="3456"/>
            <w:vAlign w:val="top"/>
          </w:tcPr>
          <w:p>
            <w:pPr>
              <w:spacing w:after="40" w:before="0" w:line="259" w:lineRule="auto"/>
            </w:pPr>
            <w:r>
              <w:rPr>
                <w:rFonts w:ascii="Calibri" w:hAnsi="Calibri"/>
                <w:b/>
                <w:i w:val="0"/>
                <w:color w:val="212121"/>
                <w:sz w:val="19"/>
              </w:rPr>
              <w:t>Crusting and scabbing of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Vesicles dry and crust over about 7-10 days; no longer infectious once fully crusted.</w:t>
            </w:r>
          </w:p>
        </w:tc>
      </w:tr>
      <w:tr>
        <w:trPr>
          <w:cantSplit/>
        </w:trPr>
        <w:tc>
          <w:tcPr>
            <w:tcW w:type="dxa" w:w="3456"/>
            <w:vAlign w:val="top"/>
          </w:tcPr>
          <w:p>
            <w:pPr>
              <w:spacing w:after="40" w:before="0" w:line="259" w:lineRule="auto"/>
            </w:pPr>
            <w:r>
              <w:rPr>
                <w:rFonts w:ascii="Calibri" w:hAnsi="Calibri"/>
                <w:b/>
                <w:i w:val="0"/>
                <w:color w:val="212121"/>
                <w:sz w:val="19"/>
              </w:rPr>
              <w:t>Cutaneous hyperaesthesia / allodynia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tenderness of the affected skin to light touch.</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enlargement of nodes draining the affected area.</w:t>
            </w:r>
          </w:p>
        </w:tc>
      </w:tr>
      <w:tr>
        <w:trPr>
          <w:cantSplit/>
        </w:trPr>
        <w:tc>
          <w:tcPr>
            <w:tcW w:type="dxa" w:w="3456"/>
            <w:vAlign w:val="top"/>
          </w:tcPr>
          <w:p>
            <w:pPr>
              <w:spacing w:after="40" w:before="0" w:line="259" w:lineRule="auto"/>
            </w:pPr>
            <w:r>
              <w:rPr>
                <w:rFonts w:ascii="Calibri" w:hAnsi="Calibri"/>
                <w:b/>
                <w:i w:val="0"/>
                <w:color w:val="212121"/>
                <w:sz w:val="19"/>
              </w:rPr>
              <w:t>Hutchinson sign (vesicles on tip/side of nose)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Nasociliary involvement predicting ocular disease in zoster ophthalmicus.</w:t>
            </w:r>
          </w:p>
        </w:tc>
      </w:tr>
      <w:tr>
        <w:trPr>
          <w:cantSplit/>
        </w:trPr>
        <w:tc>
          <w:tcPr>
            <w:tcW w:type="dxa" w:w="3456"/>
            <w:vAlign w:val="top"/>
          </w:tcPr>
          <w:p>
            <w:pPr>
              <w:spacing w:after="40" w:before="0" w:line="259" w:lineRule="auto"/>
            </w:pPr>
            <w:r>
              <w:rPr>
                <w:rFonts w:ascii="Calibri" w:hAnsi="Calibri"/>
                <w:b/>
                <w:i w:val="0"/>
                <w:color w:val="212121"/>
                <w:sz w:val="19"/>
              </w:rPr>
              <w:t>Ocular signs (conjunctivitis, keratitis, reduced corneal sensation, uveitis)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HZO; Indian HZO series report corneal lesions in ~64%, reduced corneal sensation ~67% and uveitis ~48%.</w:t>
            </w:r>
          </w:p>
        </w:tc>
      </w:tr>
      <w:tr>
        <w:trPr>
          <w:cantSplit/>
        </w:trPr>
        <w:tc>
          <w:tcPr>
            <w:tcW w:type="dxa" w:w="3456"/>
            <w:vAlign w:val="top"/>
          </w:tcPr>
          <w:p>
            <w:pPr>
              <w:spacing w:after="40" w:before="0" w:line="259" w:lineRule="auto"/>
            </w:pPr>
            <w:r>
              <w:rPr>
                <w:rFonts w:ascii="Calibri" w:hAnsi="Calibri"/>
                <w:b/>
                <w:i w:val="0"/>
                <w:color w:val="212121"/>
                <w:sz w:val="19"/>
              </w:rPr>
              <w:t>Ipsilateral facial (LMN) palsy with ear-canal vesicles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Ramsay Hunt syndrome; the facial weakness may be mistaken for Bell palsy.</w:t>
            </w:r>
          </w:p>
        </w:tc>
      </w:tr>
      <w:tr>
        <w:trPr>
          <w:cantSplit/>
        </w:trPr>
        <w:tc>
          <w:tcPr>
            <w:tcW w:type="dxa" w:w="3456"/>
            <w:vAlign w:val="top"/>
          </w:tcPr>
          <w:p>
            <w:pPr>
              <w:spacing w:after="40" w:before="0" w:line="259" w:lineRule="auto"/>
            </w:pPr>
            <w:r>
              <w:rPr>
                <w:rFonts w:ascii="Calibri" w:hAnsi="Calibri"/>
                <w:b/>
                <w:i w:val="0"/>
                <w:color w:val="212121"/>
                <w:sz w:val="19"/>
              </w:rPr>
              <w:t>Post-inflammatory scarring and pigmentary change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Residual hyper- or hypopigmentation and scarring after healing, particularly in pigmented Indian skin.</w:t>
            </w:r>
          </w:p>
        </w:tc>
      </w:tr>
      <w:tr>
        <w:trPr>
          <w:cantSplit/>
        </w:trPr>
        <w:tc>
          <w:tcPr>
            <w:tcW w:type="dxa" w:w="3456"/>
            <w:vAlign w:val="top"/>
          </w:tcPr>
          <w:p>
            <w:pPr>
              <w:spacing w:after="40" w:before="0" w:line="259" w:lineRule="auto"/>
            </w:pPr>
            <w:r>
              <w:rPr>
                <w:rFonts w:ascii="Calibri" w:hAnsi="Calibri"/>
                <w:b/>
                <w:i w:val="0"/>
                <w:color w:val="212121"/>
                <w:sz w:val="19"/>
              </w:rPr>
              <w:t>Disseminated vesicles (&gt;20 outside the primary dermatome)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disseminated zoster and warrants a search for immunosuppression.</w:t>
            </w:r>
          </w:p>
        </w:tc>
      </w:tr>
      <w:tr>
        <w:trPr>
          <w:cantSplit/>
        </w:trPr>
        <w:tc>
          <w:tcPr>
            <w:tcW w:type="dxa" w:w="3456"/>
            <w:vAlign w:val="top"/>
          </w:tcPr>
          <w:p>
            <w:pPr>
              <w:spacing w:after="40" w:before="0" w:line="259" w:lineRule="auto"/>
            </w:pPr>
            <w:r>
              <w:rPr>
                <w:rFonts w:ascii="Calibri" w:hAnsi="Calibri"/>
                <w:b/>
                <w:i w:val="0"/>
                <w:color w:val="212121"/>
                <w:sz w:val="19"/>
              </w:rPr>
              <w:t>Segmental motor weakness (zoster paresis)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Focal weakness in the myotome corresponding to the affected dermatome.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neuritis and secondary bacterial superinfection of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Herpes zoster ophthalmicus (keratitis, uveitis, reduced corneal sensation)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Ramsay Hunt syndrome (facial palsy, hearing loss, vertigo)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Cutaneous dissemination in immunocompromised hosts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 and post-inflammatory pigmentary change</w:t>
            </w:r>
          </w:p>
        </w:tc>
        <w:tc>
          <w:tcPr>
            <w:tcW w:type="dxa" w:w="2980"/>
            <w:vAlign w:val="top"/>
          </w:tcPr>
          <w:p>
            <w:pPr>
              <w:spacing w:after="40" w:before="0" w:line="259" w:lineRule="auto"/>
            </w:pPr>
            <w:r>
              <w:rPr>
                <w:rFonts w:ascii="Calibri" w:hAnsi="Calibri"/>
                <w:b w:val="0"/>
                <w:i w:val="0"/>
                <w:color w:val="212121"/>
                <w:sz w:val="19"/>
              </w:rPr>
              <w:t>Direct acute consequences of VZV reactivation and cutaneous/neural involvement; secondary bacterial infection affects roughly 3.5-21% of Indian cases.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Postherpetic neuralgia (PHN)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VZV vasculopathy and ischaemic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Meningoencephalitis, myelitis and cerebellitis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Segmental motor neuropathy (zoster 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Visceral dissemination (pneumonitis, hepatitis) in the immunocompromised</w:t>
            </w:r>
          </w:p>
        </w:tc>
        <w:tc>
          <w:tcPr>
            <w:tcW w:type="dxa" w:w="2980"/>
            <w:vAlign w:val="top"/>
          </w:tcPr>
          <w:p>
            <w:pPr>
              <w:spacing w:after="40" w:before="0" w:line="259" w:lineRule="auto"/>
            </w:pPr>
            <w:r>
              <w:rPr>
                <w:rFonts w:ascii="Calibri" w:hAnsi="Calibri"/>
                <w:b w:val="0"/>
                <w:i w:val="0"/>
                <w:color w:val="212121"/>
                <w:sz w:val="19"/>
              </w:rPr>
              <w:t>Result from persistent neural damage, virus-induced vasculopathy and haematogenous/visceral spread; stroke risk is about 1.3x higher after zoster and up to ~4.3x after ophthalmic zoster.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treatment-refractory postherpetic neuralgia with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Vision loss or blindness from severe zoster ophthalmicus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facial paralysis and hearing loss after Ramsay Hunt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neurological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pain-related depression, insomnia and reduced quality of life</w:t>
            </w:r>
          </w:p>
        </w:tc>
        <w:tc>
          <w:tcPr>
            <w:tcW w:type="dxa" w:w="2980"/>
            <w:vAlign w:val="top"/>
          </w:tcPr>
          <w:p>
            <w:pPr>
              <w:spacing w:after="40" w:before="0" w:line="259" w:lineRule="auto"/>
            </w:pPr>
            <w:r>
              <w:rPr>
                <w:rFonts w:ascii="Calibri" w:hAnsi="Calibri"/>
                <w:b w:val="0"/>
                <w:i w:val="0"/>
                <w:color w:val="212121"/>
                <w:sz w:val="19"/>
              </w:rPr>
              <w:t>Irreversible, disabling outcomes of severe or inadequately treated disease, driven largely by PHN and ocular/neurological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Postherpetic neuralgia (PHN)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and most debilitating sequela; dermatomal pain persisting three or more months after rash onset, rising steeply with age and immunosuppression, and a major driver of disability and depression.</w:t>
            </w:r>
          </w:p>
          <w:p>
            <w:pPr>
              <w:spacing w:after="40" w:before="0" w:line="259" w:lineRule="auto"/>
            </w:pPr>
            <w:r>
              <w:rPr>
                <w:rFonts w:ascii="Calibri" w:hAnsi="Calibri"/>
                <w:b/>
                <w:i w:val="0"/>
                <w:color w:val="212121"/>
                <w:sz w:val="19"/>
              </w:rPr>
              <w:t>~10-55% of Indian HZ patients (21.5% in one cohort)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cell-mediated immunity, increasing HZ incidence (~78% higher) and severity and worsening PHN risk; glycaemic control is part of management.</w:t>
            </w:r>
          </w:p>
          <w:p>
            <w:pPr>
              <w:spacing w:after="40" w:before="0" w:line="259" w:lineRule="auto"/>
            </w:pPr>
            <w:r>
              <w:rPr>
                <w:rFonts w:ascii="Calibri" w:hAnsi="Calibri"/>
                <w:b/>
                <w:i w:val="0"/>
                <w:color w:val="212121"/>
                <w:sz w:val="19"/>
              </w:rPr>
              <w:t>Commonest comorbidity (35/190) in an Indian cohort</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CD4 depletion makes zoster an early, recurrent or disseminated manifestation and a sentinel for undiagnosed HIV, especially in younger patients; alters antiviral choice and duration.</w:t>
            </w:r>
          </w:p>
          <w:p>
            <w:pPr>
              <w:spacing w:after="40" w:before="0" w:line="259" w:lineRule="auto"/>
            </w:pPr>
            <w:r>
              <w:rPr>
                <w:rFonts w:ascii="Calibri" w:hAnsi="Calibri"/>
                <w:b/>
                <w:i w:val="0"/>
                <w:color w:val="212121"/>
                <w:sz w:val="19"/>
              </w:rPr>
              <w:t>HIV seropositivity 0-44.4% across Indian studies</w:t>
            </w:r>
          </w:p>
        </w:tc>
      </w:tr>
      <w:tr>
        <w:trPr>
          <w:cantSplit/>
        </w:trPr>
        <w:tc>
          <w:tcPr>
            <w:tcW w:type="dxa" w:w="2232"/>
            <w:vAlign w:val="top"/>
          </w:tcPr>
          <w:p>
            <w:pPr>
              <w:spacing w:after="40" w:before="0" w:line="259" w:lineRule="auto"/>
            </w:pPr>
            <w:r>
              <w:rPr>
                <w:rFonts w:ascii="Calibri" w:hAnsi="Calibri"/>
                <w:b/>
                <w:i w:val="0"/>
                <w:color w:val="212121"/>
                <w:sz w:val="19"/>
              </w:rPr>
              <w:t>Malignancy (lymphoma, leukaemia, solid tumours)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Cancer and chemotherapy suppress T-cell immunity, greatly raising the risk of severe, disseminated and recurrent zoster.</w:t>
            </w:r>
          </w:p>
          <w:p>
            <w:pPr>
              <w:spacing w:after="40" w:before="0" w:line="259" w:lineRule="auto"/>
            </w:pPr>
            <w:r>
              <w:rPr>
                <w:rFonts w:ascii="Calibri" w:hAnsi="Calibri"/>
                <w:b/>
                <w:i w:val="0"/>
                <w:color w:val="212121"/>
                <w:sz w:val="19"/>
              </w:rPr>
              <w:t>HSCT recipients ~56 per 1,000 person-years</w:t>
            </w:r>
          </w:p>
        </w:tc>
      </w:tr>
      <w:tr>
        <w:trPr>
          <w:cantSplit/>
        </w:trPr>
        <w:tc>
          <w:tcPr>
            <w:tcW w:type="dxa" w:w="2232"/>
            <w:vAlign w:val="top"/>
          </w:tcPr>
          <w:p>
            <w:pPr>
              <w:spacing w:after="40" w:before="0" w:line="259" w:lineRule="auto"/>
            </w:pPr>
            <w:r>
              <w:rPr>
                <w:rFonts w:ascii="Calibri" w:hAnsi="Calibri"/>
                <w:b/>
                <w:i w:val="0"/>
                <w:color w:val="212121"/>
                <w:sz w:val="19"/>
              </w:rPr>
              <w:t>Immunosuppressive therapy (steroids, biologics, transplant)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Corticosteroids, biologic/conventional immunosuppressants and transplantation suppress VZV-specific immunity; ~30% of hospitalized zoster patients are immunocompromised.</w:t>
            </w:r>
          </w:p>
          <w:p>
            <w:pPr>
              <w:spacing w:after="40" w:before="0" w:line="259" w:lineRule="auto"/>
            </w:pPr>
            <w:r>
              <w:rPr>
                <w:rFonts w:ascii="Calibri" w:hAnsi="Calibri"/>
                <w:b/>
                <w:i w:val="0"/>
                <w:color w:val="212121"/>
                <w:sz w:val="19"/>
              </w:rPr>
              <w:t>bDMARDs adjusted HR ~2.53</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 autoimmune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Autoimmunity and its treatment impair immunity; SLE has the highest zoster incidence among autoimmune diseases and vaccination timing needs planning.</w:t>
            </w:r>
          </w:p>
          <w:p>
            <w:pPr>
              <w:spacing w:after="40" w:before="0" w:line="259" w:lineRule="auto"/>
            </w:pPr>
            <w:r>
              <w:rPr>
                <w:rFonts w:ascii="Calibri" w:hAnsi="Calibri"/>
                <w:b/>
                <w:i w:val="0"/>
                <w:color w:val="212121"/>
                <w:sz w:val="19"/>
              </w:rPr>
              <w:t>SLE ~19.9 per 1,000 person-years</w:t>
            </w:r>
          </w:p>
        </w:tc>
      </w:tr>
      <w:tr>
        <w:trPr>
          <w:cantSplit/>
        </w:trPr>
        <w:tc>
          <w:tcPr>
            <w:tcW w:type="dxa" w:w="2232"/>
            <w:vAlign w:val="top"/>
          </w:tcPr>
          <w:p>
            <w:pPr>
              <w:spacing w:after="40" w:before="0" w:line="259" w:lineRule="auto"/>
            </w:pPr>
            <w:r>
              <w:rPr>
                <w:rFonts w:ascii="Calibri" w:hAnsi="Calibri"/>
                <w:b/>
                <w:i w:val="0"/>
                <w:color w:val="212121"/>
                <w:sz w:val="19"/>
              </w:rPr>
              <w:t>Herpes zoster ophthalmicus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Reactivation in the ophthalmic trigeminal division threatening the eye; a Hutchinson sign predicts ocular disease and mandates ophthalmology referral.</w:t>
            </w:r>
          </w:p>
          <w:p>
            <w:pPr>
              <w:spacing w:after="40" w:before="0" w:line="259" w:lineRule="auto"/>
            </w:pPr>
            <w:r>
              <w:rPr>
                <w:rFonts w:ascii="Calibri" w:hAnsi="Calibri"/>
                <w:b/>
                <w:i w:val="0"/>
                <w:color w:val="212121"/>
                <w:sz w:val="19"/>
              </w:rPr>
              <w:t>~10-20% of HZ cases</w:t>
            </w:r>
          </w:p>
        </w:tc>
      </w:tr>
      <w:tr>
        <w:trPr>
          <w:cantSplit/>
        </w:trPr>
        <w:tc>
          <w:tcPr>
            <w:tcW w:type="dxa" w:w="2232"/>
            <w:vAlign w:val="top"/>
          </w:tcPr>
          <w:p>
            <w:pPr>
              <w:spacing w:after="40" w:before="0" w:line="259" w:lineRule="auto"/>
            </w:pPr>
            <w:r>
              <w:rPr>
                <w:rFonts w:ascii="Calibri" w:hAnsi="Calibri"/>
                <w:b/>
                <w:i w:val="0"/>
                <w:color w:val="212121"/>
                <w:sz w:val="19"/>
              </w:rPr>
              <w:t>Ischaemic stroke / VZV vasculopathy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VZV infection of cerebral arteries raises stroke risk, particularly after ophthalmic zoster, prompting vigilance and prompt antiviral therapy.</w:t>
            </w:r>
          </w:p>
          <w:p>
            <w:pPr>
              <w:spacing w:after="40" w:before="0" w:line="259" w:lineRule="auto"/>
            </w:pPr>
            <w:r>
              <w:rPr>
                <w:rFonts w:ascii="Calibri" w:hAnsi="Calibri"/>
                <w:b/>
                <w:i w:val="0"/>
                <w:color w:val="212121"/>
                <w:sz w:val="19"/>
              </w:rPr>
              <w:t>~1.3x overall; up to ~4.3x after ocular zoster</w:t>
            </w:r>
          </w:p>
        </w:tc>
      </w:tr>
      <w:tr>
        <w:trPr>
          <w:cantSplit/>
        </w:trPr>
        <w:tc>
          <w:tcPr>
            <w:tcW w:type="dxa" w:w="2232"/>
            <w:vAlign w:val="top"/>
          </w:tcPr>
          <w:p>
            <w:pPr>
              <w:spacing w:after="40" w:before="0" w:line="259" w:lineRule="auto"/>
            </w:pPr>
            <w:r>
              <w:rPr>
                <w:rFonts w:ascii="Calibri" w:hAnsi="Calibri"/>
                <w:b/>
                <w:i w:val="0"/>
                <w:color w:val="212121"/>
                <w:sz w:val="19"/>
              </w:rPr>
              <w:t>Depression / psychological distress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Stress can precipitate reactivation while zoster pain and PHN commonly cause depression, anxiety and insomnia; a bidirectional relationship affecting recovery.</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Uraemia-related immune dysfunction and immunosuppressive therapy increase zoster incidence and severity and may require antiviral dose adjustment.</w:t>
            </w:r>
          </w:p>
        </w:tc>
      </w:tr>
      <w:tr>
        <w:trPr>
          <w:cantSplit/>
        </w:trPr>
        <w:tc>
          <w:tcPr>
            <w:tcW w:type="dxa" w:w="2232"/>
            <w:vAlign w:val="top"/>
          </w:tcPr>
          <w:p>
            <w:pPr>
              <w:spacing w:after="40" w:before="0" w:line="259" w:lineRule="auto"/>
            </w:pPr>
            <w:r>
              <w:rPr>
                <w:rFonts w:ascii="Calibri" w:hAnsi="Calibri"/>
                <w:b/>
                <w:i w:val="0"/>
                <w:color w:val="212121"/>
                <w:sz w:val="19"/>
              </w:rPr>
              <w:t>COPD / chronic respiratory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roughly 30% higher zoster risk through impaired immunity and frequent corticosteroid use.</w:t>
            </w:r>
          </w:p>
          <w:p>
            <w:pPr>
              <w:spacing w:after="40" w:before="0" w:line="259" w:lineRule="auto"/>
            </w:pPr>
            <w:r>
              <w:rPr>
                <w:rFonts w:ascii="Calibri" w:hAnsi="Calibri"/>
                <w:b/>
                <w:i w:val="0"/>
                <w:color w:val="212121"/>
                <w:sz w:val="19"/>
              </w:rPr>
              <w:t>~30% higher risk</w:t>
            </w:r>
          </w:p>
        </w:tc>
      </w:tr>
      <w:tr>
        <w:trPr>
          <w:cantSplit/>
        </w:trPr>
        <w:tc>
          <w:tcPr>
            <w:tcW w:type="dxa" w:w="2232"/>
            <w:vAlign w:val="top"/>
          </w:tcPr>
          <w:p>
            <w:pPr>
              <w:spacing w:after="40" w:before="0" w:line="259" w:lineRule="auto"/>
            </w:pPr>
            <w:r>
              <w:rPr>
                <w:rFonts w:ascii="Calibri" w:hAnsi="Calibri"/>
                <w:b/>
                <w:i w:val="0"/>
                <w:color w:val="212121"/>
                <w:sz w:val="19"/>
              </w:rPr>
              <w:t>Secondary bacterial skin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Superinfection of open zoster lesions (commonly staphylococcal/streptococcal) delays healing and increases scarring.</w:t>
            </w:r>
          </w:p>
          <w:p>
            <w:pPr>
              <w:spacing w:after="40" w:before="0" w:line="259" w:lineRule="auto"/>
            </w:pPr>
            <w:r>
              <w:rPr>
                <w:rFonts w:ascii="Calibri" w:hAnsi="Calibri"/>
                <w:b/>
                <w:i w:val="0"/>
                <w:color w:val="212121"/>
                <w:sz w:val="19"/>
              </w:rPr>
              <w:t>~3.5-21% of Indian cases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shingles is reactivation of the chickenpox virus you already carry, not a new infection, and that risk rises with age and weakened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care within 72 hours of the first blisters, as starting antiviral treatment early shortens the illness and reduces the risk of lingering nerve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any red-flag features checked urgently: rash near or on the eye/tip of the nose, facial weakness with ear pain, a rash spreading widely, or severe headache/confusion.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the recombinant zoster vaccine (2 doses) if you are 50 or older, or 19 and older with a weakened immune system, to prevent shingles and postherpetic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rash covered until lesions crust, wash hands well, and avoid contact with newborns, pregnant women who have not had chickenpox, and immunocompromised people, who could catch chickenpox from the fluid.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recurrent, widespread or early-age shingles warrants tests for diabetes and HIV and a review of immune-suppressing medicines.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&gt;= 50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of susceptible people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antiviral course (aciclovir, valaciclovir or famciclovir) even after blisters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dermatomal pain lasting beyond a month, as postherpetic neuralgia can be treated with specific nerve-pain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apply unproven traditional pastes or occlusive home remedies to lesions, which increase the risk of secondary bacterial infection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eye or ENT follow-up as advised for zoster affecting the eye or ear to protect vision, hearing and facial-nerve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zoster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severe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HZO / Ramsay Hunt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(for example brisk walking most days) to support immune function and control diabetes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extreme physical overexertion and exhaustion, which can transiently depress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gentle activity gradually during recovery, protecting the affected skin from friction until lesions heal.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&gt;= 50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zoster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protein-adequate diet with fruits and vegetables rich in vitamin C, zinc and vitamin D to support cell-mediated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low-glycaemic, high-fibre pattern and control portions to prevent or manage diabetes, a key risk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and micronutrient deficiencies, which are common in parts of India and weaken antiviral immune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alcohol and ultra-processed foods that impair immunity and glycaemic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Optimize glycaemic control through diet during and after an episode to speed healing and reduce PHN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fluids and micronutrients during the acute illness to support skin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nutritious meals despite pain-related appetite loss, using soft foods if oral/facial zoster limits intake.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zoster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oral/facial zoster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maintain the cell-mediated immunity that keeps the virus dormant.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particularly if managing diabetes or chronic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&gt;= 50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stressed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adequately at night, as zoster and postherpetic neuralgia commonly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loose bedding/clothing over allodynic skin and discuss neuropathic-pain medicines that also aid sleep with your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zoster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bidi/tobacco use to improve immune function, microcirculation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quitlines,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especially if you have COPD or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as heavy use impairs immunity, nutrition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during active infection and while taking prescribed medicines,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or recurrent zoster</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through relaxation, exercise, adequate sleep and social support, since stress can precipitate reactivation.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anxiety or depression, which both raise vulnerability and result from chronic zoster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coping strategies and pacing for those living with postherpetic neuralgia.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chronic pain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insomnia in patients with prolonged or postherpetic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multidisciplinary pain management (pharmacological plus psychological support) for refractory PHN.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about the typically self-limited course of uncomplicated zoster to reduce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pain-related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shingles/hcp/clinical-overview/index.html" TargetMode="External"/><Relationship Id="rId10" Type="http://schemas.openxmlformats.org/officeDocument/2006/relationships/hyperlink" Target="https://pmc.ncbi.nlm.nih.gov/articles/PMC8828134/" TargetMode="External"/><Relationship Id="rId11" Type="http://schemas.openxmlformats.org/officeDocument/2006/relationships/hyperlink" Target="https://brieflands.com/journals/jssc/articles/122913" TargetMode="External"/><Relationship Id="rId12" Type="http://schemas.openxmlformats.org/officeDocument/2006/relationships/hyperlink" Target="https://www.cdc.gov/shingles/hcp/vaccine-considerations/index.html" TargetMode="External"/><Relationship Id="rId13" Type="http://schemas.openxmlformats.org/officeDocument/2006/relationships/hyperlink" Target="https://www.mdpi.com/2079-9721/13/3/71" TargetMode="External"/><Relationship Id="rId14" Type="http://schemas.openxmlformats.org/officeDocument/2006/relationships/hyperlink" Target="https://www.ncbi.nlm.nih.gov/books/NBK493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