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Viral Warts (Verruca)</w:t>
      </w:r>
    </w:p>
    <w:p>
      <w:pPr>
        <w:spacing w:before="0" w:after="160"/>
      </w:pPr>
      <w:r>
        <w:rPr>
          <w:rFonts w:ascii="Calibri" w:hAnsi="Calibri"/>
          <w:b/>
          <w:i w:val="0"/>
          <w:color w:val="212121"/>
          <w:sz w:val="22"/>
        </w:rPr>
        <w:t xml:space="preserve">AKA </w:t>
      </w:r>
      <w:r>
        <w:rPr>
          <w:rFonts w:ascii="Calibri" w:hAnsi="Calibri"/>
          <w:b w:val="0"/>
          <w:i w:val="0"/>
          <w:color w:val="212121"/>
          <w:sz w:val="22"/>
        </w:rPr>
        <w:t>i.e., Verruca, Common wart (verruca vulgaris), Plantar wart / verruca plantaris (foot wart), Flat or plane wart (verruca plana), Filiform wart, Periungual wart, Butcher's wart, Mosaic wart, Palmoplantar warts, HPV skin warts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Viral warts (verrucae) are benign, hyperkeratotic epidermal proliferations caused by infection of keratinocytes with the human papillomavirus (HPV), predominantly the low-risk cutaneous ('non-genital') types. HPV enters basal keratinocytes through small breaks in the skin barrier and drives epidermal hyperplasia, producing firm papules or plaques with a rough, cauliflower-like surface, thrombosed surface capillaries seen as black or red dots, and loss of the normal skin lines. They are classified clinically by morphology and site - common (verruca vulgaris), plantar (verruca plantaris), flat/plane (verruca plana), filiform and periungual. Although benign and often self-limiting, warts are contagious, spread by direct contact, fomites and autoinoculation, and may be painful, disfiguring, recurrent or recalcitrant, especially in immunosuppressed people. (This profile covers cutaneous, non-genital warts; anogenital warts are considered separately.)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Viral warts are among the commonest viral skin infections seen in Indian dermatology outpatient clinics, affecting all ages but concentrated in children, adolescents and young adults. Globally, cutaneous warts affect roughly 7-12% of the general population and about 10-20% of school-aged children, with incidence peaking between 12 and 16 years of age and a broadly equal male-to-female distribution. In India warts are a frequent reason for dermatology consultation; a cross-sectional study of undergraduate nursing students in Tamil Nadu found palmoplantar warts in 10.4% (34 of 328), illustrating how shared hostel and institutional living amplifies person-to-person and fomite spread. Warts are commoner and more extensive in immunosuppressed groups (people living with HIV, organ-transplant recipients), in occupational meat, fish and poultry handlers (butcher's warts), and in those using communal showers, swimming pools and barefoot wet areas. Although about two-thirds of warts in immunocompetent hosts clear spontaneously within two years, they frequently recur and can substantially impair quality of life (mean Dermatology Life Quality Index around 13 for multiple extragenital warts).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Viral warts are diagnosed clinically in the great majority of cases from their characteristic morphology, with simple bedside tests and, occasionally, histopathology used to confirm the diagnosis or exclude mimics: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morphology is usually diagnostic: a firm, well-demarcated, hyperkeratotic (rough, cauliflower-like) papule or plaque with disruption of the normal skin lines (dermatoglyphics) over the lesion;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Paring or gentle shaving of the surface reveals thrombosed capillaries as pinpoint black or red dots with pinpoint bleeding - a key feature distinguishing a plantar wart from a corn or callus, which show a translucent central core and preserved skin lines;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Plantar warts are tender on lateral (side-to-side) pinch pressure, whereas corns are more painful on direct vertical pressure;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Dermoscopy shows multiple red-to-black dots (thrombosed capillaries) on a whitish-yellow papilliform background with interruption of skin markings; plane warts show regularly distributed small red dots;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biopsy with histopathology is reserved for atypical, solitary, pigmented or treatment-resistant lesions to exclude malignancy, and shows hyperkeratosis, parakeratosis, papillomatosis, acanthosis, hypergranulosis and koilocytes (vacuolated keratinocytes);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HPV DNA detection and typing by PCR is used mainly for research, in epidermodysplasia verruciformis, or in extensive disease in the immunocompromised;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extensive, atypical, recurrent or recalcitrant warts, screen for underlying immunosuppression (HIV testing and, where indicated, blood glucose or HbA1c).</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Cutaneous viral warts are classified by their clinical morphology and site, which correlate broadly with the causative HPV type:</w:t>
      </w:r>
    </w:p>
    <w:p>
      <w:pPr>
        <w:spacing w:before="0" w:after="80"/>
      </w:pPr>
      <w:r>
        <w:rPr>
          <w:rFonts w:ascii="Calibri" w:hAnsi="Calibri"/>
          <w:b w:val="0"/>
          <w:i w:val="0"/>
          <w:color w:val="212121"/>
          <w:sz w:val="21"/>
        </w:rPr>
        <w:t>(1) Common wart (verruca vulgaris) - firm, dome-shaped, hyperkeratotic papules with a rough surface, usually on the hands, fingers, periungual skin, elbows and knees; most often caused by HPV types 2, 4, 1, 27 and 57;</w:t>
      </w:r>
    </w:p>
    <w:p>
      <w:pPr>
        <w:spacing w:before="0" w:after="80"/>
      </w:pPr>
      <w:r>
        <w:rPr>
          <w:rFonts w:ascii="Calibri" w:hAnsi="Calibri"/>
          <w:b w:val="0"/>
          <w:i w:val="0"/>
          <w:color w:val="212121"/>
          <w:sz w:val="21"/>
        </w:rPr>
        <w:t>(2) Plantar wart (verruca plantaris) - inward-growing, frequently painful hyperkeratotic lesions on the weight-bearing sole, ringed by callus; deep single lesions (myrmecia) are usually HPV 1, coalescing 'mosaic' warts are typically HPV 2, and HPV 4, 27, 57, 60 and 63 also occur;</w:t>
      </w:r>
    </w:p>
    <w:p>
      <w:pPr>
        <w:spacing w:before="0" w:after="80"/>
      </w:pPr>
      <w:r>
        <w:rPr>
          <w:rFonts w:ascii="Calibri" w:hAnsi="Calibri"/>
          <w:b w:val="0"/>
          <w:i w:val="0"/>
          <w:color w:val="212121"/>
          <w:sz w:val="21"/>
        </w:rPr>
        <w:t>(3) Flat / plane wart (verruca plana) - multiple small, flat-topped, skin-coloured to brownish papules on the face, dorsa of the hands and shins, common in children and young adults and often spread in a linear (Koebner) pattern by shaving or scratching; HPV 3, 10 and 28;</w:t>
      </w:r>
    </w:p>
    <w:p>
      <w:pPr>
        <w:spacing w:before="0" w:after="80"/>
      </w:pPr>
      <w:r>
        <w:rPr>
          <w:rFonts w:ascii="Calibri" w:hAnsi="Calibri"/>
          <w:b w:val="0"/>
          <w:i w:val="0"/>
          <w:color w:val="212121"/>
          <w:sz w:val="21"/>
        </w:rPr>
        <w:t>(4) Filiform wart - finger-like (frond) projections favouring the face, eyelids, lips and neck;</w:t>
      </w:r>
    </w:p>
    <w:p>
      <w:pPr>
        <w:spacing w:before="0" w:after="80"/>
      </w:pPr>
      <w:r>
        <w:rPr>
          <w:rFonts w:ascii="Calibri" w:hAnsi="Calibri"/>
          <w:b w:val="0"/>
          <w:i w:val="0"/>
          <w:color w:val="212121"/>
          <w:sz w:val="21"/>
        </w:rPr>
        <w:t>(5) Periungual and subungual warts - clustered around and under the nails, frequent in nail-biters and cuticle-pickers, and often recalcitrant;</w:t>
      </w:r>
    </w:p>
    <w:p>
      <w:pPr>
        <w:spacing w:before="0" w:after="80"/>
      </w:pPr>
      <w:r>
        <w:rPr>
          <w:rFonts w:ascii="Calibri" w:hAnsi="Calibri"/>
          <w:b w:val="0"/>
          <w:i w:val="0"/>
          <w:color w:val="212121"/>
          <w:sz w:val="21"/>
        </w:rPr>
        <w:t>(6) Special / syndromic forms - butcher's warts (HPV 7, and HPV 2) on the hands of meat, fish and poultry handlers; epidermodysplasia verruciformis, a rare inherited disorder (mutations in EVER1/EVER2, i.e. TMC6/TMC8) with widespread flat warts from beta-HPV types 5 and 8 and a high risk of squamous cell carcinoma on sun-exposed skin; and focal epithelial hyperplasia (Heck disease, HPV 13 and 32) of the oral mucosa. Anogenital warts (condyloma acuminata, HPV 6 and 11) are considered separately.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Cutaneous human papillomavirus (HPV): Infection of basal keratinocytes by low-risk cutaneous HPV types (chiefly 1, 2, 3, 4, 7, 10, 27 and 57) drives benign epidermal hyperplasia; the infecting type largely determines the clinical form of wart.</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Breach of the skin barrier: HPV enters through micro-abrasions, cuts and macerated or wet skin; intact skin is relatively resistant, so trauma and moisture act as essential co-factors.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Autoinoculation and Koebnerisation: Scratching, shaving, nail-biting and picking spread the virus to adjacent or distant skin, producing satellite and linear warts.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Direct and indirect (fomite) transmission: Skin-to-skin contact and contaminated surfaces - communal shower and pool floors, shared towels, razors, nail clippers and footwear - transmit the virus.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Impaired cell-mediated immunity: HIV, organ transplantation, immunosuppressive or biologic therapy, chemotherapy, diabetes and inherited immune defects permit numerous, extensive and recalcitrant warts.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Local moisture and hyperhidrosis: Sweaty, occluded feet and hands and frequent wet work macerate the skin and favour plantar and palmar warts.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Occupational exposure: Meat, fish and poultry handlers have a high incidence of hand warts (butcher's warts), linked to HPV 7 and to repeated minor trauma in a moist environment.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School-age children and adolescents</w:t>
            </w:r>
          </w:p>
        </w:tc>
        <w:tc>
          <w:tcPr>
            <w:tcW w:type="dxa" w:w="4276"/>
            <w:vAlign w:val="top"/>
          </w:tcPr>
          <w:p>
            <w:pPr>
              <w:spacing w:after="60" w:line="259" w:lineRule="auto"/>
            </w:pPr>
            <w:r>
              <w:rPr>
                <w:rFonts w:ascii="Calibri" w:hAnsi="Calibri"/>
                <w:b w:val="0"/>
                <w:i w:val="0"/>
                <w:color w:val="212121"/>
                <w:sz w:val="19"/>
              </w:rPr>
              <w:t>Warts are most common in children and teenagers because of frequent skin trauma, close contact at school and play, communal activities and immunity that has not yet controlled HPV.</w:t>
            </w:r>
          </w:p>
          <w:p>
            <w:pPr>
              <w:spacing w:after="40" w:before="60" w:line="259" w:lineRule="auto"/>
            </w:pPr>
            <w:r>
              <w:rPr>
                <w:rFonts w:ascii="Calibri" w:hAnsi="Calibri"/>
                <w:b w:val="0"/>
                <w:i w:val="0"/>
                <w:color w:val="212121"/>
                <w:sz w:val="19"/>
              </w:rPr>
              <w:t>Cutaneous warts affect an estimated 10-20% of school-aged children, with incidence peaking between 12 and 16 years of age.</w:t>
            </w:r>
          </w:p>
          <w:p>
            <w:pPr>
              <w:spacing w:after="40" w:line="252" w:lineRule="auto"/>
            </w:pPr>
            <w:hyperlink r:id="rId9">
              <w:r>
                <w:rPr>
                  <w:rFonts w:ascii="Calibri" w:hAnsi="Calibri" w:cs="Calibri"/>
                  <w:sz w:val="18"/>
                  <w:color w:val="1155CC"/>
                  <w:u w:val="single"/>
                </w:rPr>
                <w:t xml:space="preserve">emedicine.medscape.com - nongenital warts epidemiology</w:t>
              </w:r>
            </w:hyperlink>
          </w:p>
          <w:p>
            <w:pPr>
              <w:spacing w:before="60" w:after="40"/>
            </w:pPr>
            <w:r>
              <w:rPr>
                <w:rFonts w:ascii="Calibri" w:hAnsi="Calibri"/>
                <w:b w:val="0"/>
                <w:i w:val="0"/>
                <w:color w:val="5A5A5A"/>
                <w:sz w:val="18"/>
              </w:rPr>
              <w:t>#warts  #verruca  #children  #adolescents  #HPV</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older adults</w:t>
            </w:r>
          </w:p>
        </w:tc>
        <w:tc>
          <w:tcPr>
            <w:tcW w:type="dxa" w:w="4276"/>
            <w:vAlign w:val="top"/>
          </w:tcPr>
          <w:p>
            <w:pPr>
              <w:spacing w:after="60" w:line="259" w:lineRule="auto"/>
            </w:pPr>
            <w:r>
              <w:rPr>
                <w:rFonts w:ascii="Calibri" w:hAnsi="Calibri"/>
                <w:b w:val="0"/>
                <w:i w:val="0"/>
                <w:color w:val="212121"/>
                <w:sz w:val="19"/>
              </w:rPr>
              <w:t>Waning cell-mediated immunity (immunosenescence), a less robust skin barrier and comorbidities such as diabetes make warts in older adults more persistent and treatment-resistant, and long-standing lesions carry a small risk of malignant change.</w:t>
            </w:r>
          </w:p>
          <w:p>
            <w:pPr>
              <w:spacing w:after="40" w:before="60" w:line="259" w:lineRule="auto"/>
            </w:pPr>
            <w:r>
              <w:rPr>
                <w:rFonts w:ascii="Calibri" w:hAnsi="Calibri"/>
                <w:b w:val="0"/>
                <w:i w:val="0"/>
                <w:color w:val="212121"/>
                <w:sz w:val="19"/>
              </w:rPr>
              <w:t>Warts are less frequent but often more chronic and recalcitrant in the elderly, in whom immune senescence and comorbidities impair viral clearance (general clinical evidence).</w:t>
            </w:r>
          </w:p>
          <w:p>
            <w:pPr>
              <w:spacing w:before="60" w:after="40"/>
            </w:pPr>
            <w:r>
              <w:rPr>
                <w:rFonts w:ascii="Calibri" w:hAnsi="Calibri"/>
                <w:b w:val="0"/>
                <w:i w:val="0"/>
                <w:color w:val="5A5A5A"/>
                <w:sz w:val="18"/>
              </w:rPr>
              <w:t>#elderly  #immunosenescence  #recalcitrant  #recurrence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Both sexes (approximately equal)</w:t>
            </w:r>
          </w:p>
        </w:tc>
        <w:tc>
          <w:tcPr>
            <w:tcW w:type="dxa" w:w="4276"/>
            <w:vAlign w:val="top"/>
          </w:tcPr>
          <w:p>
            <w:pPr>
              <w:spacing w:after="60" w:line="259" w:lineRule="auto"/>
            </w:pPr>
            <w:r>
              <w:rPr>
                <w:rFonts w:ascii="Calibri" w:hAnsi="Calibri"/>
                <w:b w:val="0"/>
                <w:i w:val="0"/>
                <w:color w:val="212121"/>
                <w:sz w:val="19"/>
              </w:rPr>
              <w:t>Cutaneous warts affect males and females at broadly similar rates; small differences in some clinic series reflect occupational and behavioural exposure (nail-biting, wet work, meat handling) rather than a true sex predisposition.</w:t>
            </w:r>
          </w:p>
          <w:p>
            <w:pPr>
              <w:spacing w:after="40" w:before="60" w:line="259" w:lineRule="auto"/>
            </w:pPr>
            <w:r>
              <w:rPr>
                <w:rFonts w:ascii="Calibri" w:hAnsi="Calibri"/>
                <w:b w:val="0"/>
                <w:i w:val="0"/>
                <w:color w:val="212121"/>
                <w:sz w:val="19"/>
              </w:rPr>
              <w:t>The male-to-female ratio for common warts is approximately 1:1.</w:t>
            </w:r>
          </w:p>
          <w:p>
            <w:pPr>
              <w:spacing w:after="40" w:line="252" w:lineRule="auto"/>
            </w:pPr>
            <w:hyperlink r:id="rId10">
              <w:r>
                <w:rPr>
                  <w:rFonts w:ascii="Calibri" w:hAnsi="Calibri" w:cs="Calibri"/>
                  <w:sz w:val="18"/>
                  <w:color w:val="1155CC"/>
                  <w:u w:val="single"/>
                </w:rPr>
                <w:t xml:space="preserve">ncbi.nlm.nih.gov - Wart (StatPearls) epidemiology</w:t>
              </w:r>
            </w:hyperlink>
          </w:p>
          <w:p>
            <w:pPr>
              <w:spacing w:before="60" w:after="40"/>
            </w:pPr>
            <w:r>
              <w:rPr>
                <w:rFonts w:ascii="Calibri" w:hAnsi="Calibri"/>
                <w:b w:val="0"/>
                <w:i w:val="0"/>
                <w:color w:val="5A5A5A"/>
                <w:sz w:val="18"/>
              </w:rPr>
              <w:t>#bothsexes  #equalratio  #exposure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Crowded households, hostels and institutions</w:t>
            </w:r>
          </w:p>
        </w:tc>
        <w:tc>
          <w:tcPr>
            <w:tcW w:type="dxa" w:w="4276"/>
            <w:vAlign w:val="top"/>
          </w:tcPr>
          <w:p>
            <w:pPr>
              <w:spacing w:after="60" w:line="259" w:lineRule="auto"/>
            </w:pPr>
            <w:r>
              <w:rPr>
                <w:rFonts w:ascii="Calibri" w:hAnsi="Calibri"/>
                <w:b w:val="0"/>
                <w:i w:val="0"/>
                <w:color w:val="212121"/>
                <w:sz w:val="19"/>
              </w:rPr>
              <w:t>Overcrowding, shared bathing and sleeping facilities, communal footwear and delayed treatment increase person-to-person and fomite transmission in lower-resource and institutional settings.</w:t>
            </w:r>
          </w:p>
          <w:p>
            <w:pPr>
              <w:spacing w:after="40" w:before="60" w:line="259" w:lineRule="auto"/>
            </w:pPr>
            <w:r>
              <w:rPr>
                <w:rFonts w:ascii="Calibri" w:hAnsi="Calibri"/>
                <w:b w:val="0"/>
                <w:i w:val="0"/>
                <w:color w:val="212121"/>
                <w:sz w:val="19"/>
              </w:rPr>
              <w:t>Clustering of palmoplantar warts (10.4%) was documented among nursing students sharing hostel facilities in Tamil Nadu, India.</w:t>
            </w:r>
          </w:p>
          <w:p>
            <w:pPr>
              <w:spacing w:after="40" w:line="252" w:lineRule="auto"/>
            </w:pPr>
            <w:hyperlink r:id="rId11">
              <w:r>
                <w:rPr>
                  <w:rFonts w:ascii="Calibri" w:hAnsi="Calibri" w:cs="Calibri"/>
                  <w:sz w:val="18"/>
                  <w:color w:val="1155CC"/>
                  <w:u w:val="single"/>
                </w:rPr>
                <w:t xml:space="preserve">ijord.com - palmoplantar warts in nursing students, India</w:t>
              </w:r>
            </w:hyperlink>
          </w:p>
          <w:p>
            <w:pPr>
              <w:spacing w:before="60" w:after="40"/>
            </w:pPr>
            <w:r>
              <w:rPr>
                <w:rFonts w:ascii="Calibri" w:hAnsi="Calibri"/>
                <w:b w:val="0"/>
                <w:i w:val="0"/>
                <w:color w:val="5A5A5A"/>
                <w:sz w:val="18"/>
              </w:rPr>
              <w:t>#overcrowding  #hostels  #fomites  #lowSES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Climate</w:t>
            </w:r>
          </w:p>
        </w:tc>
        <w:tc>
          <w:tcPr>
            <w:tcW w:type="dxa" w:w="2160"/>
            <w:vAlign w:val="top"/>
          </w:tcPr>
          <w:p>
            <w:pPr>
              <w:spacing w:after="40" w:before="0" w:line="259" w:lineRule="auto"/>
            </w:pPr>
            <w:r>
              <w:rPr>
                <w:rFonts w:ascii="Calibri" w:hAnsi="Calibri"/>
                <w:b w:val="0"/>
                <w:i w:val="0"/>
                <w:color w:val="212121"/>
                <w:sz w:val="19"/>
              </w:rPr>
              <w:t>Hot, humid tropical regions of India</w:t>
            </w:r>
          </w:p>
        </w:tc>
        <w:tc>
          <w:tcPr>
            <w:tcW w:type="dxa" w:w="4276"/>
            <w:vAlign w:val="top"/>
          </w:tcPr>
          <w:p>
            <w:pPr>
              <w:spacing w:after="60" w:line="259" w:lineRule="auto"/>
            </w:pPr>
            <w:r>
              <w:rPr>
                <w:rFonts w:ascii="Calibri" w:hAnsi="Calibri"/>
                <w:b w:val="0"/>
                <w:i w:val="0"/>
                <w:color w:val="212121"/>
                <w:sz w:val="19"/>
              </w:rPr>
              <w:t>A hot, humid climate promotes sweating, foot maceration and prolonged barefoot contact with warm wet surfaces, all of which favour plantar and palmar warts; occlusive footwear worsens hyperhidrosis.</w:t>
            </w:r>
          </w:p>
          <w:p>
            <w:pPr>
              <w:spacing w:after="40" w:before="60" w:line="259" w:lineRule="auto"/>
            </w:pPr>
            <w:r>
              <w:rPr>
                <w:rFonts w:ascii="Calibri" w:hAnsi="Calibri"/>
                <w:b w:val="0"/>
                <w:i w:val="0"/>
                <w:color w:val="212121"/>
                <w:sz w:val="19"/>
              </w:rPr>
              <w:t>Heat, humidity, hyperhidrosis and frequent barefoot exposure to wet communal surfaces are recognised facilitators of plantar wart acquisition (general clinical evidence).</w:t>
            </w:r>
          </w:p>
          <w:p>
            <w:pPr>
              <w:spacing w:before="60" w:after="40"/>
            </w:pPr>
            <w:r>
              <w:rPr>
                <w:rFonts w:ascii="Calibri" w:hAnsi="Calibri"/>
                <w:b w:val="0"/>
                <w:i w:val="0"/>
                <w:color w:val="5A5A5A"/>
                <w:sz w:val="18"/>
              </w:rPr>
              <w:t>#tropical  #humidity  #hyperhidrosis  #plantarwarts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Setting</w:t>
            </w:r>
          </w:p>
        </w:tc>
        <w:tc>
          <w:tcPr>
            <w:tcW w:type="dxa" w:w="2160"/>
            <w:vAlign w:val="top"/>
          </w:tcPr>
          <w:p>
            <w:pPr>
              <w:spacing w:after="40" w:before="0" w:line="259" w:lineRule="auto"/>
            </w:pPr>
            <w:r>
              <w:rPr>
                <w:rFonts w:ascii="Calibri" w:hAnsi="Calibri"/>
                <w:b w:val="0"/>
                <w:i w:val="0"/>
                <w:color w:val="212121"/>
                <w:sz w:val="19"/>
              </w:rPr>
              <w:t>Boarding schools, gyms and swimming facilities</w:t>
            </w:r>
          </w:p>
        </w:tc>
        <w:tc>
          <w:tcPr>
            <w:tcW w:type="dxa" w:w="4276"/>
            <w:vAlign w:val="top"/>
          </w:tcPr>
          <w:p>
            <w:pPr>
              <w:spacing w:after="60" w:line="259" w:lineRule="auto"/>
            </w:pPr>
            <w:r>
              <w:rPr>
                <w:rFonts w:ascii="Calibri" w:hAnsi="Calibri"/>
                <w:b w:val="0"/>
                <w:i w:val="0"/>
                <w:color w:val="212121"/>
                <w:sz w:val="19"/>
              </w:rPr>
              <w:t>Shared showers, changing rooms, swimming-pool decks and gymnasium floors are classic sites of indirect (fomite) HPV transmission, especially where people walk barefoot.</w:t>
            </w:r>
          </w:p>
          <w:p>
            <w:pPr>
              <w:spacing w:after="40" w:before="60" w:line="259" w:lineRule="auto"/>
            </w:pPr>
            <w:r>
              <w:rPr>
                <w:rFonts w:ascii="Calibri" w:hAnsi="Calibri"/>
                <w:b w:val="0"/>
                <w:i w:val="0"/>
                <w:color w:val="212121"/>
                <w:sz w:val="19"/>
              </w:rPr>
              <w:t>Use of communal showers and a history of prior warts are established risk factors for plantar warts.</w:t>
            </w:r>
          </w:p>
          <w:p>
            <w:pPr>
              <w:spacing w:after="40" w:line="252" w:lineRule="auto"/>
            </w:pPr>
            <w:hyperlink r:id="rId12">
              <w:r>
                <w:rPr>
                  <w:rFonts w:ascii="Calibri" w:hAnsi="Calibri" w:cs="Calibri"/>
                  <w:sz w:val="18"/>
                  <w:color w:val="1155CC"/>
                  <w:u w:val="single"/>
                </w:rPr>
                <w:t xml:space="preserve">en.wikipedia.org - plantar wart risk factors</w:t>
              </w:r>
            </w:hyperlink>
          </w:p>
          <w:p>
            <w:pPr>
              <w:spacing w:before="60" w:after="40"/>
            </w:pPr>
            <w:r>
              <w:rPr>
                <w:rFonts w:ascii="Calibri" w:hAnsi="Calibri"/>
                <w:b w:val="0"/>
                <w:i w:val="0"/>
                <w:color w:val="5A5A5A"/>
                <w:sz w:val="18"/>
              </w:rPr>
              <w:t>#communalshowers  #swimmingpool  #gym  #fomite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Meat, fish and poultry handlers (butchers)</w:t>
            </w:r>
          </w:p>
        </w:tc>
        <w:tc>
          <w:tcPr>
            <w:tcW w:type="dxa" w:w="4276"/>
            <w:vAlign w:val="top"/>
          </w:tcPr>
          <w:p>
            <w:pPr>
              <w:spacing w:after="60" w:line="259" w:lineRule="auto"/>
            </w:pPr>
            <w:r>
              <w:rPr>
                <w:rFonts w:ascii="Calibri" w:hAnsi="Calibri"/>
                <w:b w:val="0"/>
                <w:i w:val="0"/>
                <w:color w:val="212121"/>
                <w:sz w:val="19"/>
              </w:rPr>
              <w:t>Repeated minor cuts and a constantly moist working environment predispose meat, fish and poultry handlers to numerous hand warts ('butcher's warts'), classically associated with HPV type 7.</w:t>
            </w:r>
          </w:p>
          <w:p>
            <w:pPr>
              <w:spacing w:after="40" w:before="60" w:line="259" w:lineRule="auto"/>
            </w:pPr>
            <w:r>
              <w:rPr>
                <w:rFonts w:ascii="Calibri" w:hAnsi="Calibri"/>
                <w:b w:val="0"/>
                <w:i w:val="0"/>
                <w:color w:val="212121"/>
                <w:sz w:val="19"/>
              </w:rPr>
              <w:t>Butcher's warts on the hands of meat handlers are strongly linked to HPV 7, and warts are recognised as more prevalent in meat handlers.</w:t>
            </w:r>
          </w:p>
          <w:p>
            <w:pPr>
              <w:spacing w:after="40" w:line="252" w:lineRule="auto"/>
            </w:pPr>
            <w:hyperlink r:id="rId10">
              <w:r>
                <w:rPr>
                  <w:rFonts w:ascii="Calibri" w:hAnsi="Calibri" w:cs="Calibri"/>
                  <w:sz w:val="18"/>
                  <w:color w:val="1155CC"/>
                  <w:u w:val="single"/>
                </w:rPr>
                <w:t xml:space="preserve">ncbi.nlm.nih.gov - Wart (StatPearls): butcher's warts, HPV 7</w:t>
              </w:r>
            </w:hyperlink>
          </w:p>
          <w:p>
            <w:pPr>
              <w:spacing w:before="60" w:after="40"/>
            </w:pPr>
            <w:r>
              <w:rPr>
                <w:rFonts w:ascii="Calibri" w:hAnsi="Calibri"/>
                <w:b w:val="0"/>
                <w:i w:val="0"/>
                <w:color w:val="5A5A5A"/>
                <w:sz w:val="18"/>
              </w:rPr>
              <w:t>#butcherswarts  #HPV7  #meathandlers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Communal bathing and swimming</w:t>
            </w:r>
          </w:p>
        </w:tc>
        <w:tc>
          <w:tcPr>
            <w:tcW w:type="dxa" w:w="2160"/>
            <w:vAlign w:val="top"/>
          </w:tcPr>
          <w:p>
            <w:pPr>
              <w:spacing w:after="40" w:before="0" w:line="259" w:lineRule="auto"/>
            </w:pPr>
            <w:r>
              <w:rPr>
                <w:rFonts w:ascii="Calibri" w:hAnsi="Calibri"/>
                <w:b w:val="0"/>
                <w:i w:val="0"/>
                <w:color w:val="212121"/>
                <w:sz w:val="19"/>
              </w:rPr>
              <w:t>Swimmers, gym users, barefoot bathers</w:t>
            </w:r>
          </w:p>
        </w:tc>
        <w:tc>
          <w:tcPr>
            <w:tcW w:type="dxa" w:w="4276"/>
            <w:vAlign w:val="top"/>
          </w:tcPr>
          <w:p>
            <w:pPr>
              <w:spacing w:after="60" w:line="259" w:lineRule="auto"/>
            </w:pPr>
            <w:r>
              <w:rPr>
                <w:rFonts w:ascii="Calibri" w:hAnsi="Calibri"/>
                <w:b w:val="0"/>
                <w:i w:val="0"/>
                <w:color w:val="212121"/>
                <w:sz w:val="19"/>
              </w:rPr>
              <w:t>Walking barefoot on contaminated pool decks, communal showers and changing-room floors transmits plantar-wart HPV through macerated skin; covering lesions and wearing sandals reduces spread.</w:t>
            </w:r>
          </w:p>
          <w:p>
            <w:pPr>
              <w:spacing w:after="40" w:before="60" w:line="259" w:lineRule="auto"/>
            </w:pPr>
            <w:r>
              <w:rPr>
                <w:rFonts w:ascii="Calibri" w:hAnsi="Calibri"/>
                <w:b w:val="0"/>
                <w:i w:val="0"/>
                <w:color w:val="212121"/>
                <w:sz w:val="19"/>
              </w:rPr>
              <w:t>Communal showers, swimming pools and shared wet surfaces are established transmission routes for plantar warts.</w:t>
            </w:r>
          </w:p>
          <w:p>
            <w:pPr>
              <w:spacing w:after="40" w:line="252" w:lineRule="auto"/>
            </w:pPr>
            <w:hyperlink r:id="rId12">
              <w:r>
                <w:rPr>
                  <w:rFonts w:ascii="Calibri" w:hAnsi="Calibri" w:cs="Calibri"/>
                  <w:sz w:val="18"/>
                  <w:color w:val="1155CC"/>
                  <w:u w:val="single"/>
                </w:rPr>
                <w:t xml:space="preserve">en.wikipedia.org - plantar wart transmission</w:t>
              </w:r>
            </w:hyperlink>
          </w:p>
          <w:p>
            <w:pPr>
              <w:spacing w:before="60" w:after="40"/>
            </w:pPr>
            <w:r>
              <w:rPr>
                <w:rFonts w:ascii="Calibri" w:hAnsi="Calibri"/>
                <w:b w:val="0"/>
                <w:i w:val="0"/>
                <w:color w:val="5A5A5A"/>
                <w:sz w:val="18"/>
              </w:rPr>
              <w:t>#swimmers  #barefoot  #plantarwarts  #pooldeck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Skin trauma and nail-biting</w:t>
            </w:r>
          </w:p>
        </w:tc>
        <w:tc>
          <w:tcPr>
            <w:tcW w:type="dxa" w:w="2160"/>
            <w:vAlign w:val="top"/>
          </w:tcPr>
          <w:p>
            <w:pPr>
              <w:spacing w:after="40" w:before="0" w:line="259" w:lineRule="auto"/>
            </w:pPr>
            <w:r>
              <w:rPr>
                <w:rFonts w:ascii="Calibri" w:hAnsi="Calibri"/>
                <w:b w:val="0"/>
                <w:i w:val="0"/>
                <w:color w:val="212121"/>
                <w:sz w:val="19"/>
              </w:rPr>
              <w:t>Nail-biters, cuticle-pickers, shavers</w:t>
            </w:r>
          </w:p>
        </w:tc>
        <w:tc>
          <w:tcPr>
            <w:tcW w:type="dxa" w:w="4276"/>
            <w:vAlign w:val="top"/>
          </w:tcPr>
          <w:p>
            <w:pPr>
              <w:spacing w:after="60" w:line="259" w:lineRule="auto"/>
            </w:pPr>
            <w:r>
              <w:rPr>
                <w:rFonts w:ascii="Calibri" w:hAnsi="Calibri"/>
                <w:b w:val="0"/>
                <w:i w:val="0"/>
                <w:color w:val="212121"/>
                <w:sz w:val="19"/>
              </w:rPr>
              <w:t>Nail-biting, cuticle-picking, shaving over lesions and other repeated skin trauma inoculate HPV and spread warts by Koebnerisation, producing periungual warts and linear satellite lesions.</w:t>
            </w:r>
          </w:p>
          <w:p>
            <w:pPr>
              <w:spacing w:after="40" w:before="60" w:line="259" w:lineRule="auto"/>
            </w:pPr>
            <w:r>
              <w:rPr>
                <w:rFonts w:ascii="Calibri" w:hAnsi="Calibri"/>
                <w:b w:val="0"/>
                <w:i w:val="0"/>
                <w:color w:val="212121"/>
                <w:sz w:val="19"/>
              </w:rPr>
              <w:t>Nail biting, skin trauma, maceration and frequent wet work are recognised predisposing factors for warts.</w:t>
            </w:r>
          </w:p>
          <w:p>
            <w:pPr>
              <w:spacing w:after="40" w:line="252" w:lineRule="auto"/>
            </w:pPr>
            <w:hyperlink r:id="rId9">
              <w:r>
                <w:rPr>
                  <w:rFonts w:ascii="Calibri" w:hAnsi="Calibri" w:cs="Calibri"/>
                  <w:sz w:val="18"/>
                  <w:color w:val="1155CC"/>
                  <w:u w:val="single"/>
                </w:rPr>
                <w:t xml:space="preserve">emedicine.medscape.com - wart risk factors</w:t>
              </w:r>
            </w:hyperlink>
          </w:p>
          <w:p>
            <w:pPr>
              <w:spacing w:before="60" w:after="40"/>
            </w:pPr>
            <w:r>
              <w:rPr>
                <w:rFonts w:ascii="Calibri" w:hAnsi="Calibri"/>
                <w:b w:val="0"/>
                <w:i w:val="0"/>
                <w:color w:val="5A5A5A"/>
                <w:sz w:val="18"/>
              </w:rPr>
              <w:t>#nailbiting  #Koebner  #autoinoculation  #periungual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Wet work and maceration</w:t>
            </w:r>
          </w:p>
        </w:tc>
        <w:tc>
          <w:tcPr>
            <w:tcW w:type="dxa" w:w="2160"/>
            <w:vAlign w:val="top"/>
          </w:tcPr>
          <w:p>
            <w:pPr>
              <w:spacing w:after="40" w:before="0" w:line="259" w:lineRule="auto"/>
            </w:pPr>
            <w:r>
              <w:rPr>
                <w:rFonts w:ascii="Calibri" w:hAnsi="Calibri"/>
                <w:b w:val="0"/>
                <w:i w:val="0"/>
                <w:color w:val="212121"/>
                <w:sz w:val="19"/>
              </w:rPr>
              <w:t>Homemakers, dishwashers, healthcare and cleaning staff</w:t>
            </w:r>
          </w:p>
        </w:tc>
        <w:tc>
          <w:tcPr>
            <w:tcW w:type="dxa" w:w="4276"/>
            <w:vAlign w:val="top"/>
          </w:tcPr>
          <w:p>
            <w:pPr>
              <w:spacing w:after="60" w:line="259" w:lineRule="auto"/>
            </w:pPr>
            <w:r>
              <w:rPr>
                <w:rFonts w:ascii="Calibri" w:hAnsi="Calibri"/>
                <w:b w:val="0"/>
                <w:i w:val="0"/>
                <w:color w:val="212121"/>
                <w:sz w:val="19"/>
              </w:rPr>
              <w:t>Prolonged hand immersion and occupational wet work macerate the skin barrier and favour palmar and periungual warts; frequent handwashing without proper drying compounds the risk.</w:t>
            </w:r>
          </w:p>
          <w:p>
            <w:pPr>
              <w:spacing w:after="40" w:before="60" w:line="259" w:lineRule="auto"/>
            </w:pPr>
            <w:r>
              <w:rPr>
                <w:rFonts w:ascii="Calibri" w:hAnsi="Calibri"/>
                <w:b w:val="0"/>
                <w:i w:val="0"/>
                <w:color w:val="212121"/>
                <w:sz w:val="19"/>
              </w:rPr>
              <w:t>Frequent wet work, maceration and hyperhidrosis are recognised predisposing factors for cutaneous warts.</w:t>
            </w:r>
          </w:p>
          <w:p>
            <w:pPr>
              <w:spacing w:after="40" w:line="252" w:lineRule="auto"/>
            </w:pPr>
            <w:hyperlink r:id="rId9">
              <w:r>
                <w:rPr>
                  <w:rFonts w:ascii="Calibri" w:hAnsi="Calibri" w:cs="Calibri"/>
                  <w:sz w:val="18"/>
                  <w:color w:val="1155CC"/>
                  <w:u w:val="single"/>
                </w:rPr>
                <w:t xml:space="preserve">emedicine.medscape.com - maceration and wet work</w:t>
              </w:r>
            </w:hyperlink>
          </w:p>
          <w:p>
            <w:pPr>
              <w:spacing w:before="60" w:after="40"/>
            </w:pPr>
            <w:r>
              <w:rPr>
                <w:rFonts w:ascii="Calibri" w:hAnsi="Calibri"/>
                <w:b w:val="0"/>
                <w:i w:val="0"/>
                <w:color w:val="5A5A5A"/>
                <w:sz w:val="18"/>
              </w:rPr>
              <w:t>#wetwork  #maceration  #palmarwarts  #handwashing</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Micronutrient status</w:t>
            </w:r>
          </w:p>
        </w:tc>
        <w:tc>
          <w:tcPr>
            <w:tcW w:type="dxa" w:w="2160"/>
            <w:vAlign w:val="top"/>
          </w:tcPr>
          <w:p>
            <w:pPr>
              <w:spacing w:after="40" w:before="0" w:line="259" w:lineRule="auto"/>
            </w:pPr>
            <w:r>
              <w:rPr>
                <w:rFonts w:ascii="Calibri" w:hAnsi="Calibri"/>
                <w:b w:val="0"/>
                <w:i w:val="0"/>
                <w:color w:val="212121"/>
                <w:sz w:val="19"/>
              </w:rPr>
              <w:t>Micronutrient-deficient or undernourished individuals</w:t>
            </w:r>
          </w:p>
        </w:tc>
        <w:tc>
          <w:tcPr>
            <w:tcW w:type="dxa" w:w="4276"/>
            <w:vAlign w:val="top"/>
          </w:tcPr>
          <w:p>
            <w:pPr>
              <w:spacing w:after="60" w:line="259" w:lineRule="auto"/>
            </w:pPr>
            <w:r>
              <w:rPr>
                <w:rFonts w:ascii="Calibri" w:hAnsi="Calibri"/>
                <w:b w:val="0"/>
                <w:i w:val="0"/>
                <w:color w:val="212121"/>
                <w:sz w:val="19"/>
              </w:rPr>
              <w:t>Deficiencies of vitamin A, vitamin D and zinc and general protein-energy undernutrition impair the cell-mediated immunity that clears HPV, which may contribute to more numerous or persistent warts; correcting deficiency and intralesional vitamin D have been explored as adjuncts.</w:t>
            </w:r>
          </w:p>
          <w:p>
            <w:pPr>
              <w:spacing w:after="40" w:before="60" w:line="259" w:lineRule="auto"/>
            </w:pPr>
            <w:r>
              <w:rPr>
                <w:rFonts w:ascii="Calibri" w:hAnsi="Calibri"/>
                <w:b w:val="0"/>
                <w:i w:val="0"/>
                <w:color w:val="212121"/>
                <w:sz w:val="19"/>
              </w:rPr>
              <w:t>Impaired cell-mediated immunity from micronutrient deficiency may promote persistence of warts; vitamin D and other immunotherapies are used as adjuncts (general clinical evidence).</w:t>
            </w:r>
          </w:p>
          <w:p>
            <w:pPr>
              <w:spacing w:before="60" w:after="40"/>
            </w:pPr>
            <w:r>
              <w:rPr>
                <w:rFonts w:ascii="Calibri" w:hAnsi="Calibri"/>
                <w:b w:val="0"/>
                <w:i w:val="0"/>
                <w:color w:val="5A5A5A"/>
                <w:sz w:val="18"/>
              </w:rPr>
              <w:t>#vitaminD  #zinc  #micronutrients  #cellmediatedimmunity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Body weight and foot loading</w:t>
            </w:r>
          </w:p>
        </w:tc>
        <w:tc>
          <w:tcPr>
            <w:tcW w:type="dxa" w:w="2160"/>
            <w:vAlign w:val="top"/>
          </w:tcPr>
          <w:p>
            <w:pPr>
              <w:spacing w:after="40" w:before="0" w:line="259" w:lineRule="auto"/>
            </w:pPr>
            <w:r>
              <w:rPr>
                <w:rFonts w:ascii="Calibri" w:hAnsi="Calibri"/>
                <w:b w:val="0"/>
                <w:i w:val="0"/>
                <w:color w:val="212121"/>
                <w:sz w:val="19"/>
              </w:rPr>
              <w:t>Overweight / obese individuals</w:t>
            </w:r>
          </w:p>
        </w:tc>
        <w:tc>
          <w:tcPr>
            <w:tcW w:type="dxa" w:w="4276"/>
            <w:vAlign w:val="top"/>
          </w:tcPr>
          <w:p>
            <w:pPr>
              <w:spacing w:after="60" w:line="259" w:lineRule="auto"/>
            </w:pPr>
            <w:r>
              <w:rPr>
                <w:rFonts w:ascii="Calibri" w:hAnsi="Calibri"/>
                <w:b w:val="0"/>
                <w:i w:val="0"/>
                <w:color w:val="212121"/>
                <w:sz w:val="19"/>
              </w:rPr>
              <w:t>Higher body weight raises plantar pressure and foot sweating, which can aggravate and perpetuate weight-bearing plantar warts, while obesity-related metabolic dysfunction may modestly impair immune clearance.</w:t>
            </w:r>
          </w:p>
          <w:p>
            <w:pPr>
              <w:spacing w:after="40" w:before="60" w:line="259" w:lineRule="auto"/>
            </w:pPr>
            <w:r>
              <w:rPr>
                <w:rFonts w:ascii="Calibri" w:hAnsi="Calibri"/>
                <w:b w:val="0"/>
                <w:i w:val="0"/>
                <w:color w:val="212121"/>
                <w:sz w:val="19"/>
              </w:rPr>
              <w:t>Increased plantar pressure and foot hyperhidrosis are recognised aggravators of weight-bearing plantar warts (general clinical evidence).</w:t>
            </w:r>
          </w:p>
          <w:p>
            <w:pPr>
              <w:spacing w:before="60" w:after="40"/>
            </w:pPr>
            <w:r>
              <w:rPr>
                <w:rFonts w:ascii="Calibri" w:hAnsi="Calibri"/>
                <w:b w:val="0"/>
                <w:i w:val="0"/>
                <w:color w:val="5A5A5A"/>
                <w:sz w:val="18"/>
              </w:rPr>
              <w:t>#obesity  #plantarpressure  #footloading  #weightbearing</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Inherited immune / EV defect</w:t>
            </w:r>
          </w:p>
        </w:tc>
        <w:tc>
          <w:tcPr>
            <w:tcW w:type="dxa" w:w="2160"/>
            <w:vAlign w:val="top"/>
          </w:tcPr>
          <w:p>
            <w:pPr>
              <w:spacing w:after="40" w:before="0" w:line="259" w:lineRule="auto"/>
            </w:pPr>
            <w:r>
              <w:rPr>
                <w:rFonts w:ascii="Calibri" w:hAnsi="Calibri"/>
                <w:b w:val="0"/>
                <w:i w:val="0"/>
                <w:color w:val="212121"/>
                <w:sz w:val="19"/>
              </w:rPr>
              <w:t>Epidermodysplasia verruciformis and inborn immune errors</w:t>
            </w:r>
          </w:p>
        </w:tc>
        <w:tc>
          <w:tcPr>
            <w:tcW w:type="dxa" w:w="4276"/>
            <w:vAlign w:val="top"/>
          </w:tcPr>
          <w:p>
            <w:pPr>
              <w:spacing w:after="60" w:line="259" w:lineRule="auto"/>
            </w:pPr>
            <w:r>
              <w:rPr>
                <w:rFonts w:ascii="Calibri" w:hAnsi="Calibri"/>
                <w:b w:val="0"/>
                <w:i w:val="0"/>
                <w:color w:val="212121"/>
                <w:sz w:val="19"/>
              </w:rPr>
              <w:t>Rare inherited disorders - epidermodysplasia verruciformis (EVER1/EVER2 mutations) and immunodeficiencies such as DOCK8 deficiency, WHIM and GATA2 syndromes - cause widespread, treatment-resistant warts and, in EV, a high lifetime risk of squamous cell carcinoma on sun-exposed skin.</w:t>
            </w:r>
          </w:p>
          <w:p>
            <w:pPr>
              <w:spacing w:after="40" w:before="60" w:line="259" w:lineRule="auto"/>
            </w:pPr>
            <w:r>
              <w:rPr>
                <w:rFonts w:ascii="Calibri" w:hAnsi="Calibri"/>
                <w:b w:val="0"/>
                <w:i w:val="0"/>
                <w:color w:val="212121"/>
                <w:sz w:val="19"/>
              </w:rPr>
              <w:t>In epidermodysplasia verruciformis, beta-HPV types 5, 8, 20 and 47 carry oncogenic potential and predispose to cutaneous squamous cell carcinoma.</w:t>
            </w:r>
          </w:p>
          <w:p>
            <w:pPr>
              <w:spacing w:after="40" w:line="252" w:lineRule="auto"/>
            </w:pPr>
            <w:hyperlink r:id="rId10">
              <w:r>
                <w:rPr>
                  <w:rFonts w:ascii="Calibri" w:hAnsi="Calibri" w:cs="Calibri"/>
                  <w:sz w:val="18"/>
                  <w:color w:val="1155CC"/>
                  <w:u w:val="single"/>
                </w:rPr>
                <w:t xml:space="preserve">ncbi.nlm.nih.gov - Wart (StatPearls): EV oncogenic HPV</w:t>
              </w:r>
            </w:hyperlink>
          </w:p>
          <w:p>
            <w:pPr>
              <w:spacing w:before="60" w:after="40"/>
            </w:pPr>
            <w:r>
              <w:rPr>
                <w:rFonts w:ascii="Calibri" w:hAnsi="Calibri"/>
                <w:b w:val="0"/>
                <w:i w:val="0"/>
                <w:color w:val="5A5A5A"/>
                <w:sz w:val="18"/>
              </w:rPr>
              <w:t>#epidermodysplasiaverruciformis  #EVER1  #DOCK8  #hostgenetics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 and household</w:t>
            </w:r>
          </w:p>
        </w:tc>
        <w:tc>
          <w:tcPr>
            <w:tcW w:type="dxa" w:w="2160"/>
            <w:vAlign w:val="top"/>
          </w:tcPr>
          <w:p>
            <w:pPr>
              <w:spacing w:after="40" w:before="0" w:line="259" w:lineRule="auto"/>
            </w:pPr>
            <w:r>
              <w:rPr>
                <w:rFonts w:ascii="Calibri" w:hAnsi="Calibri"/>
                <w:b w:val="0"/>
                <w:i w:val="0"/>
                <w:color w:val="212121"/>
                <w:sz w:val="19"/>
              </w:rPr>
              <w:t>Household members of an affected person</w:t>
            </w:r>
          </w:p>
        </w:tc>
        <w:tc>
          <w:tcPr>
            <w:tcW w:type="dxa" w:w="4276"/>
            <w:vAlign w:val="top"/>
          </w:tcPr>
          <w:p>
            <w:pPr>
              <w:spacing w:after="60" w:line="259" w:lineRule="auto"/>
            </w:pPr>
            <w:r>
              <w:rPr>
                <w:rFonts w:ascii="Calibri" w:hAnsi="Calibri"/>
                <w:b w:val="0"/>
                <w:i w:val="0"/>
                <w:color w:val="212121"/>
                <w:sz w:val="19"/>
              </w:rPr>
              <w:t>Warts cluster within households through shared towels, footwear, bathrooms and close contact, and possibly shared genetic susceptibility, so several family members are often affected simultaneously.</w:t>
            </w:r>
          </w:p>
          <w:p>
            <w:pPr>
              <w:spacing w:after="40" w:before="60" w:line="259" w:lineRule="auto"/>
            </w:pPr>
            <w:r>
              <w:rPr>
                <w:rFonts w:ascii="Calibri" w:hAnsi="Calibri"/>
                <w:b w:val="0"/>
                <w:i w:val="0"/>
                <w:color w:val="212121"/>
                <w:sz w:val="19"/>
              </w:rPr>
              <w:t>Warts commonly cluster among close household and institutional contacts through shared fomites (general clinical evidence).</w:t>
            </w:r>
          </w:p>
          <w:p>
            <w:pPr>
              <w:spacing w:before="60" w:after="40"/>
            </w:pPr>
            <w:r>
              <w:rPr>
                <w:rFonts w:ascii="Calibri" w:hAnsi="Calibri"/>
                <w:b w:val="0"/>
                <w:i w:val="0"/>
                <w:color w:val="5A5A5A"/>
                <w:sz w:val="18"/>
              </w:rPr>
              <w:t>#familyclustering  #householdspread  #sharedfomites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 infection</w:t>
            </w:r>
          </w:p>
        </w:tc>
        <w:tc>
          <w:tcPr>
            <w:tcW w:type="dxa" w:w="2160"/>
            <w:vAlign w:val="top"/>
          </w:tcPr>
          <w:p>
            <w:pPr>
              <w:spacing w:after="40" w:before="0" w:line="259" w:lineRule="auto"/>
            </w:pPr>
            <w:r>
              <w:rPr>
                <w:rFonts w:ascii="Calibri" w:hAnsi="Calibri"/>
                <w:b w:val="0"/>
                <w:i w:val="0"/>
                <w:color w:val="212121"/>
                <w:sz w:val="19"/>
              </w:rPr>
              <w:t>People living with HIV</w:t>
            </w:r>
          </w:p>
        </w:tc>
        <w:tc>
          <w:tcPr>
            <w:tcW w:type="dxa" w:w="4276"/>
            <w:vAlign w:val="top"/>
          </w:tcPr>
          <w:p>
            <w:pPr>
              <w:spacing w:after="60" w:line="259" w:lineRule="auto"/>
            </w:pPr>
            <w:r>
              <w:rPr>
                <w:rFonts w:ascii="Calibri" w:hAnsi="Calibri"/>
                <w:b w:val="0"/>
                <w:i w:val="0"/>
                <w:color w:val="212121"/>
                <w:sz w:val="19"/>
              </w:rPr>
              <w:t>HIV-related depletion of cell-mediated immunity allows numerous, large, atypical and recalcitrant warts; extensive or explosive warts in a young adult should prompt HIV testing.</w:t>
            </w:r>
          </w:p>
          <w:p>
            <w:pPr>
              <w:spacing w:after="40" w:before="60" w:line="259" w:lineRule="auto"/>
            </w:pPr>
            <w:r>
              <w:rPr>
                <w:rFonts w:ascii="Calibri" w:hAnsi="Calibri"/>
                <w:b w:val="0"/>
                <w:i w:val="0"/>
                <w:color w:val="212121"/>
                <w:sz w:val="19"/>
              </w:rPr>
              <w:t>Warts are markedly more prevalent, extensive and treatment-resistant in immunosuppressed people, including those with HIV.</w:t>
            </w:r>
          </w:p>
          <w:p>
            <w:pPr>
              <w:spacing w:after="40" w:line="252" w:lineRule="auto"/>
            </w:pPr>
            <w:hyperlink r:id="rId10">
              <w:r>
                <w:rPr>
                  <w:rFonts w:ascii="Calibri" w:hAnsi="Calibri" w:cs="Calibri"/>
                  <w:sz w:val="18"/>
                  <w:color w:val="1155CC"/>
                  <w:u w:val="single"/>
                </w:rPr>
                <w:t xml:space="preserve">ncbi.nlm.nih.gov - Wart (StatPearls): immunosuppression</w:t>
              </w:r>
            </w:hyperlink>
          </w:p>
          <w:p>
            <w:pPr>
              <w:spacing w:before="60" w:after="40"/>
            </w:pPr>
            <w:r>
              <w:rPr>
                <w:rFonts w:ascii="Calibri" w:hAnsi="Calibri"/>
                <w:b w:val="0"/>
                <w:i w:val="0"/>
                <w:color w:val="5A5A5A"/>
                <w:sz w:val="18"/>
              </w:rPr>
              <w:t>#HIV  #immunosuppression  #recalcitrant  #extensive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Solid-organ transplant</w:t>
            </w:r>
          </w:p>
        </w:tc>
        <w:tc>
          <w:tcPr>
            <w:tcW w:type="dxa" w:w="2160"/>
            <w:vAlign w:val="top"/>
          </w:tcPr>
          <w:p>
            <w:pPr>
              <w:spacing w:after="40" w:before="0" w:line="259" w:lineRule="auto"/>
            </w:pPr>
            <w:r>
              <w:rPr>
                <w:rFonts w:ascii="Calibri" w:hAnsi="Calibri"/>
                <w:b w:val="0"/>
                <w:i w:val="0"/>
                <w:color w:val="212121"/>
                <w:sz w:val="19"/>
              </w:rPr>
              <w:t>Organ-transplant recipients on immunosuppression</w:t>
            </w:r>
          </w:p>
        </w:tc>
        <w:tc>
          <w:tcPr>
            <w:tcW w:type="dxa" w:w="4276"/>
            <w:vAlign w:val="top"/>
          </w:tcPr>
          <w:p>
            <w:pPr>
              <w:spacing w:after="60" w:line="259" w:lineRule="auto"/>
            </w:pPr>
            <w:r>
              <w:rPr>
                <w:rFonts w:ascii="Calibri" w:hAnsi="Calibri"/>
                <w:b w:val="0"/>
                <w:i w:val="0"/>
                <w:color w:val="212121"/>
                <w:sz w:val="19"/>
              </w:rPr>
              <w:t>Long-term immunosuppression after transplantation produces a very high prevalence of warts that increases with time since transplant, are often widespread and recalcitrant, and can progress to squamous cell carcinoma; reducing immunosuppression may clear them.</w:t>
            </w:r>
          </w:p>
          <w:p>
            <w:pPr>
              <w:spacing w:after="40" w:before="60" w:line="259" w:lineRule="auto"/>
            </w:pPr>
            <w:r>
              <w:rPr>
                <w:rFonts w:ascii="Calibri" w:hAnsi="Calibri"/>
                <w:b w:val="0"/>
                <w:i w:val="0"/>
                <w:color w:val="212121"/>
                <w:sz w:val="19"/>
              </w:rPr>
              <w:t>Warts are among the commonest cutaneous infections in organ-transplant recipients and can be recalcitrant and premalignant (general clinical evidence).</w:t>
            </w:r>
          </w:p>
          <w:p>
            <w:pPr>
              <w:spacing w:before="60" w:after="40"/>
            </w:pPr>
            <w:r>
              <w:rPr>
                <w:rFonts w:ascii="Calibri" w:hAnsi="Calibri"/>
                <w:b w:val="0"/>
                <w:i w:val="0"/>
                <w:color w:val="5A5A5A"/>
                <w:sz w:val="18"/>
              </w:rPr>
              <w:t>#transplant  #immunosuppression  #recalcitrant  #SCCrisk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Atopic dermatitis / eczema</w:t>
            </w:r>
          </w:p>
        </w:tc>
        <w:tc>
          <w:tcPr>
            <w:tcW w:type="dxa" w:w="2160"/>
            <w:vAlign w:val="top"/>
          </w:tcPr>
          <w:p>
            <w:pPr>
              <w:spacing w:after="40" w:before="0" w:line="259" w:lineRule="auto"/>
            </w:pPr>
            <w:r>
              <w:rPr>
                <w:rFonts w:ascii="Calibri" w:hAnsi="Calibri"/>
                <w:b w:val="0"/>
                <w:i w:val="0"/>
                <w:color w:val="212121"/>
                <w:sz w:val="19"/>
              </w:rPr>
              <w:t>Children and adults with eczema</w:t>
            </w:r>
          </w:p>
        </w:tc>
        <w:tc>
          <w:tcPr>
            <w:tcW w:type="dxa" w:w="4276"/>
            <w:vAlign w:val="top"/>
          </w:tcPr>
          <w:p>
            <w:pPr>
              <w:spacing w:after="60" w:line="259" w:lineRule="auto"/>
            </w:pPr>
            <w:r>
              <w:rPr>
                <w:rFonts w:ascii="Calibri" w:hAnsi="Calibri"/>
                <w:b w:val="0"/>
                <w:i w:val="0"/>
                <w:color w:val="212121"/>
                <w:sz w:val="19"/>
              </w:rPr>
              <w:t>A defective skin barrier and altered local immunity in atopic dermatitis, together with scratching that autoinoculates virus, can predispose to more widespread cutaneous warts, though epidemiological evidence is mixed.</w:t>
            </w:r>
          </w:p>
          <w:p>
            <w:pPr>
              <w:spacing w:after="40" w:before="60" w:line="259" w:lineRule="auto"/>
            </w:pPr>
            <w:r>
              <w:rPr>
                <w:rFonts w:ascii="Calibri" w:hAnsi="Calibri"/>
                <w:b w:val="0"/>
                <w:i w:val="0"/>
                <w:color w:val="212121"/>
                <w:sz w:val="19"/>
              </w:rPr>
              <w:t>Barrier disruption and scratching in atopic dermatitis may facilitate wart spread; population data are mixed (general clinical evidence).</w:t>
            </w:r>
          </w:p>
          <w:p>
            <w:pPr>
              <w:spacing w:before="60" w:after="40"/>
            </w:pPr>
            <w:r>
              <w:rPr>
                <w:rFonts w:ascii="Calibri" w:hAnsi="Calibri"/>
                <w:b w:val="0"/>
                <w:i w:val="0"/>
                <w:color w:val="5A5A5A"/>
                <w:sz w:val="18"/>
              </w:rPr>
              <w:t>#atopicdermatitis  #eczema  #barrierdefect  #autoinoculation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People with diabetes</w:t>
            </w:r>
          </w:p>
        </w:tc>
        <w:tc>
          <w:tcPr>
            <w:tcW w:type="dxa" w:w="4276"/>
            <w:vAlign w:val="top"/>
          </w:tcPr>
          <w:p>
            <w:pPr>
              <w:spacing w:after="60" w:line="259" w:lineRule="auto"/>
            </w:pPr>
            <w:r>
              <w:rPr>
                <w:rFonts w:ascii="Calibri" w:hAnsi="Calibri"/>
                <w:b w:val="0"/>
                <w:i w:val="0"/>
                <w:color w:val="212121"/>
                <w:sz w:val="19"/>
              </w:rPr>
              <w:t>Impaired immunity and poor wound healing in diabetes can make warts, particularly plantar warts, more persistent; plantar lesions on an insensate or poorly perfused diabetic foot risk ulceration and secondary infection, altering treatment choice.</w:t>
            </w:r>
          </w:p>
          <w:p>
            <w:pPr>
              <w:spacing w:after="40" w:before="60" w:line="259" w:lineRule="auto"/>
            </w:pPr>
            <w:r>
              <w:rPr>
                <w:rFonts w:ascii="Calibri" w:hAnsi="Calibri"/>
                <w:b w:val="0"/>
                <w:i w:val="0"/>
                <w:color w:val="212121"/>
                <w:sz w:val="19"/>
              </w:rPr>
              <w:t>Diabetes impairs immunity and healing, favouring persistent plantar warts and complicating their treatment on the at-risk foot (general clinical evidence).</w:t>
            </w:r>
          </w:p>
          <w:p>
            <w:pPr>
              <w:spacing w:before="60" w:after="40"/>
            </w:pPr>
            <w:r>
              <w:rPr>
                <w:rFonts w:ascii="Calibri" w:hAnsi="Calibri"/>
                <w:b w:val="0"/>
                <w:i w:val="0"/>
                <w:color w:val="5A5A5A"/>
                <w:sz w:val="18"/>
              </w:rPr>
              <w:t>#diabetes  #plantarwarts  #diabeticfoot  #impairedhealing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Immunosuppressive / biologic therapy</w:t>
            </w:r>
          </w:p>
        </w:tc>
        <w:tc>
          <w:tcPr>
            <w:tcW w:type="dxa" w:w="2160"/>
            <w:vAlign w:val="top"/>
          </w:tcPr>
          <w:p>
            <w:pPr>
              <w:spacing w:after="40" w:before="0" w:line="259" w:lineRule="auto"/>
            </w:pPr>
            <w:r>
              <w:rPr>
                <w:rFonts w:ascii="Calibri" w:hAnsi="Calibri"/>
                <w:b w:val="0"/>
                <w:i w:val="0"/>
                <w:color w:val="212121"/>
                <w:sz w:val="19"/>
              </w:rPr>
              <w:t>Patients on steroids, methotrexate or biologics</w:t>
            </w:r>
          </w:p>
        </w:tc>
        <w:tc>
          <w:tcPr>
            <w:tcW w:type="dxa" w:w="4276"/>
            <w:vAlign w:val="top"/>
          </w:tcPr>
          <w:p>
            <w:pPr>
              <w:spacing w:after="60" w:line="259" w:lineRule="auto"/>
            </w:pPr>
            <w:r>
              <w:rPr>
                <w:rFonts w:ascii="Calibri" w:hAnsi="Calibri"/>
                <w:b w:val="0"/>
                <w:i w:val="0"/>
                <w:color w:val="212121"/>
                <w:sz w:val="19"/>
              </w:rPr>
              <w:t>Systemic corticosteroids, methotrexate, ciclosporin and biologic immunomodulators used for autoimmune and inflammatory disease suppress antiviral immunity and can trigger new, widespread or resistant warts.</w:t>
            </w:r>
          </w:p>
          <w:p>
            <w:pPr>
              <w:spacing w:after="40" w:before="60" w:line="259" w:lineRule="auto"/>
            </w:pPr>
            <w:r>
              <w:rPr>
                <w:rFonts w:ascii="Calibri" w:hAnsi="Calibri"/>
                <w:b w:val="0"/>
                <w:i w:val="0"/>
                <w:color w:val="212121"/>
                <w:sz w:val="19"/>
              </w:rPr>
              <w:t>Iatrogenic immunosuppression for autoimmune or inflammatory disease can precipitate extensive or recalcitrant warts (general clinical evidence).</w:t>
            </w:r>
          </w:p>
          <w:p>
            <w:pPr>
              <w:spacing w:before="60" w:after="40"/>
            </w:pPr>
            <w:r>
              <w:rPr>
                <w:rFonts w:ascii="Calibri" w:hAnsi="Calibri"/>
                <w:b w:val="0"/>
                <w:i w:val="0"/>
                <w:color w:val="5A5A5A"/>
                <w:sz w:val="18"/>
              </w:rPr>
              <w:t>#immunosuppressants  #biologics  #methotrexate  #steroids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Routine exercise does not itself cause warts, and moderate activity supports the cell-mediated immunity that clears HPV; however, barefoot use of pool decks, gym changing rooms and shared mats in swimming and contact sports is a well-recognised route of plantar-wart transmission.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Undernutrition and deficiency of vitamin A, vitamin D and zinc weaken the cell-mediated immunity that controls HPV and may favour persistent warts; intralesional vitamin D and dietary adequacy are used as adjuncts, but diet neither causes nor cures warts.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sleep deprivation suppresses cell-mediated immunity and may impair viral clearance; the link with warts is indirect and modest.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impairs immunity and is associated with HPV persistence; the evidence is stronger for mucosal/genital HPV than for cutaneous warts.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impairs immune defence and may indirectly reduce clearance of warts; there is no strong direct association.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Psychological stress can suppress cell-mediated immunity and may worsen or perpetuate warts, while visible, recurrent warts in turn cause embarrassment and measurable impairment of quality of life (mean DLQI around 13 for multiple extragenital warts) - a bidirectional link.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Moisture is a key co-factor: communal water (swimming pools, shared showers), wet floors and persistent skin maceration lower barrier resistance and facilitate HPV entry, especially for plantar and palmar warts.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established association between caffeine intake and the acquisition or clearance of cutaneous warts.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Fomite transmission via communal showers, swimming pools, shared towels, razors, nail clippers and footwear is central to wart spread; good foot hygiene, not walking barefoot in communal wet areas and not sharing personal items markedly reduce transmission and autoinoculation.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Skin trauma and Koebnerisation (nail-biting, shaving, picking, friction), skin maceration and hyperhidrosis, and impaired immunity (HIV, transplant, biologics, diabetes) are the dominant precipitants of new, spreading and recalcitrant warts.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Footwear use in communal wet areas</w:t>
            </w:r>
          </w:p>
        </w:tc>
        <w:tc>
          <w:tcPr>
            <w:tcW w:type="dxa" w:w="1655"/>
            <w:vAlign w:val="top"/>
          </w:tcPr>
          <w:p>
            <w:pPr>
              <w:spacing w:after="40" w:before="0" w:line="259" w:lineRule="auto"/>
            </w:pPr>
            <w:r>
              <w:rPr>
                <w:rFonts w:ascii="Calibri" w:hAnsi="Calibri"/>
                <w:b w:val="0"/>
                <w:i w:val="0"/>
                <w:color w:val="212121"/>
                <w:sz w:val="19"/>
              </w:rPr>
              <w:t>Swimmers, gym users, hostel residents</w:t>
            </w:r>
          </w:p>
        </w:tc>
        <w:tc>
          <w:tcPr>
            <w:tcW w:type="dxa" w:w="1512"/>
            <w:vAlign w:val="top"/>
          </w:tcPr>
          <w:p>
            <w:pPr>
              <w:spacing w:after="40" w:before="0" w:line="259" w:lineRule="auto"/>
            </w:pPr>
            <w:r>
              <w:rPr>
                <w:rFonts w:ascii="Calibri" w:hAnsi="Calibri"/>
                <w:b w:val="0"/>
                <w:i w:val="0"/>
                <w:color w:val="212121"/>
                <w:sz w:val="19"/>
              </w:rPr>
              <w:t>Wear flip-flops/sandals; never barefoot on pool or shower floors</w:t>
            </w:r>
          </w:p>
        </w:tc>
        <w:tc>
          <w:tcPr>
            <w:tcW w:type="dxa" w:w="1512"/>
            <w:vAlign w:val="top"/>
          </w:tcPr>
          <w:p>
            <w:pPr>
              <w:spacing w:after="40" w:before="0" w:line="259" w:lineRule="auto"/>
            </w:pPr>
            <w:r>
              <w:rPr>
                <w:rFonts w:ascii="Calibri" w:hAnsi="Calibri"/>
                <w:b w:val="0"/>
                <w:i w:val="0"/>
                <w:color w:val="212121"/>
                <w:sz w:val="19"/>
              </w:rPr>
              <w:t>Walking barefoot on communal wet surfaces</w:t>
            </w:r>
          </w:p>
        </w:tc>
        <w:tc>
          <w:tcPr>
            <w:tcW w:type="dxa" w:w="1468"/>
            <w:vAlign w:val="top"/>
          </w:tcPr>
          <w:p>
            <w:pPr>
              <w:spacing w:after="60" w:line="259" w:lineRule="auto"/>
            </w:pPr>
            <w:r>
              <w:rPr>
                <w:rFonts w:ascii="Calibri" w:hAnsi="Calibri"/>
                <w:b w:val="0"/>
                <w:i w:val="0"/>
                <w:color w:val="212121"/>
                <w:sz w:val="19"/>
              </w:rPr>
              <w:t>Prevents fomite transmission of plantar-wart HPV</w:t>
            </w:r>
          </w:p>
          <w:p>
            <w:pPr>
              <w:spacing w:after="40" w:line="252" w:lineRule="auto"/>
            </w:pPr>
            <w:hyperlink r:id="rId12">
              <w:r>
                <w:rPr>
                  <w:rFonts w:ascii="Calibri" w:hAnsi="Calibri" w:cs="Calibri"/>
                  <w:sz w:val="18"/>
                  <w:color w:val="1155CC"/>
                  <w:u w:val="single"/>
                </w:rPr>
                <w:t xml:space="preserve">https://en.wikipedia.org/wiki/Plantar_wart</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Sharing of towels, razors, nail clippers, footwear</w:t>
            </w:r>
          </w:p>
        </w:tc>
        <w:tc>
          <w:tcPr>
            <w:tcW w:type="dxa" w:w="1655"/>
            <w:vAlign w:val="top"/>
          </w:tcPr>
          <w:p>
            <w:pPr>
              <w:spacing w:after="40" w:before="0" w:line="259" w:lineRule="auto"/>
            </w:pPr>
            <w:r>
              <w:rPr>
                <w:rFonts w:ascii="Calibri" w:hAnsi="Calibri"/>
                <w:b w:val="0"/>
                <w:i w:val="0"/>
                <w:color w:val="212121"/>
                <w:sz w:val="19"/>
              </w:rPr>
              <w:t>Households, hostels</w:t>
            </w:r>
          </w:p>
        </w:tc>
        <w:tc>
          <w:tcPr>
            <w:tcW w:type="dxa" w:w="1512"/>
            <w:vAlign w:val="top"/>
          </w:tcPr>
          <w:p>
            <w:pPr>
              <w:spacing w:after="40" w:before="0" w:line="259" w:lineRule="auto"/>
            </w:pPr>
            <w:r>
              <w:rPr>
                <w:rFonts w:ascii="Calibri" w:hAnsi="Calibri"/>
                <w:b w:val="0"/>
                <w:i w:val="0"/>
                <w:color w:val="212121"/>
                <w:sz w:val="19"/>
              </w:rPr>
              <w:t>Strictly personal items; no sharing</w:t>
            </w:r>
          </w:p>
        </w:tc>
        <w:tc>
          <w:tcPr>
            <w:tcW w:type="dxa" w:w="1512"/>
            <w:vAlign w:val="top"/>
          </w:tcPr>
          <w:p>
            <w:pPr>
              <w:spacing w:after="40" w:before="0" w:line="259" w:lineRule="auto"/>
            </w:pPr>
            <w:r>
              <w:rPr>
                <w:rFonts w:ascii="Calibri" w:hAnsi="Calibri"/>
                <w:b w:val="0"/>
                <w:i w:val="0"/>
                <w:color w:val="212121"/>
                <w:sz w:val="19"/>
              </w:rPr>
              <w:t>Shared towels, razors, clippers or shoes</w:t>
            </w:r>
          </w:p>
        </w:tc>
        <w:tc>
          <w:tcPr>
            <w:tcW w:type="dxa" w:w="1468"/>
            <w:vAlign w:val="top"/>
          </w:tcPr>
          <w:p>
            <w:pPr>
              <w:spacing w:after="40" w:before="0" w:line="259" w:lineRule="auto"/>
            </w:pPr>
            <w:r>
              <w:rPr>
                <w:rFonts w:ascii="Calibri" w:hAnsi="Calibri"/>
                <w:b w:val="0"/>
                <w:i w:val="0"/>
                <w:color w:val="212121"/>
                <w:sz w:val="19"/>
              </w:rPr>
              <w:t>Fomites transmit HPV between close contacts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Skin trauma / nail-biting / shaving over warts</w:t>
            </w:r>
          </w:p>
        </w:tc>
        <w:tc>
          <w:tcPr>
            <w:tcW w:type="dxa" w:w="1655"/>
            <w:vAlign w:val="top"/>
          </w:tcPr>
          <w:p>
            <w:pPr>
              <w:spacing w:after="40" w:before="0" w:line="259" w:lineRule="auto"/>
            </w:pPr>
            <w:r>
              <w:rPr>
                <w:rFonts w:ascii="Calibri" w:hAnsi="Calibri"/>
                <w:b w:val="0"/>
                <w:i w:val="0"/>
                <w:color w:val="212121"/>
                <w:sz w:val="19"/>
              </w:rPr>
              <w:t>Nail-biters, shavers</w:t>
            </w:r>
          </w:p>
        </w:tc>
        <w:tc>
          <w:tcPr>
            <w:tcW w:type="dxa" w:w="1512"/>
            <w:vAlign w:val="top"/>
          </w:tcPr>
          <w:p>
            <w:pPr>
              <w:spacing w:after="40" w:before="0" w:line="259" w:lineRule="auto"/>
            </w:pPr>
            <w:r>
              <w:rPr>
                <w:rFonts w:ascii="Calibri" w:hAnsi="Calibri"/>
                <w:b w:val="0"/>
                <w:i w:val="0"/>
                <w:color w:val="212121"/>
                <w:sz w:val="19"/>
              </w:rPr>
              <w:t>Avoid biting, picking and shaving over lesions; cover warts</w:t>
            </w:r>
          </w:p>
        </w:tc>
        <w:tc>
          <w:tcPr>
            <w:tcW w:type="dxa" w:w="1512"/>
            <w:vAlign w:val="top"/>
          </w:tcPr>
          <w:p>
            <w:pPr>
              <w:spacing w:after="40" w:before="0" w:line="259" w:lineRule="auto"/>
            </w:pPr>
            <w:r>
              <w:rPr>
                <w:rFonts w:ascii="Calibri" w:hAnsi="Calibri"/>
                <w:b w:val="0"/>
                <w:i w:val="0"/>
                <w:color w:val="212121"/>
                <w:sz w:val="19"/>
              </w:rPr>
              <w:t>Nail-biting, picking or shaving through a wart</w:t>
            </w:r>
          </w:p>
        </w:tc>
        <w:tc>
          <w:tcPr>
            <w:tcW w:type="dxa" w:w="1468"/>
            <w:vAlign w:val="top"/>
          </w:tcPr>
          <w:p>
            <w:pPr>
              <w:spacing w:after="60" w:line="259" w:lineRule="auto"/>
            </w:pPr>
            <w:r>
              <w:rPr>
                <w:rFonts w:ascii="Calibri" w:hAnsi="Calibri"/>
                <w:b w:val="0"/>
                <w:i w:val="0"/>
                <w:color w:val="212121"/>
                <w:sz w:val="19"/>
              </w:rPr>
              <w:t>Trauma autoinoculates and Koebnerises the virus</w:t>
            </w:r>
          </w:p>
          <w:p>
            <w:pPr>
              <w:spacing w:after="40" w:line="252" w:lineRule="auto"/>
            </w:pPr>
            <w:hyperlink r:id="rId9">
              <w:r>
                <w:rPr>
                  <w:rFonts w:ascii="Calibri" w:hAnsi="Calibri" w:cs="Calibri"/>
                  <w:sz w:val="18"/>
                  <w:color w:val="1155CC"/>
                  <w:u w:val="single"/>
                </w:rPr>
                <w:t xml:space="preserve">https://emedicine.medscape.com/article/1133317-overview</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Foot/hand moisture and hyperhidrosis</w:t>
            </w:r>
          </w:p>
        </w:tc>
        <w:tc>
          <w:tcPr>
            <w:tcW w:type="dxa" w:w="1655"/>
            <w:vAlign w:val="top"/>
          </w:tcPr>
          <w:p>
            <w:pPr>
              <w:spacing w:after="40" w:before="0" w:line="259" w:lineRule="auto"/>
            </w:pPr>
            <w:r>
              <w:rPr>
                <w:rFonts w:ascii="Calibri" w:hAnsi="Calibri"/>
                <w:b w:val="0"/>
                <w:i w:val="0"/>
                <w:color w:val="212121"/>
                <w:sz w:val="19"/>
              </w:rPr>
              <w:t>Hyperhidrosis, occlusive footwear, wet work</w:t>
            </w:r>
          </w:p>
        </w:tc>
        <w:tc>
          <w:tcPr>
            <w:tcW w:type="dxa" w:w="1512"/>
            <w:vAlign w:val="top"/>
          </w:tcPr>
          <w:p>
            <w:pPr>
              <w:spacing w:after="40" w:before="0" w:line="259" w:lineRule="auto"/>
            </w:pPr>
            <w:r>
              <w:rPr>
                <w:rFonts w:ascii="Calibri" w:hAnsi="Calibri"/>
                <w:b w:val="0"/>
                <w:i w:val="0"/>
                <w:color w:val="212121"/>
                <w:sz w:val="19"/>
              </w:rPr>
              <w:t>Keep feet and hands dry; breathable footwear; change socks daily</w:t>
            </w:r>
          </w:p>
        </w:tc>
        <w:tc>
          <w:tcPr>
            <w:tcW w:type="dxa" w:w="1512"/>
            <w:vAlign w:val="top"/>
          </w:tcPr>
          <w:p>
            <w:pPr>
              <w:spacing w:after="40" w:before="0" w:line="259" w:lineRule="auto"/>
            </w:pPr>
            <w:r>
              <w:rPr>
                <w:rFonts w:ascii="Calibri" w:hAnsi="Calibri"/>
                <w:b w:val="0"/>
                <w:i w:val="0"/>
                <w:color w:val="212121"/>
                <w:sz w:val="19"/>
              </w:rPr>
              <w:t>Persistently sweaty, occluded or macerated skin</w:t>
            </w:r>
          </w:p>
        </w:tc>
        <w:tc>
          <w:tcPr>
            <w:tcW w:type="dxa" w:w="1468"/>
            <w:vAlign w:val="top"/>
          </w:tcPr>
          <w:p>
            <w:pPr>
              <w:spacing w:after="60" w:line="259" w:lineRule="auto"/>
            </w:pPr>
            <w:r>
              <w:rPr>
                <w:rFonts w:ascii="Calibri" w:hAnsi="Calibri"/>
                <w:b w:val="0"/>
                <w:i w:val="0"/>
                <w:color w:val="212121"/>
                <w:sz w:val="19"/>
              </w:rPr>
              <w:t>Maceration lowers barrier resistance to HPV</w:t>
            </w:r>
          </w:p>
          <w:p>
            <w:pPr>
              <w:spacing w:after="40" w:line="252" w:lineRule="auto"/>
            </w:pPr>
            <w:hyperlink r:id="rId9">
              <w:r>
                <w:rPr>
                  <w:rFonts w:ascii="Calibri" w:hAnsi="Calibri" w:cs="Calibri"/>
                  <w:sz w:val="18"/>
                  <w:color w:val="1155CC"/>
                  <w:u w:val="single"/>
                </w:rPr>
                <w:t xml:space="preserve">https://emedicine.medscape.com/article/1133317-overview</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Barefoot communal sport / pool exposure</w:t>
            </w:r>
          </w:p>
        </w:tc>
        <w:tc>
          <w:tcPr>
            <w:tcW w:type="dxa" w:w="1655"/>
            <w:vAlign w:val="top"/>
          </w:tcPr>
          <w:p>
            <w:pPr>
              <w:spacing w:after="40" w:before="0" w:line="259" w:lineRule="auto"/>
            </w:pPr>
            <w:r>
              <w:rPr>
                <w:rFonts w:ascii="Calibri" w:hAnsi="Calibri"/>
                <w:b w:val="0"/>
                <w:i w:val="0"/>
                <w:color w:val="212121"/>
                <w:sz w:val="19"/>
              </w:rPr>
              <w:t>Swimmers, martial-arts, gym-goers</w:t>
            </w:r>
          </w:p>
        </w:tc>
        <w:tc>
          <w:tcPr>
            <w:tcW w:type="dxa" w:w="1512"/>
            <w:vAlign w:val="top"/>
          </w:tcPr>
          <w:p>
            <w:pPr>
              <w:spacing w:after="40" w:before="0" w:line="259" w:lineRule="auto"/>
            </w:pPr>
            <w:r>
              <w:rPr>
                <w:rFonts w:ascii="Calibri" w:hAnsi="Calibri"/>
                <w:b w:val="0"/>
                <w:i w:val="0"/>
                <w:color w:val="212121"/>
                <w:sz w:val="19"/>
              </w:rPr>
              <w:t>Cover warts; wear footwear; disinfect or avoid sharing mats</w:t>
            </w:r>
          </w:p>
        </w:tc>
        <w:tc>
          <w:tcPr>
            <w:tcW w:type="dxa" w:w="1512"/>
            <w:vAlign w:val="top"/>
          </w:tcPr>
          <w:p>
            <w:pPr>
              <w:spacing w:after="40" w:before="0" w:line="259" w:lineRule="auto"/>
            </w:pPr>
            <w:r>
              <w:rPr>
                <w:rFonts w:ascii="Calibri" w:hAnsi="Calibri"/>
                <w:b w:val="0"/>
                <w:i w:val="0"/>
                <w:color w:val="212121"/>
                <w:sz w:val="19"/>
              </w:rPr>
              <w:t>Barefoot contact on shared floors or mats with active warts</w:t>
            </w:r>
          </w:p>
        </w:tc>
        <w:tc>
          <w:tcPr>
            <w:tcW w:type="dxa" w:w="1468"/>
            <w:vAlign w:val="top"/>
          </w:tcPr>
          <w:p>
            <w:pPr>
              <w:spacing w:after="60" w:line="259" w:lineRule="auto"/>
            </w:pPr>
            <w:r>
              <w:rPr>
                <w:rFonts w:ascii="Calibri" w:hAnsi="Calibri"/>
                <w:b w:val="0"/>
                <w:i w:val="0"/>
                <w:color w:val="212121"/>
                <w:sz w:val="19"/>
              </w:rPr>
              <w:t>Reduces spread in shared athletic facilities</w:t>
            </w:r>
          </w:p>
          <w:p>
            <w:pPr>
              <w:spacing w:after="40" w:line="252" w:lineRule="auto"/>
            </w:pPr>
            <w:hyperlink r:id="rId12">
              <w:r>
                <w:rPr>
                  <w:rFonts w:ascii="Calibri" w:hAnsi="Calibri" w:cs="Calibri"/>
                  <w:sz w:val="18"/>
                  <w:color w:val="1155CC"/>
                  <w:u w:val="single"/>
                </w:rPr>
                <w:t xml:space="preserve">https://en.wikipedia.org/wiki/Plantar_wart</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Immune status (HIV, transplant, biologics, diabetes)</w:t>
            </w:r>
          </w:p>
        </w:tc>
        <w:tc>
          <w:tcPr>
            <w:tcW w:type="dxa" w:w="1655"/>
            <w:vAlign w:val="top"/>
          </w:tcPr>
          <w:p>
            <w:pPr>
              <w:spacing w:after="40" w:before="0" w:line="259" w:lineRule="auto"/>
            </w:pPr>
            <w:r>
              <w:rPr>
                <w:rFonts w:ascii="Calibri" w:hAnsi="Calibri"/>
                <w:b w:val="0"/>
                <w:i w:val="0"/>
                <w:color w:val="212121"/>
                <w:sz w:val="19"/>
              </w:rPr>
              <w:t>Immunosuppressed patients</w:t>
            </w:r>
          </w:p>
        </w:tc>
        <w:tc>
          <w:tcPr>
            <w:tcW w:type="dxa" w:w="1512"/>
            <w:vAlign w:val="top"/>
          </w:tcPr>
          <w:p>
            <w:pPr>
              <w:spacing w:after="40" w:before="0" w:line="259" w:lineRule="auto"/>
            </w:pPr>
            <w:r>
              <w:rPr>
                <w:rFonts w:ascii="Calibri" w:hAnsi="Calibri"/>
                <w:b w:val="0"/>
                <w:i w:val="0"/>
                <w:color w:val="212121"/>
                <w:sz w:val="19"/>
              </w:rPr>
              <w:t>Preserved or optimised immunity; well-controlled diabetes</w:t>
            </w:r>
          </w:p>
        </w:tc>
        <w:tc>
          <w:tcPr>
            <w:tcW w:type="dxa" w:w="1512"/>
            <w:vAlign w:val="top"/>
          </w:tcPr>
          <w:p>
            <w:pPr>
              <w:spacing w:after="40" w:before="0" w:line="259" w:lineRule="auto"/>
            </w:pPr>
            <w:r>
              <w:rPr>
                <w:rFonts w:ascii="Calibri" w:hAnsi="Calibri"/>
                <w:b w:val="0"/>
                <w:i w:val="0"/>
                <w:color w:val="212121"/>
                <w:sz w:val="19"/>
              </w:rPr>
              <w:t>Immunosuppression; uncontrolled diabetes</w:t>
            </w:r>
          </w:p>
        </w:tc>
        <w:tc>
          <w:tcPr>
            <w:tcW w:type="dxa" w:w="1468"/>
            <w:vAlign w:val="top"/>
          </w:tcPr>
          <w:p>
            <w:pPr>
              <w:spacing w:after="60" w:line="259" w:lineRule="auto"/>
            </w:pPr>
            <w:r>
              <w:rPr>
                <w:rFonts w:ascii="Calibri" w:hAnsi="Calibri"/>
                <w:b w:val="0"/>
                <w:i w:val="0"/>
                <w:color w:val="212121"/>
                <w:sz w:val="19"/>
              </w:rPr>
              <w:t>Immunosuppression drives extensive, recalcitrant warts</w:t>
            </w:r>
          </w:p>
          <w:p>
            <w:pPr>
              <w:spacing w:after="40" w:line="252" w:lineRule="auto"/>
            </w:pPr>
            <w:hyperlink r:id="rId10">
              <w:r>
                <w:rPr>
                  <w:rFonts w:ascii="Calibri" w:hAnsi="Calibri" w:cs="Calibri"/>
                  <w:sz w:val="18"/>
                  <w:color w:val="1155CC"/>
                  <w:u w:val="single"/>
                </w:rPr>
                <w:t xml:space="preserve">https://www.ncbi.nlm.nih.gov/books/NBK431047/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Occupational meat handling and glove use</w:t>
            </w:r>
          </w:p>
        </w:tc>
        <w:tc>
          <w:tcPr>
            <w:tcW w:type="dxa" w:w="1655"/>
            <w:vAlign w:val="top"/>
          </w:tcPr>
          <w:p>
            <w:pPr>
              <w:spacing w:after="40" w:before="0" w:line="259" w:lineRule="auto"/>
            </w:pPr>
            <w:r>
              <w:rPr>
                <w:rFonts w:ascii="Calibri" w:hAnsi="Calibri"/>
                <w:b w:val="0"/>
                <w:i w:val="0"/>
                <w:color w:val="212121"/>
                <w:sz w:val="19"/>
              </w:rPr>
              <w:t>Butchers, fishmongers, poultry and food handlers</w:t>
            </w:r>
          </w:p>
        </w:tc>
        <w:tc>
          <w:tcPr>
            <w:tcW w:type="dxa" w:w="1512"/>
            <w:vAlign w:val="top"/>
          </w:tcPr>
          <w:p>
            <w:pPr>
              <w:spacing w:after="40" w:before="0" w:line="259" w:lineRule="auto"/>
            </w:pPr>
            <w:r>
              <w:rPr>
                <w:rFonts w:ascii="Calibri" w:hAnsi="Calibri"/>
                <w:b w:val="0"/>
                <w:i w:val="0"/>
                <w:color w:val="212121"/>
                <w:sz w:val="19"/>
              </w:rPr>
              <w:t>Wear cut-resistant gloves; keep hands dry</w:t>
            </w:r>
          </w:p>
        </w:tc>
        <w:tc>
          <w:tcPr>
            <w:tcW w:type="dxa" w:w="1512"/>
            <w:vAlign w:val="top"/>
          </w:tcPr>
          <w:p>
            <w:pPr>
              <w:spacing w:after="40" w:before="0" w:line="259" w:lineRule="auto"/>
            </w:pPr>
            <w:r>
              <w:rPr>
                <w:rFonts w:ascii="Calibri" w:hAnsi="Calibri"/>
                <w:b w:val="0"/>
                <w:i w:val="0"/>
                <w:color w:val="212121"/>
                <w:sz w:val="19"/>
              </w:rPr>
              <w:t>Bare-hand meat/fish handling with micro-cuts</w:t>
            </w:r>
          </w:p>
        </w:tc>
        <w:tc>
          <w:tcPr>
            <w:tcW w:type="dxa" w:w="1468"/>
            <w:vAlign w:val="top"/>
          </w:tcPr>
          <w:p>
            <w:pPr>
              <w:spacing w:after="60" w:line="259" w:lineRule="auto"/>
            </w:pPr>
            <w:r>
              <w:rPr>
                <w:rFonts w:ascii="Calibri" w:hAnsi="Calibri"/>
                <w:b w:val="0"/>
                <w:i w:val="0"/>
                <w:color w:val="212121"/>
                <w:sz w:val="19"/>
              </w:rPr>
              <w:t>Butcher's warts are linked to HPV 7 in moist, traumatised skin</w:t>
            </w:r>
          </w:p>
          <w:p>
            <w:pPr>
              <w:spacing w:after="40" w:line="252" w:lineRule="auto"/>
            </w:pPr>
            <w:hyperlink r:id="rId10">
              <w:r>
                <w:rPr>
                  <w:rFonts w:ascii="Calibri" w:hAnsi="Calibri" w:cs="Calibri"/>
                  <w:sz w:val="18"/>
                  <w:color w:val="1155CC"/>
                  <w:u w:val="single"/>
                </w:rPr>
                <w:t xml:space="preserve">https://www.ncbi.nlm.nih.gov/books/NBK431047/</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Vitamin D / micronutrient (zinc, vitamin A) status</w:t>
            </w:r>
          </w:p>
        </w:tc>
        <w:tc>
          <w:tcPr>
            <w:tcW w:type="dxa" w:w="1655"/>
            <w:vAlign w:val="top"/>
          </w:tcPr>
          <w:p>
            <w:pPr>
              <w:spacing w:after="40" w:before="0" w:line="259" w:lineRule="auto"/>
            </w:pPr>
            <w:r>
              <w:rPr>
                <w:rFonts w:ascii="Calibri" w:hAnsi="Calibri"/>
                <w:b w:val="0"/>
                <w:i w:val="0"/>
                <w:color w:val="212121"/>
                <w:sz w:val="19"/>
              </w:rPr>
              <w:t>Deficient, undernourished, recalcitrant warts</w:t>
            </w:r>
          </w:p>
        </w:tc>
        <w:tc>
          <w:tcPr>
            <w:tcW w:type="dxa" w:w="1512"/>
            <w:vAlign w:val="top"/>
          </w:tcPr>
          <w:p>
            <w:pPr>
              <w:spacing w:after="40" w:before="0" w:line="259" w:lineRule="auto"/>
            </w:pPr>
            <w:r>
              <w:rPr>
                <w:rFonts w:ascii="Calibri" w:hAnsi="Calibri"/>
                <w:b w:val="0"/>
                <w:i w:val="0"/>
                <w:color w:val="212121"/>
                <w:sz w:val="19"/>
              </w:rPr>
              <w:t>Replete vitamin D, zinc and vitamin A</w:t>
            </w:r>
          </w:p>
        </w:tc>
        <w:tc>
          <w:tcPr>
            <w:tcW w:type="dxa" w:w="1512"/>
            <w:vAlign w:val="top"/>
          </w:tcPr>
          <w:p>
            <w:pPr>
              <w:spacing w:after="40" w:before="0" w:line="259" w:lineRule="auto"/>
            </w:pPr>
            <w:r>
              <w:rPr>
                <w:rFonts w:ascii="Calibri" w:hAnsi="Calibri"/>
                <w:b w:val="0"/>
                <w:i w:val="0"/>
                <w:color w:val="212121"/>
                <w:sz w:val="19"/>
              </w:rPr>
              <w:t>Documented deficiency</w:t>
            </w:r>
          </w:p>
        </w:tc>
        <w:tc>
          <w:tcPr>
            <w:tcW w:type="dxa" w:w="1468"/>
            <w:vAlign w:val="top"/>
          </w:tcPr>
          <w:p>
            <w:pPr>
              <w:spacing w:after="40" w:before="0" w:line="259" w:lineRule="auto"/>
            </w:pPr>
            <w:r>
              <w:rPr>
                <w:rFonts w:ascii="Calibri" w:hAnsi="Calibri"/>
                <w:b w:val="0"/>
                <w:i w:val="0"/>
                <w:color w:val="212121"/>
                <w:sz w:val="19"/>
              </w:rPr>
              <w:t>Adequacy supports cell-mediated clearance; vitamin D is used as an adjunct immunotherapy</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Wart-related quality-of-life burden (DLQI)</w:t>
            </w:r>
          </w:p>
        </w:tc>
        <w:tc>
          <w:tcPr>
            <w:tcW w:type="dxa" w:w="1655"/>
            <w:vAlign w:val="top"/>
          </w:tcPr>
          <w:p>
            <w:pPr>
              <w:spacing w:after="40" w:before="0" w:line="259" w:lineRule="auto"/>
            </w:pPr>
            <w:r>
              <w:rPr>
                <w:rFonts w:ascii="Calibri" w:hAnsi="Calibri"/>
                <w:b w:val="0"/>
                <w:i w:val="0"/>
                <w:color w:val="212121"/>
                <w:sz w:val="19"/>
              </w:rPr>
              <w:t>Visible or multiple warts</w:t>
            </w:r>
          </w:p>
        </w:tc>
        <w:tc>
          <w:tcPr>
            <w:tcW w:type="dxa" w:w="1512"/>
            <w:vAlign w:val="top"/>
          </w:tcPr>
          <w:p>
            <w:pPr>
              <w:spacing w:after="40" w:before="0" w:line="259" w:lineRule="auto"/>
            </w:pPr>
            <w:r>
              <w:rPr>
                <w:rFonts w:ascii="Calibri" w:hAnsi="Calibri"/>
                <w:b w:val="0"/>
                <w:i w:val="0"/>
                <w:color w:val="212121"/>
                <w:sz w:val="19"/>
              </w:rPr>
              <w:t>Low impact (DLQI 0-1)</w:t>
            </w:r>
          </w:p>
        </w:tc>
        <w:tc>
          <w:tcPr>
            <w:tcW w:type="dxa" w:w="1512"/>
            <w:vAlign w:val="top"/>
          </w:tcPr>
          <w:p>
            <w:pPr>
              <w:spacing w:after="40" w:before="0" w:line="259" w:lineRule="auto"/>
            </w:pPr>
            <w:r>
              <w:rPr>
                <w:rFonts w:ascii="Calibri" w:hAnsi="Calibri"/>
                <w:b w:val="0"/>
                <w:i w:val="0"/>
                <w:color w:val="212121"/>
                <w:sz w:val="19"/>
              </w:rPr>
              <w:t>High impact (DLQI &gt;10)</w:t>
            </w:r>
          </w:p>
        </w:tc>
        <w:tc>
          <w:tcPr>
            <w:tcW w:type="dxa" w:w="1468"/>
            <w:vAlign w:val="top"/>
          </w:tcPr>
          <w:p>
            <w:pPr>
              <w:spacing w:after="60" w:line="259" w:lineRule="auto"/>
            </w:pPr>
            <w:r>
              <w:rPr>
                <w:rFonts w:ascii="Calibri" w:hAnsi="Calibri"/>
                <w:b w:val="0"/>
                <w:i w:val="0"/>
                <w:color w:val="212121"/>
                <w:sz w:val="19"/>
              </w:rPr>
              <w:t>Multiple extragenital warts caused a mean DLQI of about 13</w:t>
            </w:r>
          </w:p>
          <w:p>
            <w:pPr>
              <w:spacing w:after="40" w:line="252" w:lineRule="auto"/>
            </w:pPr>
            <w:hyperlink r:id="rId13">
              <w:r>
                <w:rPr>
                  <w:rFonts w:ascii="Calibri" w:hAnsi="Calibri" w:cs="Calibri"/>
                  <w:sz w:val="18"/>
                  <w:color w:val="1155CC"/>
                  <w:u w:val="single"/>
                </w:rPr>
                <w:t xml:space="preserve">https://www.dovepress.com/impact-of-multiple-extragenital-warts-on-quality-of-life-in-immune-com-peer-reviewed-fulltext-article-CCID</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Dermoscopy</w:t>
            </w:r>
          </w:p>
        </w:tc>
        <w:tc>
          <w:tcPr>
            <w:tcW w:type="dxa" w:w="1036"/>
            <w:vAlign w:val="top"/>
          </w:tcPr>
          <w:p>
            <w:pPr>
              <w:spacing w:after="40" w:before="0" w:line="259" w:lineRule="auto"/>
            </w:pPr>
            <w:r>
              <w:rPr>
                <w:rFonts w:ascii="Calibri" w:hAnsi="Calibri"/>
                <w:b w:val="0"/>
                <w:i w:val="0"/>
                <w:color w:val="212121"/>
                <w:sz w:val="16"/>
              </w:rPr>
              <w:t>Dermoscopic pattern</w:t>
            </w:r>
          </w:p>
        </w:tc>
        <w:tc>
          <w:tcPr>
            <w:tcW w:type="dxa" w:w="892"/>
            <w:vAlign w:val="top"/>
          </w:tcPr>
          <w:p>
            <w:pPr>
              <w:spacing w:after="40" w:before="0" w:line="259" w:lineRule="auto"/>
            </w:pPr>
            <w:r>
              <w:rPr>
                <w:rFonts w:ascii="Calibri" w:hAnsi="Calibri"/>
                <w:b w:val="0"/>
                <w:i w:val="0"/>
                <w:color w:val="212121"/>
                <w:sz w:val="16"/>
              </w:rPr>
              <w:t>Dermatoscopy</w:t>
            </w:r>
          </w:p>
        </w:tc>
        <w:tc>
          <w:tcPr>
            <w:tcW w:type="dxa" w:w="950"/>
            <w:vAlign w:val="top"/>
          </w:tcPr>
          <w:p>
            <w:pPr>
              <w:spacing w:after="40" w:before="0" w:line="259" w:lineRule="auto"/>
            </w:pPr>
            <w:r>
              <w:rPr>
                <w:rFonts w:ascii="Calibri" w:hAnsi="Calibri"/>
                <w:b w:val="0"/>
                <w:i w:val="0"/>
                <w:color w:val="212121"/>
                <w:sz w:val="16"/>
              </w:rPr>
              <w:t>Preserved skin lines; no thrombosed capillaries</w:t>
            </w:r>
          </w:p>
        </w:tc>
        <w:tc>
          <w:tcPr>
            <w:tcW w:type="dxa" w:w="950"/>
            <w:vAlign w:val="top"/>
          </w:tcPr>
          <w:p>
            <w:pPr>
              <w:spacing w:after="40" w:before="0" w:line="259" w:lineRule="auto"/>
            </w:pPr>
            <w:r>
              <w:rPr>
                <w:rFonts w:ascii="Calibri" w:hAnsi="Calibri"/>
                <w:b w:val="0"/>
                <w:i w:val="0"/>
                <w:color w:val="212121"/>
                <w:sz w:val="16"/>
              </w:rPr>
              <w:t>Red-black dots (thrombosed capillaries) on a papilliform background; interrupted skin lines</w:t>
            </w:r>
          </w:p>
        </w:tc>
        <w:tc>
          <w:tcPr>
            <w:tcW w:type="dxa" w:w="1036"/>
            <w:vAlign w:val="top"/>
          </w:tcPr>
          <w:p>
            <w:pPr>
              <w:spacing w:after="40" w:before="0" w:line="259" w:lineRule="auto"/>
            </w:pPr>
            <w:r>
              <w:rPr>
                <w:rFonts w:ascii="Calibri" w:hAnsi="Calibri"/>
                <w:b w:val="0"/>
                <w:i w:val="0"/>
                <w:color w:val="212121"/>
                <w:sz w:val="16"/>
              </w:rPr>
              <w:t>Confirms wart and differentiates it from corn/callus and, importantly, from acral melanoma</w:t>
            </w:r>
          </w:p>
        </w:tc>
        <w:tc>
          <w:tcPr>
            <w:tcW w:type="dxa" w:w="1036"/>
            <w:vAlign w:val="top"/>
          </w:tcPr>
          <w:p>
            <w:pPr>
              <w:spacing w:after="40" w:before="0" w:line="259" w:lineRule="auto"/>
            </w:pPr>
            <w:r>
              <w:rPr>
                <w:rFonts w:ascii="Calibri" w:hAnsi="Calibri"/>
                <w:b w:val="0"/>
                <w:i w:val="0"/>
                <w:color w:val="212121"/>
                <w:sz w:val="16"/>
              </w:rPr>
              <w:t>All warts, especially acral/plantar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Plane warts show regular red dots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w:t>
            </w:r>
          </w:p>
        </w:tc>
        <w:tc>
          <w:tcPr>
            <w:tcW w:type="dxa" w:w="1036"/>
            <w:vAlign w:val="top"/>
          </w:tcPr>
          <w:p>
            <w:pPr>
              <w:spacing w:after="40" w:before="0" w:line="259" w:lineRule="auto"/>
            </w:pPr>
            <w:r>
              <w:rPr>
                <w:rFonts w:ascii="Calibri" w:hAnsi="Calibri"/>
                <w:b w:val="0"/>
                <w:i w:val="0"/>
                <w:color w:val="212121"/>
                <w:sz w:val="16"/>
              </w:rPr>
              <w:t>Thrombosed capillaries and pinpoint bleeding</w:t>
            </w:r>
          </w:p>
        </w:tc>
        <w:tc>
          <w:tcPr>
            <w:tcW w:type="dxa" w:w="892"/>
            <w:vAlign w:val="top"/>
          </w:tcPr>
          <w:p>
            <w:pPr>
              <w:spacing w:after="40" w:before="0" w:line="259" w:lineRule="auto"/>
            </w:pPr>
            <w:r>
              <w:rPr>
                <w:rFonts w:ascii="Calibri" w:hAnsi="Calibri"/>
                <w:b w:val="0"/>
                <w:i w:val="0"/>
                <w:color w:val="212121"/>
                <w:sz w:val="16"/>
              </w:rPr>
              <w:t>Paring of the hyperkeratotic surface</w:t>
            </w:r>
          </w:p>
        </w:tc>
        <w:tc>
          <w:tcPr>
            <w:tcW w:type="dxa" w:w="950"/>
            <w:vAlign w:val="top"/>
          </w:tcPr>
          <w:p>
            <w:pPr>
              <w:spacing w:after="40" w:before="0" w:line="259" w:lineRule="auto"/>
            </w:pPr>
            <w:r>
              <w:rPr>
                <w:rFonts w:ascii="Calibri" w:hAnsi="Calibri"/>
                <w:b w:val="0"/>
                <w:i w:val="0"/>
                <w:color w:val="212121"/>
                <w:sz w:val="16"/>
              </w:rPr>
              <w:t>Central translucent core with preserved skin lines (corn)</w:t>
            </w:r>
          </w:p>
        </w:tc>
        <w:tc>
          <w:tcPr>
            <w:tcW w:type="dxa" w:w="950"/>
            <w:vAlign w:val="top"/>
          </w:tcPr>
          <w:p>
            <w:pPr>
              <w:spacing w:after="40" w:before="0" w:line="259" w:lineRule="auto"/>
            </w:pPr>
            <w:r>
              <w:rPr>
                <w:rFonts w:ascii="Calibri" w:hAnsi="Calibri"/>
                <w:b w:val="0"/>
                <w:i w:val="0"/>
                <w:color w:val="212121"/>
                <w:sz w:val="16"/>
              </w:rPr>
              <w:t>Pinpoint bleeding from thrombosed capillaries and loss of skin lines (wart)</w:t>
            </w:r>
          </w:p>
        </w:tc>
        <w:tc>
          <w:tcPr>
            <w:tcW w:type="dxa" w:w="1036"/>
            <w:vAlign w:val="top"/>
          </w:tcPr>
          <w:p>
            <w:pPr>
              <w:spacing w:after="40" w:before="0" w:line="259" w:lineRule="auto"/>
            </w:pPr>
            <w:r>
              <w:rPr>
                <w:rFonts w:ascii="Calibri" w:hAnsi="Calibri"/>
                <w:b w:val="0"/>
                <w:i w:val="0"/>
                <w:color w:val="212121"/>
                <w:sz w:val="16"/>
              </w:rPr>
              <w:t>Differentiates a plantar wart from a corn or callus</w:t>
            </w:r>
          </w:p>
        </w:tc>
        <w:tc>
          <w:tcPr>
            <w:tcW w:type="dxa" w:w="1036"/>
            <w:vAlign w:val="top"/>
          </w:tcPr>
          <w:p>
            <w:pPr>
              <w:spacing w:after="40" w:before="0" w:line="259" w:lineRule="auto"/>
            </w:pPr>
            <w:r>
              <w:rPr>
                <w:rFonts w:ascii="Calibri" w:hAnsi="Calibri"/>
                <w:b w:val="0"/>
                <w:i w:val="0"/>
                <w:color w:val="212121"/>
                <w:sz w:val="16"/>
              </w:rPr>
              <w:t>Plantar and palmar lesions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Simple bedside test; no anaesthetic needed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Skin biopsy</w:t>
            </w:r>
          </w:p>
        </w:tc>
        <w:tc>
          <w:tcPr>
            <w:tcW w:type="dxa" w:w="892"/>
            <w:vAlign w:val="top"/>
          </w:tcPr>
          <w:p>
            <w:pPr>
              <w:spacing w:after="40" w:before="0" w:line="259" w:lineRule="auto"/>
            </w:pPr>
            <w:r>
              <w:rPr>
                <w:rFonts w:ascii="Calibri" w:hAnsi="Calibri"/>
                <w:b w:val="0"/>
                <w:i w:val="0"/>
                <w:color w:val="212121"/>
                <w:sz w:val="16"/>
              </w:rPr>
              <w:t>Histopathological examination</w:t>
            </w:r>
          </w:p>
        </w:tc>
        <w:tc>
          <w:tcPr>
            <w:tcW w:type="dxa" w:w="950"/>
            <w:vAlign w:val="top"/>
          </w:tcPr>
          <w:p>
            <w:pPr>
              <w:spacing w:after="40" w:before="0" w:line="259" w:lineRule="auto"/>
            </w:pPr>
            <w:r>
              <w:rPr>
                <w:rFonts w:ascii="Calibri" w:hAnsi="Calibri"/>
                <w:b w:val="0"/>
                <w:i w:val="0"/>
                <w:color w:val="212121"/>
                <w:sz w:val="16"/>
              </w:rPr>
              <w:t>No viral cytopathic change</w:t>
            </w:r>
          </w:p>
        </w:tc>
        <w:tc>
          <w:tcPr>
            <w:tcW w:type="dxa" w:w="950"/>
            <w:vAlign w:val="top"/>
          </w:tcPr>
          <w:p>
            <w:pPr>
              <w:spacing w:after="40" w:before="0" w:line="259" w:lineRule="auto"/>
            </w:pPr>
            <w:r>
              <w:rPr>
                <w:rFonts w:ascii="Calibri" w:hAnsi="Calibri"/>
                <w:b w:val="0"/>
                <w:i w:val="0"/>
                <w:color w:val="212121"/>
                <w:sz w:val="16"/>
              </w:rPr>
              <w:t>Hyperkeratosis, papillomatosis, acanthosis, hypergranulosis and koilocytes</w:t>
            </w:r>
          </w:p>
        </w:tc>
        <w:tc>
          <w:tcPr>
            <w:tcW w:type="dxa" w:w="1036"/>
            <w:vAlign w:val="top"/>
          </w:tcPr>
          <w:p>
            <w:pPr>
              <w:spacing w:after="40" w:before="0" w:line="259" w:lineRule="auto"/>
            </w:pPr>
            <w:r>
              <w:rPr>
                <w:rFonts w:ascii="Calibri" w:hAnsi="Calibri"/>
                <w:b w:val="0"/>
                <w:i w:val="0"/>
                <w:color w:val="212121"/>
                <w:sz w:val="16"/>
              </w:rPr>
              <w:t>Confirms wart and excludes SCC / verrucous carcinoma</w:t>
            </w:r>
          </w:p>
        </w:tc>
        <w:tc>
          <w:tcPr>
            <w:tcW w:type="dxa" w:w="1036"/>
            <w:vAlign w:val="top"/>
          </w:tcPr>
          <w:p>
            <w:pPr>
              <w:spacing w:after="40" w:before="0" w:line="259" w:lineRule="auto"/>
            </w:pPr>
            <w:r>
              <w:rPr>
                <w:rFonts w:ascii="Calibri" w:hAnsi="Calibri"/>
                <w:b w:val="0"/>
                <w:i w:val="0"/>
                <w:color w:val="212121"/>
                <w:sz w:val="16"/>
              </w:rPr>
              <w:t>Atypical, solitary, pigmented, recalcitrant or suspicious lesions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Reserve for diagnostic doubt or suspected malignancy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HPV type</w:t>
            </w:r>
          </w:p>
        </w:tc>
        <w:tc>
          <w:tcPr>
            <w:tcW w:type="dxa" w:w="892"/>
            <w:vAlign w:val="top"/>
          </w:tcPr>
          <w:p>
            <w:pPr>
              <w:spacing w:after="40" w:before="0" w:line="259" w:lineRule="auto"/>
            </w:pPr>
            <w:r>
              <w:rPr>
                <w:rFonts w:ascii="Calibri" w:hAnsi="Calibri"/>
                <w:b w:val="0"/>
                <w:i w:val="0"/>
                <w:color w:val="212121"/>
                <w:sz w:val="16"/>
              </w:rPr>
              <w:t>HPV DNA PCR / typing</w:t>
            </w:r>
          </w:p>
        </w:tc>
        <w:tc>
          <w:tcPr>
            <w:tcW w:type="dxa" w:w="950"/>
            <w:vAlign w:val="top"/>
          </w:tcPr>
          <w:p>
            <w:pPr>
              <w:spacing w:after="40" w:before="0" w:line="259" w:lineRule="auto"/>
            </w:pPr>
            <w:r>
              <w:rPr>
                <w:rFonts w:ascii="Calibri" w:hAnsi="Calibri"/>
                <w:b w:val="0"/>
                <w:i w:val="0"/>
                <w:color w:val="212121"/>
                <w:sz w:val="16"/>
              </w:rPr>
              <w:t>No HPV DNA detected / not indicated</w:t>
            </w:r>
          </w:p>
        </w:tc>
        <w:tc>
          <w:tcPr>
            <w:tcW w:type="dxa" w:w="950"/>
            <w:vAlign w:val="top"/>
          </w:tcPr>
          <w:p>
            <w:pPr>
              <w:spacing w:after="40" w:before="0" w:line="259" w:lineRule="auto"/>
            </w:pPr>
            <w:r>
              <w:rPr>
                <w:rFonts w:ascii="Calibri" w:hAnsi="Calibri"/>
                <w:b w:val="0"/>
                <w:i w:val="0"/>
                <w:color w:val="212121"/>
                <w:sz w:val="16"/>
              </w:rPr>
              <w:t>Cutaneous HPV type identified</w:t>
            </w:r>
          </w:p>
        </w:tc>
        <w:tc>
          <w:tcPr>
            <w:tcW w:type="dxa" w:w="1036"/>
            <w:vAlign w:val="top"/>
          </w:tcPr>
          <w:p>
            <w:pPr>
              <w:spacing w:after="40" w:before="0" w:line="259" w:lineRule="auto"/>
            </w:pPr>
            <w:r>
              <w:rPr>
                <w:rFonts w:ascii="Calibri" w:hAnsi="Calibri"/>
                <w:b w:val="0"/>
                <w:i w:val="0"/>
                <w:color w:val="212121"/>
                <w:sz w:val="16"/>
              </w:rPr>
              <w:t>Identifies and types the virus</w:t>
            </w:r>
          </w:p>
        </w:tc>
        <w:tc>
          <w:tcPr>
            <w:tcW w:type="dxa" w:w="1036"/>
            <w:vAlign w:val="top"/>
          </w:tcPr>
          <w:p>
            <w:pPr>
              <w:spacing w:after="40" w:before="0" w:line="259" w:lineRule="auto"/>
            </w:pPr>
            <w:r>
              <w:rPr>
                <w:rFonts w:ascii="Calibri" w:hAnsi="Calibri"/>
                <w:b w:val="0"/>
                <w:i w:val="0"/>
                <w:color w:val="212121"/>
                <w:sz w:val="16"/>
              </w:rPr>
              <w:t>Research, epidermodysplasia verruciformis, immunosuppressed, atypical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Not required for routine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HIV status / immune competence</w:t>
            </w:r>
          </w:p>
        </w:tc>
        <w:tc>
          <w:tcPr>
            <w:tcW w:type="dxa" w:w="892"/>
            <w:vAlign w:val="top"/>
          </w:tcPr>
          <w:p>
            <w:pPr>
              <w:spacing w:after="40" w:before="0" w:line="259" w:lineRule="auto"/>
            </w:pPr>
            <w:r>
              <w:rPr>
                <w:rFonts w:ascii="Calibri" w:hAnsi="Calibri"/>
                <w:b w:val="0"/>
                <w:i w:val="0"/>
                <w:color w:val="212121"/>
                <w:sz w:val="16"/>
              </w:rPr>
              <w:t>HIV antibody-antigen test (+/- CD4)</w:t>
            </w:r>
          </w:p>
        </w:tc>
        <w:tc>
          <w:tcPr>
            <w:tcW w:type="dxa" w:w="950"/>
            <w:vAlign w:val="top"/>
          </w:tcPr>
          <w:p>
            <w:pPr>
              <w:spacing w:after="40" w:before="0" w:line="259" w:lineRule="auto"/>
            </w:pPr>
            <w:r>
              <w:rPr>
                <w:rFonts w:ascii="Calibri" w:hAnsi="Calibri"/>
                <w:b w:val="0"/>
                <w:i w:val="0"/>
                <w:color w:val="212121"/>
                <w:sz w:val="16"/>
              </w:rPr>
              <w:t>Non-reactive</w:t>
            </w:r>
          </w:p>
        </w:tc>
        <w:tc>
          <w:tcPr>
            <w:tcW w:type="dxa" w:w="950"/>
            <w:vAlign w:val="top"/>
          </w:tcPr>
          <w:p>
            <w:pPr>
              <w:spacing w:after="40" w:before="0" w:line="259" w:lineRule="auto"/>
            </w:pPr>
            <w:r>
              <w:rPr>
                <w:rFonts w:ascii="Calibri" w:hAnsi="Calibri"/>
                <w:b w:val="0"/>
                <w:i w:val="0"/>
                <w:color w:val="212121"/>
                <w:sz w:val="16"/>
              </w:rPr>
              <w:t>Reactive / low CD4</w:t>
            </w:r>
          </w:p>
        </w:tc>
        <w:tc>
          <w:tcPr>
            <w:tcW w:type="dxa" w:w="1036"/>
            <w:vAlign w:val="top"/>
          </w:tcPr>
          <w:p>
            <w:pPr>
              <w:spacing w:after="40" w:before="0" w:line="259" w:lineRule="auto"/>
            </w:pPr>
            <w:r>
              <w:rPr>
                <w:rFonts w:ascii="Calibri" w:hAnsi="Calibri"/>
                <w:b w:val="0"/>
                <w:i w:val="0"/>
                <w:color w:val="212121"/>
                <w:sz w:val="16"/>
              </w:rPr>
              <w:t>Detects underlying immunosuppression in extensive or recalcitrant warts</w:t>
            </w:r>
          </w:p>
        </w:tc>
        <w:tc>
          <w:tcPr>
            <w:tcW w:type="dxa" w:w="1036"/>
            <w:vAlign w:val="top"/>
          </w:tcPr>
          <w:p>
            <w:pPr>
              <w:spacing w:after="40" w:before="0" w:line="259" w:lineRule="auto"/>
            </w:pPr>
            <w:r>
              <w:rPr>
                <w:rFonts w:ascii="Calibri" w:hAnsi="Calibri"/>
                <w:b w:val="0"/>
                <w:i w:val="0"/>
                <w:color w:val="212121"/>
                <w:sz w:val="16"/>
              </w:rPr>
              <w:t>Extensive, atypical, explosive or recurrent warts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Consider in florid warts in a young adult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Glycaemic status</w:t>
            </w:r>
          </w:p>
        </w:tc>
        <w:tc>
          <w:tcPr>
            <w:tcW w:type="dxa" w:w="892"/>
            <w:vAlign w:val="top"/>
          </w:tcPr>
          <w:p>
            <w:pPr>
              <w:spacing w:after="40" w:before="0" w:line="259" w:lineRule="auto"/>
            </w:pPr>
            <w:r>
              <w:rPr>
                <w:rFonts w:ascii="Calibri" w:hAnsi="Calibri"/>
                <w:b w:val="0"/>
                <w:i w:val="0"/>
                <w:color w:val="212121"/>
                <w:sz w:val="16"/>
              </w:rPr>
              <w:t>Fasting glucose / HbA1c</w:t>
            </w:r>
          </w:p>
        </w:tc>
        <w:tc>
          <w:tcPr>
            <w:tcW w:type="dxa" w:w="950"/>
            <w:vAlign w:val="top"/>
          </w:tcPr>
          <w:p>
            <w:pPr>
              <w:spacing w:after="40" w:before="0" w:line="259" w:lineRule="auto"/>
            </w:pPr>
            <w:r>
              <w:rPr>
                <w:rFonts w:ascii="Calibri" w:hAnsi="Calibri"/>
                <w:b w:val="0"/>
                <w:i w:val="0"/>
                <w:color w:val="212121"/>
                <w:sz w:val="16"/>
              </w:rPr>
              <w:t>FPG &lt;100 mg/dL; HbA1c &lt;5.7%</w:t>
            </w:r>
          </w:p>
        </w:tc>
        <w:tc>
          <w:tcPr>
            <w:tcW w:type="dxa" w:w="950"/>
            <w:vAlign w:val="top"/>
          </w:tcPr>
          <w:p>
            <w:pPr>
              <w:spacing w:after="40" w:before="0" w:line="259" w:lineRule="auto"/>
            </w:pPr>
            <w:r>
              <w:rPr>
                <w:rFonts w:ascii="Calibri" w:hAnsi="Calibri"/>
                <w:b w:val="0"/>
                <w:i w:val="0"/>
                <w:color w:val="212121"/>
                <w:sz w:val="16"/>
              </w:rPr>
              <w:t>FPG &gt;=126 mg/dL; HbA1c &gt;=6.5%</w:t>
            </w:r>
          </w:p>
        </w:tc>
        <w:tc>
          <w:tcPr>
            <w:tcW w:type="dxa" w:w="1036"/>
            <w:vAlign w:val="top"/>
          </w:tcPr>
          <w:p>
            <w:pPr>
              <w:spacing w:after="40" w:before="0" w:line="259" w:lineRule="auto"/>
            </w:pPr>
            <w:r>
              <w:rPr>
                <w:rFonts w:ascii="Calibri" w:hAnsi="Calibri"/>
                <w:b w:val="0"/>
                <w:i w:val="0"/>
                <w:color w:val="212121"/>
                <w:sz w:val="16"/>
              </w:rPr>
              <w:t>Screens for diabetes contributing to persistence and foot risk</w:t>
            </w:r>
          </w:p>
        </w:tc>
        <w:tc>
          <w:tcPr>
            <w:tcW w:type="dxa" w:w="1036"/>
            <w:vAlign w:val="top"/>
          </w:tcPr>
          <w:p>
            <w:pPr>
              <w:spacing w:after="40" w:before="0" w:line="259" w:lineRule="auto"/>
            </w:pPr>
            <w:r>
              <w:rPr>
                <w:rFonts w:ascii="Calibri" w:hAnsi="Calibri"/>
                <w:b w:val="0"/>
                <w:i w:val="0"/>
                <w:color w:val="212121"/>
                <w:sz w:val="16"/>
              </w:rPr>
              <w:t>Recurrent or plantar warts, older adults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Relevant for the diabetic foot with plantar warts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Rough skin growth(s); duration, number, spread, pain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verrucous papules, +/- pain or spread</w:t>
            </w:r>
          </w:p>
        </w:tc>
        <w:tc>
          <w:tcPr>
            <w:tcW w:type="dxa" w:w="1036"/>
            <w:vAlign w:val="top"/>
          </w:tcPr>
          <w:p>
            <w:pPr>
              <w:spacing w:after="40" w:before="0" w:line="259" w:lineRule="auto"/>
            </w:pPr>
            <w:r>
              <w:rPr>
                <w:rFonts w:ascii="Calibri" w:hAnsi="Calibri"/>
                <w:b w:val="0"/>
                <w:i w:val="0"/>
                <w:color w:val="212121"/>
                <w:sz w:val="16"/>
              </w:rPr>
              <w:t>Cardinal presentation of viral warts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Note plantar pain on walking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and risk history</w:t>
            </w:r>
          </w:p>
        </w:tc>
        <w:tc>
          <w:tcPr>
            <w:tcW w:type="dxa" w:w="979"/>
            <w:vAlign w:val="top"/>
          </w:tcPr>
          <w:p>
            <w:pPr>
              <w:spacing w:after="40" w:before="0" w:line="259" w:lineRule="auto"/>
            </w:pPr>
            <w:r>
              <w:rPr>
                <w:rFonts w:ascii="Calibri" w:hAnsi="Calibri"/>
                <w:b w:val="0"/>
                <w:i w:val="0"/>
                <w:color w:val="212121"/>
                <w:sz w:val="16"/>
              </w:rPr>
              <w:t>Communal bathing/swimming, occupation (meat handling), nail-biting, prior or family warts</w:t>
            </w:r>
          </w:p>
        </w:tc>
        <w:tc>
          <w:tcPr>
            <w:tcW w:type="dxa" w:w="950"/>
            <w:vAlign w:val="top"/>
          </w:tcPr>
          <w:p>
            <w:pPr>
              <w:spacing w:after="40" w:before="0" w:line="259" w:lineRule="auto"/>
            </w:pPr>
            <w:r>
              <w:rPr>
                <w:rFonts w:ascii="Calibri" w:hAnsi="Calibri"/>
                <w:b w:val="0"/>
                <w:i w:val="0"/>
                <w:color w:val="212121"/>
                <w:sz w:val="16"/>
              </w:rPr>
              <w:t>No identifiable exposure</w:t>
            </w:r>
          </w:p>
        </w:tc>
        <w:tc>
          <w:tcPr>
            <w:tcW w:type="dxa" w:w="950"/>
            <w:vAlign w:val="top"/>
          </w:tcPr>
          <w:p>
            <w:pPr>
              <w:spacing w:after="40" w:before="0" w:line="259" w:lineRule="auto"/>
            </w:pPr>
            <w:r>
              <w:rPr>
                <w:rFonts w:ascii="Calibri" w:hAnsi="Calibri"/>
                <w:b w:val="0"/>
                <w:i w:val="0"/>
                <w:color w:val="212121"/>
                <w:sz w:val="16"/>
              </w:rPr>
              <w:t>Communal wet exposure, meat handling, nail-biting or affected contacts</w:t>
            </w:r>
          </w:p>
        </w:tc>
        <w:tc>
          <w:tcPr>
            <w:tcW w:type="dxa" w:w="1036"/>
            <w:vAlign w:val="top"/>
          </w:tcPr>
          <w:p>
            <w:pPr>
              <w:spacing w:after="40" w:before="0" w:line="259" w:lineRule="auto"/>
            </w:pPr>
            <w:r>
              <w:rPr>
                <w:rFonts w:ascii="Calibri" w:hAnsi="Calibri"/>
                <w:b w:val="0"/>
                <w:i w:val="0"/>
                <w:color w:val="212121"/>
                <w:sz w:val="16"/>
              </w:rPr>
              <w:t>Identifies transmission source and behaviours to modify</w:t>
            </w:r>
          </w:p>
        </w:tc>
        <w:tc>
          <w:tcPr>
            <w:tcW w:type="dxa" w:w="1036"/>
            <w:vAlign w:val="top"/>
          </w:tcPr>
          <w:p>
            <w:pPr>
              <w:spacing w:after="40" w:before="0" w:line="259" w:lineRule="auto"/>
            </w:pPr>
            <w:r>
              <w:rPr>
                <w:rFonts w:ascii="Calibri" w:hAnsi="Calibri"/>
                <w:b w:val="0"/>
                <w:i w:val="0"/>
                <w:color w:val="212121"/>
                <w:sz w:val="16"/>
              </w:rPr>
              <w:t>Swimmers, food handlers, hostel residents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prevention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Immune and comorbidity history</w:t>
            </w:r>
          </w:p>
        </w:tc>
        <w:tc>
          <w:tcPr>
            <w:tcW w:type="dxa" w:w="979"/>
            <w:vAlign w:val="top"/>
          </w:tcPr>
          <w:p>
            <w:pPr>
              <w:spacing w:after="40" w:before="0" w:line="259" w:lineRule="auto"/>
            </w:pPr>
            <w:r>
              <w:rPr>
                <w:rFonts w:ascii="Calibri" w:hAnsi="Calibri"/>
                <w:b w:val="0"/>
                <w:i w:val="0"/>
                <w:color w:val="212121"/>
                <w:sz w:val="16"/>
              </w:rPr>
              <w:t>HIV, transplant, chemotherapy, steroids/biologics, diabetes</w:t>
            </w:r>
          </w:p>
        </w:tc>
        <w:tc>
          <w:tcPr>
            <w:tcW w:type="dxa" w:w="950"/>
            <w:vAlign w:val="top"/>
          </w:tcPr>
          <w:p>
            <w:pPr>
              <w:spacing w:after="40" w:before="0" w:line="259" w:lineRule="auto"/>
            </w:pPr>
            <w:r>
              <w:rPr>
                <w:rFonts w:ascii="Calibri" w:hAnsi="Calibri"/>
                <w:b w:val="0"/>
                <w:i w:val="0"/>
                <w:color w:val="212121"/>
                <w:sz w:val="16"/>
              </w:rPr>
              <w:t>Immunocompetent</w:t>
            </w:r>
          </w:p>
        </w:tc>
        <w:tc>
          <w:tcPr>
            <w:tcW w:type="dxa" w:w="950"/>
            <w:vAlign w:val="top"/>
          </w:tcPr>
          <w:p>
            <w:pPr>
              <w:spacing w:after="40" w:before="0" w:line="259" w:lineRule="auto"/>
            </w:pPr>
            <w:r>
              <w:rPr>
                <w:rFonts w:ascii="Calibri" w:hAnsi="Calibri"/>
                <w:b w:val="0"/>
                <w:i w:val="0"/>
                <w:color w:val="212121"/>
                <w:sz w:val="16"/>
              </w:rPr>
              <w:t>Immunosuppression or diabetes</w:t>
            </w:r>
          </w:p>
        </w:tc>
        <w:tc>
          <w:tcPr>
            <w:tcW w:type="dxa" w:w="1036"/>
            <w:vAlign w:val="top"/>
          </w:tcPr>
          <w:p>
            <w:pPr>
              <w:spacing w:after="40" w:before="0" w:line="259" w:lineRule="auto"/>
            </w:pPr>
            <w:r>
              <w:rPr>
                <w:rFonts w:ascii="Calibri" w:hAnsi="Calibri"/>
                <w:b w:val="0"/>
                <w:i w:val="0"/>
                <w:color w:val="212121"/>
                <w:sz w:val="16"/>
              </w:rPr>
              <w:t>Flags risk of extensive, recalcitrant or premalignant warts</w:t>
            </w:r>
          </w:p>
        </w:tc>
        <w:tc>
          <w:tcPr>
            <w:tcW w:type="dxa" w:w="1036"/>
            <w:vAlign w:val="top"/>
          </w:tcPr>
          <w:p>
            <w:pPr>
              <w:spacing w:after="40" w:before="0" w:line="259" w:lineRule="auto"/>
            </w:pPr>
            <w:r>
              <w:rPr>
                <w:rFonts w:ascii="Calibri" w:hAnsi="Calibri"/>
                <w:b w:val="0"/>
                <w:i w:val="0"/>
                <w:color w:val="212121"/>
                <w:sz w:val="16"/>
              </w:rPr>
              <w:t>Immunosuppressed and diabetic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Alters therapy and follow-up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Local examination</w:t>
            </w:r>
          </w:p>
        </w:tc>
        <w:tc>
          <w:tcPr>
            <w:tcW w:type="dxa" w:w="950"/>
            <w:vAlign w:val="top"/>
          </w:tcPr>
          <w:p>
            <w:pPr>
              <w:spacing w:after="40" w:before="0" w:line="259" w:lineRule="auto"/>
            </w:pPr>
            <w:r>
              <w:rPr>
                <w:rFonts w:ascii="Calibri" w:hAnsi="Calibri"/>
                <w:b w:val="0"/>
                <w:i w:val="0"/>
                <w:color w:val="212121"/>
                <w:sz w:val="16"/>
              </w:rPr>
              <w:t>Lesion morphology and site</w:t>
            </w:r>
          </w:p>
        </w:tc>
        <w:tc>
          <w:tcPr>
            <w:tcW w:type="dxa" w:w="979"/>
            <w:vAlign w:val="top"/>
          </w:tcPr>
          <w:p>
            <w:pPr>
              <w:spacing w:after="40" w:before="0" w:line="259" w:lineRule="auto"/>
            </w:pPr>
            <w:r>
              <w:rPr>
                <w:rFonts w:ascii="Calibri" w:hAnsi="Calibri"/>
                <w:b w:val="0"/>
                <w:i w:val="0"/>
                <w:color w:val="212121"/>
                <w:sz w:val="16"/>
              </w:rPr>
              <w:t>Verrucous papule with black dots and loss of skin lines; distribution</w:t>
            </w:r>
          </w:p>
        </w:tc>
        <w:tc>
          <w:tcPr>
            <w:tcW w:type="dxa" w:w="950"/>
            <w:vAlign w:val="top"/>
          </w:tcPr>
          <w:p>
            <w:pPr>
              <w:spacing w:after="40" w:before="0" w:line="259" w:lineRule="auto"/>
            </w:pPr>
            <w:r>
              <w:rPr>
                <w:rFonts w:ascii="Calibri" w:hAnsi="Calibri"/>
                <w:b w:val="0"/>
                <w:i w:val="0"/>
                <w:color w:val="212121"/>
                <w:sz w:val="16"/>
              </w:rPr>
              <w:t>No lesions</w:t>
            </w:r>
          </w:p>
        </w:tc>
        <w:tc>
          <w:tcPr>
            <w:tcW w:type="dxa" w:w="950"/>
            <w:vAlign w:val="top"/>
          </w:tcPr>
          <w:p>
            <w:pPr>
              <w:spacing w:after="40" w:before="0" w:line="259" w:lineRule="auto"/>
            </w:pPr>
            <w:r>
              <w:rPr>
                <w:rFonts w:ascii="Calibri" w:hAnsi="Calibri"/>
                <w:b w:val="0"/>
                <w:i w:val="0"/>
                <w:color w:val="212121"/>
                <w:sz w:val="16"/>
              </w:rPr>
              <w:t>Characteristic wart morphology</w:t>
            </w:r>
          </w:p>
        </w:tc>
        <w:tc>
          <w:tcPr>
            <w:tcW w:type="dxa" w:w="1036"/>
            <w:vAlign w:val="top"/>
          </w:tcPr>
          <w:p>
            <w:pPr>
              <w:spacing w:after="40" w:before="0" w:line="259" w:lineRule="auto"/>
            </w:pPr>
            <w:r>
              <w:rPr>
                <w:rFonts w:ascii="Calibri" w:hAnsi="Calibri"/>
                <w:b w:val="0"/>
                <w:i w:val="0"/>
                <w:color w:val="212121"/>
                <w:sz w:val="16"/>
              </w:rPr>
              <w:t>Establishes the clinical diagnosis and wart type</w:t>
            </w:r>
          </w:p>
        </w:tc>
        <w:tc>
          <w:tcPr>
            <w:tcW w:type="dxa" w:w="1036"/>
            <w:vAlign w:val="top"/>
          </w:tcPr>
          <w:p>
            <w:pPr>
              <w:spacing w:after="40" w:before="0" w:line="259" w:lineRule="auto"/>
            </w:pPr>
            <w:r>
              <w:rPr>
                <w:rFonts w:ascii="Calibri" w:hAnsi="Calibri"/>
                <w:b w:val="0"/>
                <w:i w:val="0"/>
                <w:color w:val="212121"/>
                <w:sz w:val="16"/>
              </w:rPr>
              <w:t>All warts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Document number, size and site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Local examination</w:t>
            </w:r>
          </w:p>
        </w:tc>
        <w:tc>
          <w:tcPr>
            <w:tcW w:type="dxa" w:w="950"/>
            <w:vAlign w:val="top"/>
          </w:tcPr>
          <w:p>
            <w:pPr>
              <w:spacing w:after="40" w:before="0" w:line="259" w:lineRule="auto"/>
            </w:pPr>
            <w:r>
              <w:rPr>
                <w:rFonts w:ascii="Calibri" w:hAnsi="Calibri"/>
                <w:b w:val="0"/>
                <w:i w:val="0"/>
                <w:color w:val="212121"/>
                <w:sz w:val="16"/>
              </w:rPr>
              <w:t>Paring and lateral-pressure test</w:t>
            </w:r>
          </w:p>
        </w:tc>
        <w:tc>
          <w:tcPr>
            <w:tcW w:type="dxa" w:w="979"/>
            <w:vAlign w:val="top"/>
          </w:tcPr>
          <w:p>
            <w:pPr>
              <w:spacing w:after="40" w:before="0" w:line="259" w:lineRule="auto"/>
            </w:pPr>
            <w:r>
              <w:rPr>
                <w:rFonts w:ascii="Calibri" w:hAnsi="Calibri"/>
                <w:b w:val="0"/>
                <w:i w:val="0"/>
                <w:color w:val="212121"/>
                <w:sz w:val="16"/>
              </w:rPr>
              <w:t>Thrombosed capillaries; pain on lateral pressure</w:t>
            </w:r>
          </w:p>
        </w:tc>
        <w:tc>
          <w:tcPr>
            <w:tcW w:type="dxa" w:w="950"/>
            <w:vAlign w:val="top"/>
          </w:tcPr>
          <w:p>
            <w:pPr>
              <w:spacing w:after="40" w:before="0" w:line="259" w:lineRule="auto"/>
            </w:pPr>
            <w:r>
              <w:rPr>
                <w:rFonts w:ascii="Calibri" w:hAnsi="Calibri"/>
                <w:b w:val="0"/>
                <w:i w:val="0"/>
                <w:color w:val="212121"/>
                <w:sz w:val="16"/>
              </w:rPr>
              <w:t>Corn: central core, direct-pressure pain</w:t>
            </w:r>
          </w:p>
        </w:tc>
        <w:tc>
          <w:tcPr>
            <w:tcW w:type="dxa" w:w="950"/>
            <w:vAlign w:val="top"/>
          </w:tcPr>
          <w:p>
            <w:pPr>
              <w:spacing w:after="40" w:before="0" w:line="259" w:lineRule="auto"/>
            </w:pPr>
            <w:r>
              <w:rPr>
                <w:rFonts w:ascii="Calibri" w:hAnsi="Calibri"/>
                <w:b w:val="0"/>
                <w:i w:val="0"/>
                <w:color w:val="212121"/>
                <w:sz w:val="16"/>
              </w:rPr>
              <w:t>Wart: pinpoint bleeding, lateral-pressure pain</w:t>
            </w:r>
          </w:p>
        </w:tc>
        <w:tc>
          <w:tcPr>
            <w:tcW w:type="dxa" w:w="1036"/>
            <w:vAlign w:val="top"/>
          </w:tcPr>
          <w:p>
            <w:pPr>
              <w:spacing w:after="40" w:before="0" w:line="259" w:lineRule="auto"/>
            </w:pPr>
            <w:r>
              <w:rPr>
                <w:rFonts w:ascii="Calibri" w:hAnsi="Calibri"/>
                <w:b w:val="0"/>
                <w:i w:val="0"/>
                <w:color w:val="212121"/>
                <w:sz w:val="16"/>
              </w:rPr>
              <w:t>Differentiates a plantar wart from a corn or callus</w:t>
            </w:r>
          </w:p>
        </w:tc>
        <w:tc>
          <w:tcPr>
            <w:tcW w:type="dxa" w:w="1036"/>
            <w:vAlign w:val="top"/>
          </w:tcPr>
          <w:p>
            <w:pPr>
              <w:spacing w:after="40" w:before="0" w:line="259" w:lineRule="auto"/>
            </w:pPr>
            <w:r>
              <w:rPr>
                <w:rFonts w:ascii="Calibri" w:hAnsi="Calibri"/>
                <w:b w:val="0"/>
                <w:i w:val="0"/>
                <w:color w:val="212121"/>
                <w:sz w:val="16"/>
              </w:rPr>
              <w:t>Plantar and palmar lesions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Simple bedside discriminator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Extent and immune assessment</w:t>
            </w:r>
          </w:p>
        </w:tc>
        <w:tc>
          <w:tcPr>
            <w:tcW w:type="dxa" w:w="979"/>
            <w:vAlign w:val="top"/>
          </w:tcPr>
          <w:p>
            <w:pPr>
              <w:spacing w:after="40" w:before="0" w:line="259" w:lineRule="auto"/>
            </w:pPr>
            <w:r>
              <w:rPr>
                <w:rFonts w:ascii="Calibri" w:hAnsi="Calibri"/>
                <w:b w:val="0"/>
                <w:i w:val="0"/>
                <w:color w:val="212121"/>
                <w:sz w:val="16"/>
              </w:rPr>
              <w:t>Number/extent of warts; signs of immunodeficiency; mucosal/anogenital check</w:t>
            </w:r>
          </w:p>
        </w:tc>
        <w:tc>
          <w:tcPr>
            <w:tcW w:type="dxa" w:w="950"/>
            <w:vAlign w:val="top"/>
          </w:tcPr>
          <w:p>
            <w:pPr>
              <w:spacing w:after="40" w:before="0" w:line="259" w:lineRule="auto"/>
            </w:pPr>
            <w:r>
              <w:rPr>
                <w:rFonts w:ascii="Calibri" w:hAnsi="Calibri"/>
                <w:b w:val="0"/>
                <w:i w:val="0"/>
                <w:color w:val="212121"/>
                <w:sz w:val="16"/>
              </w:rPr>
              <w:t>Few localised warts, immunocompetent</w:t>
            </w:r>
          </w:p>
        </w:tc>
        <w:tc>
          <w:tcPr>
            <w:tcW w:type="dxa" w:w="950"/>
            <w:vAlign w:val="top"/>
          </w:tcPr>
          <w:p>
            <w:pPr>
              <w:spacing w:after="40" w:before="0" w:line="259" w:lineRule="auto"/>
            </w:pPr>
            <w:r>
              <w:rPr>
                <w:rFonts w:ascii="Calibri" w:hAnsi="Calibri"/>
                <w:b w:val="0"/>
                <w:i w:val="0"/>
                <w:color w:val="212121"/>
                <w:sz w:val="16"/>
              </w:rPr>
              <w:t>Widespread or atypical warts; signs of immunodeficiency</w:t>
            </w:r>
          </w:p>
        </w:tc>
        <w:tc>
          <w:tcPr>
            <w:tcW w:type="dxa" w:w="1036"/>
            <w:vAlign w:val="top"/>
          </w:tcPr>
          <w:p>
            <w:pPr>
              <w:spacing w:after="40" w:before="0" w:line="259" w:lineRule="auto"/>
            </w:pPr>
            <w:r>
              <w:rPr>
                <w:rFonts w:ascii="Calibri" w:hAnsi="Calibri"/>
                <w:b w:val="0"/>
                <w:i w:val="0"/>
                <w:color w:val="212121"/>
                <w:sz w:val="16"/>
              </w:rPr>
              <w:t>Identifies need for immune workup and malignancy vigilance</w:t>
            </w:r>
          </w:p>
        </w:tc>
        <w:tc>
          <w:tcPr>
            <w:tcW w:type="dxa" w:w="1036"/>
            <w:vAlign w:val="top"/>
          </w:tcPr>
          <w:p>
            <w:pPr>
              <w:spacing w:after="40" w:before="0" w:line="259" w:lineRule="auto"/>
            </w:pPr>
            <w:r>
              <w:rPr>
                <w:rFonts w:ascii="Calibri" w:hAnsi="Calibri"/>
                <w:b w:val="0"/>
                <w:i w:val="0"/>
                <w:color w:val="212121"/>
                <w:sz w:val="16"/>
              </w:rPr>
              <w:t>Extensive or atypical warts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Consider EV and anogenital involvement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Rough, raised skin growth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firm, well-defined, cauliflower-like papule or plaque, most often on the hands, fingers or feet.</w:t>
            </w:r>
          </w:p>
        </w:tc>
      </w:tr>
      <w:tr>
        <w:trPr>
          <w:cantSplit/>
        </w:trPr>
        <w:tc>
          <w:tcPr>
            <w:tcW w:type="dxa" w:w="2304"/>
            <w:vAlign w:val="top"/>
          </w:tcPr>
          <w:p>
            <w:pPr>
              <w:spacing w:after="40" w:before="0" w:line="259" w:lineRule="auto"/>
            </w:pPr>
            <w:r>
              <w:rPr>
                <w:rFonts w:ascii="Calibri" w:hAnsi="Calibri"/>
                <w:b/>
                <w:i w:val="0"/>
                <w:color w:val="212121"/>
                <w:sz w:val="19"/>
              </w:rPr>
              <w:t>Multiple or spreading lesions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New warts appear near or distant to the original through autoinoculation (scratching, shaving, picking).</w:t>
            </w:r>
          </w:p>
        </w:tc>
      </w:tr>
      <w:tr>
        <w:trPr>
          <w:cantSplit/>
        </w:trPr>
        <w:tc>
          <w:tcPr>
            <w:tcW w:type="dxa" w:w="2304"/>
            <w:vAlign w:val="top"/>
          </w:tcPr>
          <w:p>
            <w:pPr>
              <w:spacing w:after="40" w:before="0" w:line="259" w:lineRule="auto"/>
            </w:pPr>
            <w:r>
              <w:rPr>
                <w:rFonts w:ascii="Calibri" w:hAnsi="Calibri"/>
                <w:b/>
                <w:i w:val="0"/>
                <w:color w:val="212121"/>
                <w:sz w:val="19"/>
              </w:rPr>
              <w:t>Pain on standing or walking (plantar warts)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Weight-bearing plantar warts are tender, especially on lateral pressure, and can impair walking.</w:t>
            </w:r>
          </w:p>
        </w:tc>
      </w:tr>
      <w:tr>
        <w:trPr>
          <w:cantSplit/>
        </w:trPr>
        <w:tc>
          <w:tcPr>
            <w:tcW w:type="dxa" w:w="2304"/>
            <w:vAlign w:val="top"/>
          </w:tcPr>
          <w:p>
            <w:pPr>
              <w:spacing w:after="40" w:before="0" w:line="259" w:lineRule="auto"/>
            </w:pPr>
            <w:r>
              <w:rPr>
                <w:rFonts w:ascii="Calibri" w:hAnsi="Calibri"/>
                <w:b/>
                <w:i w:val="0"/>
                <w:color w:val="212121"/>
                <w:sz w:val="19"/>
              </w:rPr>
              <w:t>Cosmetic concern and embarrassment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Visible warts on the hands and face cause self-consciousness and significant quality-of-life impact.</w:t>
            </w:r>
          </w:p>
        </w:tc>
      </w:tr>
      <w:tr>
        <w:trPr>
          <w:cantSplit/>
        </w:trPr>
        <w:tc>
          <w:tcPr>
            <w:tcW w:type="dxa" w:w="2304"/>
            <w:vAlign w:val="top"/>
          </w:tcPr>
          <w:p>
            <w:pPr>
              <w:spacing w:after="40" w:before="0" w:line="259" w:lineRule="auto"/>
            </w:pPr>
            <w:r>
              <w:rPr>
                <w:rFonts w:ascii="Calibri" w:hAnsi="Calibri"/>
                <w:b/>
                <w:i w:val="0"/>
                <w:color w:val="212121"/>
                <w:sz w:val="19"/>
              </w:rPr>
              <w:t>Asymptomatic lesions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Many common warts cause no symptoms and are noticed only as a bump.</w:t>
            </w:r>
          </w:p>
        </w:tc>
      </w:tr>
      <w:tr>
        <w:trPr>
          <w:cantSplit/>
        </w:trPr>
        <w:tc>
          <w:tcPr>
            <w:tcW w:type="dxa" w:w="2304"/>
            <w:vAlign w:val="top"/>
          </w:tcPr>
          <w:p>
            <w:pPr>
              <w:spacing w:after="40" w:before="0" w:line="259" w:lineRule="auto"/>
            </w:pPr>
            <w:r>
              <w:rPr>
                <w:rFonts w:ascii="Calibri" w:hAnsi="Calibri"/>
                <w:b/>
                <w:i w:val="0"/>
                <w:color w:val="212121"/>
                <w:sz w:val="19"/>
              </w:rPr>
              <w:t>Itching or irritation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Some warts, especially flat warts, itch or feel irritated.</w:t>
            </w:r>
          </w:p>
        </w:tc>
      </w:tr>
      <w:tr>
        <w:trPr>
          <w:cantSplit/>
        </w:trPr>
        <w:tc>
          <w:tcPr>
            <w:tcW w:type="dxa" w:w="2304"/>
            <w:vAlign w:val="top"/>
          </w:tcPr>
          <w:p>
            <w:pPr>
              <w:spacing w:after="40" w:before="0" w:line="259" w:lineRule="auto"/>
            </w:pPr>
            <w:r>
              <w:rPr>
                <w:rFonts w:ascii="Calibri" w:hAnsi="Calibri"/>
                <w:b/>
                <w:i w:val="0"/>
                <w:color w:val="212121"/>
                <w:sz w:val="19"/>
              </w:rPr>
              <w:t>Bleeding when knocked or trimmed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Warts bleed from thrombosed surface capillaries when traumatised.</w:t>
            </w:r>
          </w:p>
        </w:tc>
      </w:tr>
      <w:tr>
        <w:trPr>
          <w:cantSplit/>
        </w:trPr>
        <w:tc>
          <w:tcPr>
            <w:tcW w:type="dxa" w:w="2304"/>
            <w:vAlign w:val="top"/>
          </w:tcPr>
          <w:p>
            <w:pPr>
              <w:spacing w:after="40" w:before="0" w:line="259" w:lineRule="auto"/>
            </w:pPr>
            <w:r>
              <w:rPr>
                <w:rFonts w:ascii="Calibri" w:hAnsi="Calibri"/>
                <w:b/>
                <w:i w:val="0"/>
                <w:color w:val="212121"/>
                <w:sz w:val="19"/>
              </w:rPr>
              <w:t>Nail changes or periungual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Periungual and subungual warts can distort the nail and be painful.</w:t>
            </w:r>
          </w:p>
        </w:tc>
      </w:tr>
      <w:tr>
        <w:trPr>
          <w:cantSplit/>
        </w:trPr>
        <w:tc>
          <w:tcPr>
            <w:tcW w:type="dxa" w:w="2304"/>
            <w:vAlign w:val="top"/>
          </w:tcPr>
          <w:p>
            <w:pPr>
              <w:spacing w:after="40" w:before="0" w:line="259" w:lineRule="auto"/>
            </w:pPr>
            <w:r>
              <w:rPr>
                <w:rFonts w:ascii="Calibri" w:hAnsi="Calibri"/>
                <w:b/>
                <w:i w:val="0"/>
                <w:color w:val="212121"/>
                <w:sz w:val="19"/>
              </w:rPr>
              <w:t>Fissuring and difficulty walking (mosaic plantar warts)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Large coalescent plantar (mosaic) warts crack and hurt, limiting mobility.</w:t>
            </w:r>
          </w:p>
        </w:tc>
      </w:tr>
      <w:tr>
        <w:trPr>
          <w:cantSplit/>
        </w:trPr>
        <w:tc>
          <w:tcPr>
            <w:tcW w:type="dxa" w:w="2304"/>
            <w:vAlign w:val="top"/>
          </w:tcPr>
          <w:p>
            <w:pPr>
              <w:spacing w:after="40" w:before="0" w:line="259" w:lineRule="auto"/>
            </w:pPr>
            <w:r>
              <w:rPr>
                <w:rFonts w:ascii="Calibri" w:hAnsi="Calibri"/>
                <w:b/>
                <w:i w:val="0"/>
                <w:color w:val="212121"/>
                <w:sz w:val="19"/>
              </w:rPr>
              <w:t>Recurrence after apparent cure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Warts frequently recur because latent HPV persists in surrounding normal-looking skin.</w:t>
            </w:r>
          </w:p>
        </w:tc>
      </w:tr>
      <w:tr>
        <w:trPr>
          <w:cantSplit/>
        </w:trPr>
        <w:tc>
          <w:tcPr>
            <w:tcW w:type="dxa" w:w="2304"/>
            <w:vAlign w:val="top"/>
          </w:tcPr>
          <w:p>
            <w:pPr>
              <w:spacing w:after="40" w:before="0" w:line="259" w:lineRule="auto"/>
            </w:pPr>
            <w:r>
              <w:rPr>
                <w:rFonts w:ascii="Calibri" w:hAnsi="Calibri"/>
                <w:b/>
                <w:i w:val="0"/>
                <w:color w:val="212121"/>
                <w:sz w:val="19"/>
              </w:rPr>
              <w:t>Rapidly spreading, widespread warts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An explosive or extensive eruption suggests underlying immunosuppression (HIV, transplant, biologics).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Hyperkeratotic verrucous papule or plaque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Firm, rough, well-demarcated lesion with a papilliform surface.</w:t>
            </w:r>
          </w:p>
        </w:tc>
      </w:tr>
      <w:tr>
        <w:trPr>
          <w:cantSplit/>
        </w:trPr>
        <w:tc>
          <w:tcPr>
            <w:tcW w:type="dxa" w:w="3456"/>
            <w:vAlign w:val="top"/>
          </w:tcPr>
          <w:p>
            <w:pPr>
              <w:spacing w:after="40" w:before="0" w:line="259" w:lineRule="auto"/>
            </w:pPr>
            <w:r>
              <w:rPr>
                <w:rFonts w:ascii="Calibri" w:hAnsi="Calibri"/>
                <w:b/>
                <w:i w:val="0"/>
                <w:color w:val="212121"/>
                <w:sz w:val="19"/>
              </w:rPr>
              <w:t>Thrombosed capillaries (black/red dots)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Pinpoint black or red dots within the wart; the hallmark, seen on the surface or after paring.</w:t>
            </w:r>
          </w:p>
        </w:tc>
      </w:tr>
      <w:tr>
        <w:trPr>
          <w:cantSplit/>
        </w:trPr>
        <w:tc>
          <w:tcPr>
            <w:tcW w:type="dxa" w:w="3456"/>
            <w:vAlign w:val="top"/>
          </w:tcPr>
          <w:p>
            <w:pPr>
              <w:spacing w:after="40" w:before="0" w:line="259" w:lineRule="auto"/>
            </w:pPr>
            <w:r>
              <w:rPr>
                <w:rFonts w:ascii="Calibri" w:hAnsi="Calibri"/>
                <w:b/>
                <w:i w:val="0"/>
                <w:color w:val="212121"/>
                <w:sz w:val="19"/>
              </w:rPr>
              <w:t>Loss or interruption of skin lines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Normal dermatoglyphics stop at the wart, unlike a corn or callus.</w:t>
            </w:r>
          </w:p>
        </w:tc>
      </w:tr>
      <w:tr>
        <w:trPr>
          <w:cantSplit/>
        </w:trPr>
        <w:tc>
          <w:tcPr>
            <w:tcW w:type="dxa" w:w="3456"/>
            <w:vAlign w:val="top"/>
          </w:tcPr>
          <w:p>
            <w:pPr>
              <w:spacing w:after="40" w:before="0" w:line="259" w:lineRule="auto"/>
            </w:pPr>
            <w:r>
              <w:rPr>
                <w:rFonts w:ascii="Calibri" w:hAnsi="Calibri"/>
                <w:b/>
                <w:i w:val="0"/>
                <w:color w:val="212121"/>
                <w:sz w:val="19"/>
              </w:rPr>
              <w:t>Pinpoint bleeding on paring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Paring the surface produces pinpoint bleeding from thrombosed vessels.</w:t>
            </w:r>
          </w:p>
        </w:tc>
      </w:tr>
      <w:tr>
        <w:trPr>
          <w:cantSplit/>
        </w:trPr>
        <w:tc>
          <w:tcPr>
            <w:tcW w:type="dxa" w:w="3456"/>
            <w:vAlign w:val="top"/>
          </w:tcPr>
          <w:p>
            <w:pPr>
              <w:spacing w:after="40" w:before="0" w:line="259" w:lineRule="auto"/>
            </w:pPr>
            <w:r>
              <w:rPr>
                <w:rFonts w:ascii="Calibri" w:hAnsi="Calibri"/>
                <w:b/>
                <w:i w:val="0"/>
                <w:color w:val="212121"/>
                <w:sz w:val="19"/>
              </w:rPr>
              <w:t>Painful plantar wart with surrounding callus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Inward-growing sole lesion, tender on lateral pinch, ringed by callus.</w:t>
            </w:r>
          </w:p>
        </w:tc>
      </w:tr>
      <w:tr>
        <w:trPr>
          <w:cantSplit/>
        </w:trPr>
        <w:tc>
          <w:tcPr>
            <w:tcW w:type="dxa" w:w="3456"/>
            <w:vAlign w:val="top"/>
          </w:tcPr>
          <w:p>
            <w:pPr>
              <w:spacing w:after="40" w:before="0" w:line="259" w:lineRule="auto"/>
            </w:pPr>
            <w:r>
              <w:rPr>
                <w:rFonts w:ascii="Calibri" w:hAnsi="Calibri"/>
                <w:b/>
                <w:i w:val="0"/>
                <w:color w:val="212121"/>
                <w:sz w:val="19"/>
              </w:rPr>
              <w:t>Flat (plane) warts in a linear pattern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Multiple small flat-topped papules, often in a scratch or shave (Koebner) line on the face or hands.</w:t>
            </w:r>
          </w:p>
        </w:tc>
      </w:tr>
      <w:tr>
        <w:trPr>
          <w:cantSplit/>
        </w:trPr>
        <w:tc>
          <w:tcPr>
            <w:tcW w:type="dxa" w:w="3456"/>
            <w:vAlign w:val="top"/>
          </w:tcPr>
          <w:p>
            <w:pPr>
              <w:spacing w:after="40" w:before="0" w:line="259" w:lineRule="auto"/>
            </w:pPr>
            <w:r>
              <w:rPr>
                <w:rFonts w:ascii="Calibri" w:hAnsi="Calibri"/>
                <w:b/>
                <w:i w:val="0"/>
                <w:color w:val="212121"/>
                <w:sz w:val="19"/>
              </w:rPr>
              <w:t>Filiform (frond-like) warts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Finger-like projections on the face, eyelids, lips or neck.</w:t>
            </w:r>
          </w:p>
        </w:tc>
      </w:tr>
      <w:tr>
        <w:trPr>
          <w:cantSplit/>
        </w:trPr>
        <w:tc>
          <w:tcPr>
            <w:tcW w:type="dxa" w:w="3456"/>
            <w:vAlign w:val="top"/>
          </w:tcPr>
          <w:p>
            <w:pPr>
              <w:spacing w:after="40" w:before="0" w:line="259" w:lineRule="auto"/>
            </w:pPr>
            <w:r>
              <w:rPr>
                <w:rFonts w:ascii="Calibri" w:hAnsi="Calibri"/>
                <w:b/>
                <w:i w:val="0"/>
                <w:color w:val="212121"/>
                <w:sz w:val="19"/>
              </w:rPr>
              <w:t>Periungual or subungual warts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Clustered around or under the nail, sometimes with nail dystrophy.</w:t>
            </w:r>
          </w:p>
        </w:tc>
      </w:tr>
      <w:tr>
        <w:trPr>
          <w:cantSplit/>
        </w:trPr>
        <w:tc>
          <w:tcPr>
            <w:tcW w:type="dxa" w:w="3456"/>
            <w:vAlign w:val="top"/>
          </w:tcPr>
          <w:p>
            <w:pPr>
              <w:spacing w:after="40" w:before="0" w:line="259" w:lineRule="auto"/>
            </w:pPr>
            <w:r>
              <w:rPr>
                <w:rFonts w:ascii="Calibri" w:hAnsi="Calibri"/>
                <w:b/>
                <w:i w:val="0"/>
                <w:color w:val="212121"/>
                <w:sz w:val="19"/>
              </w:rPr>
              <w:t>Mosaic warts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confluent plaque of many small plantar warts on the sole.</w:t>
            </w:r>
          </w:p>
        </w:tc>
      </w:tr>
      <w:tr>
        <w:trPr>
          <w:cantSplit/>
        </w:trPr>
        <w:tc>
          <w:tcPr>
            <w:tcW w:type="dxa" w:w="3456"/>
            <w:vAlign w:val="top"/>
          </w:tcPr>
          <w:p>
            <w:pPr>
              <w:spacing w:after="40" w:before="0" w:line="259" w:lineRule="auto"/>
            </w:pPr>
            <w:r>
              <w:rPr>
                <w:rFonts w:ascii="Calibri" w:hAnsi="Calibri"/>
                <w:b/>
                <w:i w:val="0"/>
                <w:color w:val="212121"/>
                <w:sz w:val="19"/>
              </w:rPr>
              <w:t>Ring ('donut') wart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recurrent wart forming a ring at the edge of a previously treated site.</w:t>
            </w:r>
          </w:p>
        </w:tc>
      </w:tr>
      <w:tr>
        <w:trPr>
          <w:cantSplit/>
        </w:trPr>
        <w:tc>
          <w:tcPr>
            <w:tcW w:type="dxa" w:w="3456"/>
            <w:vAlign w:val="top"/>
          </w:tcPr>
          <w:p>
            <w:pPr>
              <w:spacing w:after="40" w:before="0" w:line="259" w:lineRule="auto"/>
            </w:pPr>
            <w:r>
              <w:rPr>
                <w:rFonts w:ascii="Calibri" w:hAnsi="Calibri"/>
                <w:b/>
                <w:i w:val="0"/>
                <w:color w:val="212121"/>
                <w:sz w:val="19"/>
              </w:rPr>
              <w:t>Widespread confluent warts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Extensive, treatment-resistant warts signalling immunosuppression.</w:t>
            </w:r>
          </w:p>
        </w:tc>
      </w:tr>
      <w:tr>
        <w:trPr>
          <w:cantSplit/>
        </w:trPr>
        <w:tc>
          <w:tcPr>
            <w:tcW w:type="dxa" w:w="3456"/>
            <w:vAlign w:val="top"/>
          </w:tcPr>
          <w:p>
            <w:pPr>
              <w:spacing w:after="40" w:before="0" w:line="259" w:lineRule="auto"/>
            </w:pPr>
            <w:r>
              <w:rPr>
                <w:rFonts w:ascii="Calibri" w:hAnsi="Calibri"/>
                <w:b/>
                <w:i w:val="0"/>
                <w:color w:val="212121"/>
                <w:sz w:val="19"/>
              </w:rPr>
              <w:t>EV: flat warts with pityriasis-versicolor-like macules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 epidermodysplasia verruciformis, widespread flat warts and reddish or hypopigmented scaly macules on sun-exposed skin, with squamous cell carcinoma risk.</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 and impaired walking from plantar warts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Autoinoculation and local spread of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of eroded or picked warts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Bleeding from traumatised warts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Cosmetic disfigurement and nail dystrophy (periungual warts)</w:t>
            </w:r>
          </w:p>
        </w:tc>
        <w:tc>
          <w:tcPr>
            <w:tcW w:type="dxa" w:w="2980"/>
            <w:vAlign w:val="top"/>
          </w:tcPr>
          <w:p>
            <w:pPr>
              <w:spacing w:after="40" w:before="0" w:line="259" w:lineRule="auto"/>
            </w:pPr>
            <w:r>
              <w:rPr>
                <w:rFonts w:ascii="Calibri" w:hAnsi="Calibri"/>
                <w:b w:val="0"/>
                <w:i w:val="0"/>
                <w:color w:val="212121"/>
                <w:sz w:val="19"/>
              </w:rPr>
              <w:t>Direct local consequences of the wart and its spread.</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Recalcitrant and frequently recurrent warts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Extensive, confluent or mosaic warts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Koebnerisation and satellite lesions from trauma or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Treatment-related scarring, blistering and hypo-/hyper-pigmentation (cryotherapy, acids, cautery)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Significant psychological distress and impaired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Onward transmission to household and community contacts</w:t>
            </w:r>
          </w:p>
        </w:tc>
        <w:tc>
          <w:tcPr>
            <w:tcW w:type="dxa" w:w="2980"/>
            <w:vAlign w:val="top"/>
          </w:tcPr>
          <w:p>
            <w:pPr>
              <w:spacing w:after="40" w:before="0" w:line="259" w:lineRule="auto"/>
            </w:pPr>
            <w:r>
              <w:rPr>
                <w:rFonts w:ascii="Calibri" w:hAnsi="Calibri"/>
                <w:b w:val="0"/>
                <w:i w:val="0"/>
                <w:color w:val="212121"/>
                <w:sz w:val="19"/>
              </w:rPr>
              <w:t>Consequences of viral persistence, spread and therapy over time.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Cutaneous squamous cell / verrucous carcinoma (epithelioma cuniculatum of the sole) in chronic or immunosuppressed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Multiple skin cancers on sun-exposed skin in epidermodysplasia verruciformis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Widespread disfiguring, disabling warts in severe immunodeficiency (HIV, transplant, DOCK8)</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Malignant transformation in organ-transplant recipients</w:t>
            </w:r>
          </w:p>
        </w:tc>
        <w:tc>
          <w:tcPr>
            <w:tcW w:type="dxa" w:w="2980"/>
            <w:vAlign w:val="top"/>
          </w:tcPr>
          <w:p>
            <w:pPr>
              <w:spacing w:after="40" w:before="0" w:line="259" w:lineRule="auto"/>
            </w:pPr>
            <w:r>
              <w:rPr>
                <w:rFonts w:ascii="Calibri" w:hAnsi="Calibri"/>
                <w:b w:val="0"/>
                <w:i w:val="0"/>
                <w:color w:val="212121"/>
                <w:sz w:val="19"/>
              </w:rPr>
              <w:t>Rare but serious malignant and disabling outcomes, concentrated in the immunosuppressed and in EV.</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HIV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Immunosuppression from HIV causes numerous, extensive, atypical and treatment-resistant warts; florid warts in a young adult warrant HIV testing.</w:t>
            </w:r>
          </w:p>
        </w:tc>
      </w:tr>
      <w:tr>
        <w:trPr>
          <w:cantSplit/>
        </w:trPr>
        <w:tc>
          <w:tcPr>
            <w:tcW w:type="dxa" w:w="2232"/>
            <w:vAlign w:val="top"/>
          </w:tcPr>
          <w:p>
            <w:pPr>
              <w:spacing w:after="40" w:before="0" w:line="259" w:lineRule="auto"/>
            </w:pPr>
            <w:r>
              <w:rPr>
                <w:rFonts w:ascii="Calibri" w:hAnsi="Calibri"/>
                <w:b/>
                <w:i w:val="0"/>
                <w:color w:val="212121"/>
                <w:sz w:val="19"/>
              </w:rPr>
              <w:t>Solid-organ transplantation / immunosuppressive therapy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Long-term immunosuppression greatly increases wart prevalence, which rises with time since transplant and can progress to squamous cell carcinoma; reducing immunosuppression may clear warts.</w:t>
            </w:r>
          </w:p>
        </w:tc>
      </w:tr>
      <w:tr>
        <w:trPr>
          <w:cantSplit/>
        </w:trPr>
        <w:tc>
          <w:tcPr>
            <w:tcW w:type="dxa" w:w="2232"/>
            <w:vAlign w:val="top"/>
          </w:tcPr>
          <w:p>
            <w:pPr>
              <w:spacing w:after="40" w:before="0" w:line="259" w:lineRule="auto"/>
            </w:pPr>
            <w:r>
              <w:rPr>
                <w:rFonts w:ascii="Calibri" w:hAnsi="Calibri"/>
                <w:b/>
                <w:i w:val="0"/>
                <w:color w:val="212121"/>
                <w:sz w:val="19"/>
              </w:rPr>
              <w:t>Cutaneous squamous cell / verrucous carcinoma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warts, especially in EV or the immunosuppressed, can undergo malignant transformation; a treatment-resistant verrucous plantar lesion may be a verrucous carcinoma.</w:t>
            </w:r>
          </w:p>
        </w:tc>
      </w:tr>
      <w:tr>
        <w:trPr>
          <w:cantSplit/>
        </w:trPr>
        <w:tc>
          <w:tcPr>
            <w:tcW w:type="dxa" w:w="2232"/>
            <w:vAlign w:val="top"/>
          </w:tcPr>
          <w:p>
            <w:pPr>
              <w:spacing w:after="40" w:before="0" w:line="259" w:lineRule="auto"/>
            </w:pPr>
            <w:r>
              <w:rPr>
                <w:rFonts w:ascii="Calibri" w:hAnsi="Calibri"/>
                <w:b/>
                <w:i w:val="0"/>
                <w:color w:val="212121"/>
                <w:sz w:val="19"/>
              </w:rPr>
              <w:t>Epidermodysplasia verruciformis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inherited defect (EVER1/EVER2) causing lifelong widespread beta-HPV (types 5 and 8) warts and a high risk of squamous cell carcinoma on sun-exposed skin.</w:t>
            </w:r>
          </w:p>
        </w:tc>
      </w:tr>
      <w:tr>
        <w:trPr>
          <w:cantSplit/>
        </w:trPr>
        <w:tc>
          <w:tcPr>
            <w:tcW w:type="dxa" w:w="2232"/>
            <w:vAlign w:val="top"/>
          </w:tcPr>
          <w:p>
            <w:pPr>
              <w:spacing w:after="40" w:before="0" w:line="259" w:lineRule="auto"/>
            </w:pPr>
            <w:r>
              <w:rPr>
                <w:rFonts w:ascii="Calibri" w:hAnsi="Calibri"/>
                <w:b/>
                <w:i w:val="0"/>
                <w:color w:val="212121"/>
                <w:sz w:val="19"/>
              </w:rPr>
              <w:t>Atopic dermatitis / eczema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Barrier disruption, altered local immunity and scratching may predispose to more widespread warts, although population evidence is mixed.</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immunity and healing make warts (especially plantar) persistent; plantar warts on a diabetic foot risk ulceration and alter treatment choice.</w:t>
            </w:r>
          </w:p>
        </w:tc>
      </w:tr>
      <w:tr>
        <w:trPr>
          <w:cantSplit/>
        </w:trPr>
        <w:tc>
          <w:tcPr>
            <w:tcW w:type="dxa" w:w="2232"/>
            <w:vAlign w:val="top"/>
          </w:tcPr>
          <w:p>
            <w:pPr>
              <w:spacing w:after="40" w:before="0" w:line="259" w:lineRule="auto"/>
            </w:pPr>
            <w:r>
              <w:rPr>
                <w:rFonts w:ascii="Calibri" w:hAnsi="Calibri"/>
                <w:b/>
                <w:i w:val="0"/>
                <w:color w:val="212121"/>
                <w:sz w:val="19"/>
              </w:rPr>
              <w:t>Primary immunodeficiencies (DOCK8, WHIM, GATA2)</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Inborn immune errors present with severe, extensive and recalcitrant warts, often from childhood.</w:t>
            </w:r>
          </w:p>
        </w:tc>
      </w:tr>
      <w:tr>
        <w:trPr>
          <w:cantSplit/>
        </w:trPr>
        <w:tc>
          <w:tcPr>
            <w:tcW w:type="dxa" w:w="2232"/>
            <w:vAlign w:val="top"/>
          </w:tcPr>
          <w:p>
            <w:pPr>
              <w:spacing w:after="40" w:before="0" w:line="259" w:lineRule="auto"/>
            </w:pPr>
            <w:r>
              <w:rPr>
                <w:rFonts w:ascii="Calibri" w:hAnsi="Calibri"/>
                <w:b/>
                <w:i w:val="0"/>
                <w:color w:val="212121"/>
                <w:sz w:val="19"/>
              </w:rPr>
              <w:t>Anogenital warts (condyloma acuminata)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Caused by related HPV types (6 and 11); cutaneous and mucosal warts can coexist and autoinoculate, and finding one prompts examination for the other.</w:t>
            </w:r>
          </w:p>
        </w:tc>
      </w:tr>
      <w:tr>
        <w:trPr>
          <w:cantSplit/>
        </w:trPr>
        <w:tc>
          <w:tcPr>
            <w:tcW w:type="dxa" w:w="2232"/>
            <w:vAlign w:val="top"/>
          </w:tcPr>
          <w:p>
            <w:pPr>
              <w:spacing w:after="40" w:before="0" w:line="259" w:lineRule="auto"/>
            </w:pPr>
            <w:r>
              <w:rPr>
                <w:rFonts w:ascii="Calibri" w:hAnsi="Calibri"/>
                <w:b/>
                <w:i w:val="0"/>
                <w:color w:val="212121"/>
                <w:sz w:val="19"/>
              </w:rPr>
              <w:t>Depression / anxiety and impaired quality of life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Visible, recurrent warts cause embarrassment and psychological distress (mean DLQI about 13 for multiple extragenital warts), while stress may impair immune clearance.</w:t>
            </w:r>
          </w:p>
          <w:p>
            <w:pPr>
              <w:spacing w:after="40" w:before="0" w:line="259" w:lineRule="auto"/>
            </w:pPr>
            <w:r>
              <w:rPr>
                <w:rFonts w:ascii="Calibri" w:hAnsi="Calibri"/>
                <w:b/>
                <w:i w:val="0"/>
                <w:color w:val="212121"/>
                <w:sz w:val="19"/>
              </w:rPr>
              <w:t>Mean DLQI ~13 (multiple extragenital warts)</w:t>
            </w:r>
          </w:p>
        </w:tc>
      </w:tr>
      <w:tr>
        <w:trPr>
          <w:cantSplit/>
        </w:trPr>
        <w:tc>
          <w:tcPr>
            <w:tcW w:type="dxa" w:w="2232"/>
            <w:vAlign w:val="top"/>
          </w:tcPr>
          <w:p>
            <w:pPr>
              <w:spacing w:after="40" w:before="0" w:line="259" w:lineRule="auto"/>
            </w:pPr>
            <w:r>
              <w:rPr>
                <w:rFonts w:ascii="Calibri" w:hAnsi="Calibri"/>
                <w:b/>
                <w:i w:val="0"/>
                <w:color w:val="212121"/>
                <w:sz w:val="19"/>
              </w:rPr>
              <w:t>Chronic kidney disease / dialysis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Uraemia-related immune dysfunction and, in transplant candidates and recipients, immunosuppression increase the wart burden.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walk barefoot in communal showers, swimming pools, changing rooms or gyms; wear flip-flops or pool sandals.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personal items personal - do not share towels, razors, nail clippers, socks or footwear.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Cover warts with a waterproof plaster before swimming or shared bathing, and while playing barefoot contact sports.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picking, scratching, biting or shaving over warts, which spreads the virus to new sites (autoinoculation).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feet and hands clean and dry; change socks daily and treat excessive sweating and athlete's foot.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cut-resistant gloves for meat, fish and poultry handling and other wet, injury-prone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warts are harmless and often clear on their own, but remain contagious until gone.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Swimmers and gym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and meat handlers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Hostel and household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warts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no single therapy is uniformly curative; salicylic acid and cryotherapy are evidence-based first-line options, and about two-thirds of warts clear within two years even without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persistent, multiple or recalcitrant warts, seek dermatology review for options such as intralesional immunotherapy (e.g., MMR vaccine), cantharidin, electrocautery, laser or topical retinoids.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course of any topical treatment - salicylic acid needs weeks of daily use with paring - and expect that recurrence is common.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self-treat plantar warts with sharp instruments or strong acids if you have diabetes, poor circulation or numb feet; seek professional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any wart that bleeds, ulcerates, grows rapidly, changes colour or fails all treatment, as a biopsy may be needed to exclude skin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Immunosuppressed patients (HIV, transplant, biologics) should have warts assessed early and monitored for malignant change.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warts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Recalcitrant or recurrent warts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and immunosuppressed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Plantar wart sufferers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footwear on pool decks, in communal showers and in gym changing rooms.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Cover any wart before swimming, martial arts or barefoot activities and disinfect or avoid sharing mats and equipment.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Shower and dry your feet thoroughly after training; do not share towels or shoes.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moderate activity to support the cell-mediated immunity that clears HPV.</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Swimmers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Gym-goers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Contact-sport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plantar warts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with adequate protein, vitamin A, vitamin D and zinc to support antiviral cell-mediated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diagnosed deficiencies (for example vitamin D), which may aid clearance of persistent warts.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diet alone does not cure warts and is an adjunct, not a substitute, for standard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or deficient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Recalcitrant warts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Immunosuppressed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maintain the immune function that controls HPV.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routine during illness or stress, when immunity dips.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recurrers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in hostels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which impairs immunity and is linked to HPV persistence.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quitlines, nicotine replacement) if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recurrent warts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as heavy use impairs immune defence.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dependence, which undermines general and skin immunity.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individuals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with relaxation, exercise and adequate sleep, since stress can weaken the immunity that clears warts.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stress-driven skin-picking and nail-biting, which spread warts to new sites.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recurrers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Nail-biters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reassurance and accurate information: warts are benign, common and usually treatable, which reduces anxiety and stigma.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Ask for help if visible warts cause embarrassment, low mood or social withdrawal (multiple extragenital warts carry a mean DLQI of about 13).</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effective removal of cosmetically distressing warts to improve quality of life and confidence.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counselling or support if warts are affecting relationships, work or self-esteem.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visible or multiple warts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low mood or social anxiety</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medicine.medscape.com/article/1133317-overview" TargetMode="External"/><Relationship Id="rId10" Type="http://schemas.openxmlformats.org/officeDocument/2006/relationships/hyperlink" Target="https://www.ncbi.nlm.nih.gov/books/NBK431047/" TargetMode="External"/><Relationship Id="rId11" Type="http://schemas.openxmlformats.org/officeDocument/2006/relationships/hyperlink" Target="https://www.ijord.com/index.php/ijord/article/view/802" TargetMode="External"/><Relationship Id="rId12" Type="http://schemas.openxmlformats.org/officeDocument/2006/relationships/hyperlink" Target="https://en.wikipedia.org/wiki/Plantar_wart" TargetMode="External"/><Relationship Id="rId13" Type="http://schemas.openxmlformats.org/officeDocument/2006/relationships/hyperlink" Target="https://www.dovepress.com/impact-of-multiple-extragenital-warts-on-quality-of-life-in-immune-com-peer-reviewed-fulltext-article-C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