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Leprosy (Hansen's Disease)</w:t>
      </w:r>
    </w:p>
    <w:p>
      <w:pPr>
        <w:spacing w:before="0" w:after="160"/>
      </w:pPr>
      <w:r>
        <w:rPr>
          <w:rFonts w:ascii="Calibri" w:hAnsi="Calibri"/>
          <w:b/>
          <w:i w:val="0"/>
          <w:color w:val="212121"/>
          <w:sz w:val="22"/>
        </w:rPr>
        <w:t xml:space="preserve">AKA </w:t>
      </w:r>
      <w:r>
        <w:rPr>
          <w:rFonts w:ascii="Calibri" w:hAnsi="Calibri"/>
          <w:b w:val="0"/>
          <w:i w:val="0"/>
          <w:color w:val="212121"/>
          <w:sz w:val="22"/>
        </w:rPr>
        <w:t>i.e., Hansen's Disease, Kushth Rog / Kod (Hindi), Mycobacterium leprae infection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Leprosy, also called Hansen's disease, is a chronic granulomatous infection caused by the slow-growing acid-fast bacillus Mycobacterium leprae (and rarely M. lepromatosis). It principally affects the skin, peripheral nerves, upper respiratory mucosa and eyes, producing hypopigmented or reddish anaesthetic patches, thickening of peripheral nerves and, if untreated, progressive sensory-motor loss and disfiguring deformity. Clinical expression follows an immunological spectrum from paucibacillary tuberculoid disease (strong cell-mediated immunity) to multibacillary lepromatous disease (poor cell-mediated immunity). It is fully curable with WHO multidrug therapy (MDT), and early treatment prevents disability.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 carries the world's largest leprosy burden, accounting for roughly 59% of all new cases detected globally - about 1.07 lakh new cases in 2023-24 out of 1.83 lakh worldwide. Although India declared elimination as a public-health problem (fewer than 1 case per 10,000) in December 2005, transmission continues: the national prevalence rate was 0.57 per 10,000 and the annual new-case detection rate 7.0 per 100,000 in 2024-25, with children still forming 4.68% of new cases - a marker of ongoing spread.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Leprosy is primarily a clinical diagnosis. The WHO defines a case by at least one of three cardinal signs, supported where available by bacteriology; when all three are present diagnostic sensitivity is about 97%:</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definite loss of sensation in a pale (hypopigmented) or reddish skin patch;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thickened or enlarged peripheral nerve, with loss of sensation and/or weakness of the muscles it supplies;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presence of acid-fast bacilli in a slit-skin smear (positive bacterial index) or on skin biopsy;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slit-skin smear (Ziehl-Neelsen / Fite stain) is about 100% specific but only about 50% sensitive, so a negative smear does not exclude paucibacillary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tests include skin/nerve biopsy histopathology, PCR for M. leprae DNA (RLEP), and nerve-function assessment (monofilament sensory testing and voluntary muscle testing).</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Leprosy is classified two ways - the operational WHO system (used to decide the MDT regimen and duration) and the immunopathological Ridley-Jopling spectrum:</w:t>
      </w:r>
    </w:p>
    <w:p>
      <w:pPr>
        <w:spacing w:before="0" w:after="80"/>
      </w:pPr>
      <w:r>
        <w:rPr>
          <w:rFonts w:ascii="Calibri" w:hAnsi="Calibri"/>
          <w:b w:val="0"/>
          <w:i w:val="0"/>
          <w:color w:val="212121"/>
          <w:sz w:val="21"/>
        </w:rPr>
        <w:t>(1) WHO Paucibacillary (PB): 1-5 skin lesions with a negative slit-skin smear; treated with 6 months of MDT (rifampicin + dapsone).</w:t>
      </w:r>
    </w:p>
    <w:p>
      <w:pPr>
        <w:spacing w:before="0" w:after="80"/>
      </w:pPr>
      <w:r>
        <w:rPr>
          <w:rFonts w:ascii="Calibri" w:hAnsi="Calibri"/>
          <w:b w:val="0"/>
          <w:i w:val="0"/>
          <w:color w:val="212121"/>
          <w:sz w:val="21"/>
        </w:rPr>
        <w:t>(2) WHO Multibacillary (MB): more than 5 skin lesions, and/or definite nerve involvement, and/or a positive slit-skin smear; treated with 12 months of MDT (rifampicin + dapsone + clofazimine).</w:t>
      </w:r>
    </w:p>
    <w:p>
      <w:pPr>
        <w:spacing w:before="0" w:after="80"/>
      </w:pPr>
      <w:r>
        <w:rPr>
          <w:rFonts w:ascii="Calibri" w:hAnsi="Calibri"/>
          <w:b w:val="0"/>
          <w:i w:val="0"/>
          <w:color w:val="212121"/>
          <w:sz w:val="21"/>
        </w:rPr>
        <w:t>(3) Ridley-Jopling spectrum, graded by host cell-mediated immunity: Tuberculoid (TT) and Borderline Tuberculoid (BT) at the high-immunity paucibacillary pole (few well-defined anaesthetic plaques); Mid-Borderline (BB); Borderline Lepromatous (BL) and Lepromatous (LL) at the low-immunity multibacillary pole (numerous infiltrated papules, nodules, leonine facies and abundant bacilli).</w:t>
      </w:r>
    </w:p>
    <w:p>
      <w:pPr>
        <w:spacing w:before="0" w:after="80"/>
      </w:pPr>
      <w:r>
        <w:rPr>
          <w:rFonts w:ascii="Calibri" w:hAnsi="Calibri"/>
          <w:b w:val="0"/>
          <w:i w:val="0"/>
          <w:color w:val="212121"/>
          <w:sz w:val="21"/>
        </w:rPr>
        <w:t>(4) Indeterminate leprosy: an early, unstable form with a single ill-defined hypopigmented macule that may self-heal or progress toward either pole.</w:t>
      </w:r>
    </w:p>
    <w:p>
      <w:pPr>
        <w:spacing w:before="0" w:after="80"/>
      </w:pPr>
      <w:r>
        <w:rPr>
          <w:rFonts w:ascii="Calibri" w:hAnsi="Calibri"/>
          <w:b w:val="0"/>
          <w:i w:val="0"/>
          <w:color w:val="212121"/>
          <w:sz w:val="21"/>
        </w:rPr>
        <w:t>(5) Pure neuritic leprosy: nerve involvement (thickening with sensory/motor loss) without any visible skin lesion - a form seen relatively commonly in India.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Causative organism: Mycobacterium leprae, an obligate intracellular acid-fast bacillus with a very long generation time (about 13 days) that preferentially infects Schwann cells and macrophages in cooler body regions (skin and superficial nerves).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Transmission: prolonged, close household contact with an untreated multibacillary case, spread mainly by nasal and oral droplets; patients become non-infectious within days of starting MDT.</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Host immunity: the clinical form is set by the individual's cell-mediated immune response - a strong Th1 response gives limited tuberculoid disease while a weak/anergic response gives disseminated lepromatous disease; about 95% of exposed people never develop disease.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Long incubation: signs may appear from a few years up to 20 years after infection, delaying diagnosis and sustaining transmission.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Genetic susceptibility: host genes (HLA-DR, TLR1/2, NOD2, PARK2/PACRG, IL10, IL12B) strongly influence who develops disease and which type; monozygotic twins show roughly 3x higher concordance than dizygotic twins.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Socio-environmental drivers: poverty, overcrowding, undernutrition/food insecurity and poor sanitation increase both exposure and susceptibility.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Environmental reservoirs: M. leprae can persist in soil and water and, in some regions, in nine-banded armadillos, contributing to residual transmission.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 age)</w:t>
            </w:r>
          </w:p>
        </w:tc>
        <w:tc>
          <w:tcPr>
            <w:tcW w:type="dxa" w:w="4276"/>
            <w:vAlign w:val="top"/>
          </w:tcPr>
          <w:p>
            <w:pPr>
              <w:spacing w:after="60" w:line="259" w:lineRule="auto"/>
            </w:pPr>
            <w:r>
              <w:rPr>
                <w:rFonts w:ascii="Calibri" w:hAnsi="Calibri"/>
                <w:b w:val="0"/>
                <w:i w:val="0"/>
                <w:color w:val="212121"/>
                <w:sz w:val="19"/>
              </w:rPr>
              <w:t>Most new cases occur in economically active adults (roughly 15-45 years), reflecting cumulative exposure to infected contacts and the long incubation period. Delayed care-seeking in this group drives nerve damage and disability.</w:t>
            </w:r>
          </w:p>
          <w:p>
            <w:pPr>
              <w:spacing w:after="40" w:before="60" w:line="259" w:lineRule="auto"/>
            </w:pPr>
            <w:r>
              <w:rPr>
                <w:rFonts w:ascii="Calibri" w:hAnsi="Calibri"/>
                <w:b w:val="0"/>
                <w:i w:val="0"/>
                <w:color w:val="212121"/>
                <w:sz w:val="19"/>
              </w:rPr>
              <w:t>Working-age adults form the bulk of India's approximately 1.07 lakh new cases detected in 2023-24.</w:t>
            </w:r>
          </w:p>
          <w:p>
            <w:pPr>
              <w:spacing w:after="40" w:line="252" w:lineRule="auto"/>
            </w:pPr>
            <w:hyperlink r:id="rId9">
              <w:r>
                <w:rPr>
                  <w:rFonts w:ascii="Calibri" w:hAnsi="Calibri" w:cs="Calibri"/>
                  <w:sz w:val="18"/>
                  <w:color w:val="1155CC"/>
                  <w:u w:val="single"/>
                </w:rPr>
                <w:t xml:space="preserve">orfonline.org - India's leprosy challenge</w:t>
              </w:r>
            </w:hyperlink>
          </w:p>
          <w:p>
            <w:pPr>
              <w:spacing w:before="60" w:after="40"/>
            </w:pPr>
            <w:r>
              <w:rPr>
                <w:rFonts w:ascii="Calibri" w:hAnsi="Calibri"/>
                <w:b w:val="0"/>
                <w:i w:val="0"/>
                <w:color w:val="5A5A5A"/>
                <w:sz w:val="18"/>
              </w:rPr>
              <w:t>#hansensdisease  #workingage  #hiddencases  #delayeddiagnosis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(&lt;15 years)</w:t>
            </w:r>
          </w:p>
        </w:tc>
        <w:tc>
          <w:tcPr>
            <w:tcW w:type="dxa" w:w="4276"/>
            <w:vAlign w:val="top"/>
          </w:tcPr>
          <w:p>
            <w:pPr>
              <w:spacing w:after="60" w:line="259" w:lineRule="auto"/>
            </w:pPr>
            <w:r>
              <w:rPr>
                <w:rFonts w:ascii="Calibri" w:hAnsi="Calibri"/>
                <w:b w:val="0"/>
                <w:i w:val="0"/>
                <w:color w:val="212121"/>
                <w:sz w:val="19"/>
              </w:rPr>
              <w:t>Leprosy in children signifies recent, ongoing community transmission, because the disease had little time to incubate; children usually acquire it from close household contact with an untreated case.</w:t>
            </w:r>
          </w:p>
          <w:p>
            <w:pPr>
              <w:spacing w:after="40" w:before="60" w:line="259" w:lineRule="auto"/>
            </w:pPr>
            <w:r>
              <w:rPr>
                <w:rFonts w:ascii="Calibri" w:hAnsi="Calibri"/>
                <w:b w:val="0"/>
                <w:i w:val="0"/>
                <w:color w:val="212121"/>
                <w:sz w:val="19"/>
              </w:rPr>
              <w:t>Children still constituted 4.68% of new cases in India in 2024-25, and about 10,000 children are diagnosed worldwide each year.</w:t>
            </w:r>
          </w:p>
          <w:p>
            <w:pPr>
              <w:spacing w:after="40" w:line="252" w:lineRule="auto"/>
            </w:pPr>
            <w:hyperlink r:id="rId10">
              <w:r>
                <w:rPr>
                  <w:rFonts w:ascii="Calibri" w:hAnsi="Calibri" w:cs="Calibri"/>
                  <w:sz w:val="18"/>
                  <w:color w:val="1155CC"/>
                  <w:u w:val="single"/>
                </w:rPr>
                <w:t xml:space="preserve">pib.gov.in - Leprosy in India</w:t>
              </w:r>
            </w:hyperlink>
          </w:p>
          <w:p>
            <w:pPr>
              <w:spacing w:before="60" w:after="40"/>
            </w:pPr>
            <w:r>
              <w:rPr>
                <w:rFonts w:ascii="Calibri" w:hAnsi="Calibri"/>
                <w:b w:val="0"/>
                <w:i w:val="0"/>
                <w:color w:val="5A5A5A"/>
                <w:sz w:val="18"/>
              </w:rPr>
              <w:t>#childcases  #activetransmission  #householdcontact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may present with late-detected or reactivated disease and are more prone to reaction-related neuritis and permanent nerve damage, compounded by waning immunity and comorbidities such as diabetes.</w:t>
            </w:r>
          </w:p>
          <w:p>
            <w:pPr>
              <w:spacing w:after="40" w:before="60" w:line="259" w:lineRule="auto"/>
            </w:pPr>
            <w:r>
              <w:rPr>
                <w:rFonts w:ascii="Calibri" w:hAnsi="Calibri"/>
                <w:b w:val="0"/>
                <w:i w:val="0"/>
                <w:color w:val="212121"/>
                <w:sz w:val="19"/>
              </w:rPr>
              <w:t>Late presentation in older adults raises the risk of grade 2 (visible) disability at diagnosis.</w:t>
            </w:r>
          </w:p>
          <w:p>
            <w:pPr>
              <w:spacing w:before="60" w:after="40"/>
            </w:pPr>
            <w:r>
              <w:rPr>
                <w:rFonts w:ascii="Calibri" w:hAnsi="Calibri"/>
                <w:b w:val="0"/>
                <w:i w:val="0"/>
                <w:color w:val="5A5A5A"/>
                <w:sz w:val="18"/>
              </w:rPr>
              <w:t>#elderly  #latepresentation  #neuritis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Males are affected roughly twice as often as females in most Indian settings, attributed to greater occupational and social exposure and possibly hormonal and reporting differences; women often face delayed diagnosis due to stigma.</w:t>
            </w:r>
          </w:p>
          <w:p>
            <w:pPr>
              <w:spacing w:after="40" w:before="60" w:line="259" w:lineRule="auto"/>
            </w:pPr>
            <w:r>
              <w:rPr>
                <w:rFonts w:ascii="Calibri" w:hAnsi="Calibri"/>
                <w:b w:val="0"/>
                <w:i w:val="0"/>
                <w:color w:val="212121"/>
                <w:sz w:val="19"/>
              </w:rPr>
              <w:t>The male-to-female ratio is about 2:1, and pooled analyses show male sex carries about 1.33x higher risk.</w:t>
            </w:r>
          </w:p>
          <w:p>
            <w:pPr>
              <w:spacing w:after="40" w:line="252" w:lineRule="auto"/>
            </w:pPr>
            <w:hyperlink r:id="rId11">
              <w:r>
                <w:rPr>
                  <w:rFonts w:ascii="Calibri" w:hAnsi="Calibri" w:cs="Calibri"/>
                  <w:sz w:val="18"/>
                  <w:color w:val="1155CC"/>
                  <w:u w:val="single"/>
                </w:rPr>
                <w:t xml:space="preserve">journals.plos.org - socioeconomic risk markers meta-analysis</w:t>
              </w:r>
            </w:hyperlink>
          </w:p>
          <w:p>
            <w:pPr>
              <w:spacing w:before="60" w:after="40"/>
            </w:pPr>
            <w:r>
              <w:rPr>
                <w:rFonts w:ascii="Calibri" w:hAnsi="Calibri"/>
                <w:b w:val="0"/>
                <w:i w:val="0"/>
                <w:color w:val="5A5A5A"/>
                <w:sz w:val="18"/>
              </w:rPr>
              <w:t>#malepredominance  #occupationalexposure  #genderstigma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Poor, food-insecure households</w:t>
            </w:r>
          </w:p>
        </w:tc>
        <w:tc>
          <w:tcPr>
            <w:tcW w:type="dxa" w:w="4276"/>
            <w:vAlign w:val="top"/>
          </w:tcPr>
          <w:p>
            <w:pPr>
              <w:spacing w:after="60" w:line="259" w:lineRule="auto"/>
            </w:pPr>
            <w:r>
              <w:rPr>
                <w:rFonts w:ascii="Calibri" w:hAnsi="Calibri"/>
                <w:b w:val="0"/>
                <w:i w:val="0"/>
                <w:color w:val="212121"/>
                <w:sz w:val="19"/>
              </w:rPr>
              <w:t>Leprosy is strongly tied to poverty: low income, food insecurity, undernutrition and poor housing impair immunity and raise transmission, trapping affected families in a poverty-disease cycle.</w:t>
            </w:r>
          </w:p>
          <w:p>
            <w:pPr>
              <w:spacing w:after="40" w:before="60" w:line="259" w:lineRule="auto"/>
            </w:pPr>
            <w:r>
              <w:rPr>
                <w:rFonts w:ascii="Calibri" w:hAnsi="Calibri"/>
                <w:b w:val="0"/>
                <w:i w:val="0"/>
                <w:color w:val="212121"/>
                <w:sz w:val="19"/>
              </w:rPr>
              <w:t>Recent food shortage raises leprosy risk about 1.39x; case households show markedly higher food-insecurity scores than controls.</w:t>
            </w:r>
          </w:p>
          <w:p>
            <w:pPr>
              <w:spacing w:after="40" w:line="252" w:lineRule="auto"/>
            </w:pPr>
            <w:hyperlink r:id="rId11">
              <w:r>
                <w:rPr>
                  <w:rFonts w:ascii="Calibri" w:hAnsi="Calibri" w:cs="Calibri"/>
                  <w:sz w:val="18"/>
                  <w:color w:val="1155CC"/>
                  <w:u w:val="single"/>
                </w:rPr>
                <w:t xml:space="preserve">journals.plos.org - socioeconomic risk markers meta-analysis</w:t>
              </w:r>
            </w:hyperlink>
          </w:p>
          <w:p>
            <w:pPr>
              <w:spacing w:before="60" w:after="40"/>
            </w:pPr>
            <w:r>
              <w:rPr>
                <w:rFonts w:ascii="Calibri" w:hAnsi="Calibri"/>
                <w:b w:val="0"/>
                <w:i w:val="0"/>
                <w:color w:val="5A5A5A"/>
                <w:sz w:val="18"/>
              </w:rPr>
              <w:t>#poverty  #foodinsecurity  #socialdeterminants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Scheduled Tribes &amp; Scheduled Castes (India)</w:t>
            </w:r>
          </w:p>
        </w:tc>
        <w:tc>
          <w:tcPr>
            <w:tcW w:type="dxa" w:w="4276"/>
            <w:vAlign w:val="top"/>
          </w:tcPr>
          <w:p>
            <w:pPr>
              <w:spacing w:after="60" w:line="259" w:lineRule="auto"/>
            </w:pPr>
            <w:r>
              <w:rPr>
                <w:rFonts w:ascii="Calibri" w:hAnsi="Calibri"/>
                <w:b w:val="0"/>
                <w:i w:val="0"/>
                <w:color w:val="212121"/>
                <w:sz w:val="19"/>
              </w:rPr>
              <w:t>Marginalised communities bear a disproportionate share of India's leprosy burden owing to poverty, overcrowding, undernutrition and limited access to health services.</w:t>
            </w:r>
          </w:p>
          <w:p>
            <w:pPr>
              <w:spacing w:after="40" w:before="60" w:line="259" w:lineRule="auto"/>
            </w:pPr>
            <w:r>
              <w:rPr>
                <w:rFonts w:ascii="Calibri" w:hAnsi="Calibri"/>
                <w:b w:val="0"/>
                <w:i w:val="0"/>
                <w:color w:val="212121"/>
                <w:sz w:val="19"/>
              </w:rPr>
              <w:t>SC and ST communities accounted for 37.3% of new cases in 2023-24 despite being 25.2% of the population; STs alone were 20.01% of cases while only 8.6% of the population.</w:t>
            </w:r>
          </w:p>
          <w:p>
            <w:pPr>
              <w:spacing w:after="40" w:line="252" w:lineRule="auto"/>
            </w:pPr>
            <w:hyperlink r:id="rId9">
              <w:r>
                <w:rPr>
                  <w:rFonts w:ascii="Calibri" w:hAnsi="Calibri" w:cs="Calibri"/>
                  <w:sz w:val="18"/>
                  <w:color w:val="1155CC"/>
                  <w:u w:val="single"/>
                </w:rPr>
                <w:t xml:space="preserve">orfonline.org - India's leprosy challenge</w:t>
              </w:r>
            </w:hyperlink>
          </w:p>
          <w:p>
            <w:pPr>
              <w:spacing w:before="60" w:after="40"/>
            </w:pPr>
            <w:r>
              <w:rPr>
                <w:rFonts w:ascii="Calibri" w:hAnsi="Calibri"/>
                <w:b w:val="0"/>
                <w:i w:val="0"/>
                <w:color w:val="5A5A5A"/>
                <w:sz w:val="18"/>
              </w:rPr>
              <w:t>#scheduledtribes  #healthinequity  #marginalised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High-burden endemic states</w:t>
            </w:r>
          </w:p>
        </w:tc>
        <w:tc>
          <w:tcPr>
            <w:tcW w:type="dxa" w:w="4276"/>
            <w:vAlign w:val="top"/>
          </w:tcPr>
          <w:p>
            <w:pPr>
              <w:spacing w:after="60" w:line="259" w:lineRule="auto"/>
            </w:pPr>
            <w:r>
              <w:rPr>
                <w:rFonts w:ascii="Calibri" w:hAnsi="Calibri"/>
                <w:b w:val="0"/>
                <w:i w:val="0"/>
                <w:color w:val="212121"/>
                <w:sz w:val="19"/>
              </w:rPr>
              <w:t>Transmission is concentrated in a cluster of central, eastern and western Indian states where several districts still exceed the elimination threshold, sustaining the national caseload.</w:t>
            </w:r>
          </w:p>
          <w:p>
            <w:pPr>
              <w:spacing w:after="40" w:before="60" w:line="259" w:lineRule="auto"/>
            </w:pPr>
            <w:r>
              <w:rPr>
                <w:rFonts w:ascii="Calibri" w:hAnsi="Calibri"/>
                <w:b w:val="0"/>
                <w:i w:val="0"/>
                <w:color w:val="212121"/>
                <w:sz w:val="19"/>
              </w:rPr>
              <w:t>By 2024-25, 31 of 36 states/UTs and 638 districts had reached fewer than 1 case per 10,000; residual high-burden pockets persist in states such as Bihar, Chhattisgarh, Odisha, Jharkhand, Maharashtra, West Bengal and Uttar Pradesh.</w:t>
            </w:r>
          </w:p>
          <w:p>
            <w:pPr>
              <w:spacing w:after="40" w:line="252" w:lineRule="auto"/>
            </w:pPr>
            <w:hyperlink r:id="rId10">
              <w:r>
                <w:rPr>
                  <w:rFonts w:ascii="Calibri" w:hAnsi="Calibri" w:cs="Calibri"/>
                  <w:sz w:val="18"/>
                  <w:color w:val="1155CC"/>
                  <w:u w:val="single"/>
                </w:rPr>
                <w:t xml:space="preserve">pib.gov.in - Leprosy in India</w:t>
              </w:r>
            </w:hyperlink>
          </w:p>
          <w:p>
            <w:pPr>
              <w:spacing w:before="60" w:after="40"/>
            </w:pPr>
            <w:r>
              <w:rPr>
                <w:rFonts w:ascii="Calibri" w:hAnsi="Calibri"/>
                <w:b w:val="0"/>
                <w:i w:val="0"/>
                <w:color w:val="5A5A5A"/>
                <w:sz w:val="18"/>
              </w:rPr>
              <w:t>#endemicstates  #districthotspots  #NLEP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Household density</w:t>
            </w:r>
          </w:p>
        </w:tc>
        <w:tc>
          <w:tcPr>
            <w:tcW w:type="dxa" w:w="2160"/>
            <w:vAlign w:val="top"/>
          </w:tcPr>
          <w:p>
            <w:pPr>
              <w:spacing w:after="40" w:before="0" w:line="259" w:lineRule="auto"/>
            </w:pPr>
            <w:r>
              <w:rPr>
                <w:rFonts w:ascii="Calibri" w:hAnsi="Calibri"/>
                <w:b w:val="0"/>
                <w:i w:val="0"/>
                <w:color w:val="212121"/>
                <w:sz w:val="19"/>
              </w:rPr>
              <w:t>Overcrowded housing</w:t>
            </w:r>
          </w:p>
        </w:tc>
        <w:tc>
          <w:tcPr>
            <w:tcW w:type="dxa" w:w="4276"/>
            <w:vAlign w:val="top"/>
          </w:tcPr>
          <w:p>
            <w:pPr>
              <w:spacing w:after="60" w:line="259" w:lineRule="auto"/>
            </w:pPr>
            <w:r>
              <w:rPr>
                <w:rFonts w:ascii="Calibri" w:hAnsi="Calibri"/>
                <w:b w:val="0"/>
                <w:i w:val="0"/>
                <w:color w:val="212121"/>
                <w:sz w:val="19"/>
              </w:rPr>
              <w:t>Crowded, poorly ventilated homes facilitate droplet transmission from an untreated case to susceptible household members over prolonged contact.</w:t>
            </w:r>
          </w:p>
          <w:p>
            <w:pPr>
              <w:spacing w:after="40" w:before="60" w:line="259" w:lineRule="auto"/>
            </w:pPr>
            <w:r>
              <w:rPr>
                <w:rFonts w:ascii="Calibri" w:hAnsi="Calibri"/>
                <w:b w:val="0"/>
                <w:i w:val="0"/>
                <w:color w:val="212121"/>
                <w:sz w:val="19"/>
              </w:rPr>
              <w:t>Household crowding (5 or more persons) increases leprosy risk about 1.38x.</w:t>
            </w:r>
          </w:p>
          <w:p>
            <w:pPr>
              <w:spacing w:after="40" w:line="252" w:lineRule="auto"/>
            </w:pPr>
            <w:hyperlink r:id="rId11">
              <w:r>
                <w:rPr>
                  <w:rFonts w:ascii="Calibri" w:hAnsi="Calibri" w:cs="Calibri"/>
                  <w:sz w:val="18"/>
                  <w:color w:val="1155CC"/>
                  <w:u w:val="single"/>
                </w:rPr>
                <w:t xml:space="preserve">journals.plos.org - socioeconomic risk markers meta-analysis</w:t>
              </w:r>
            </w:hyperlink>
          </w:p>
          <w:p>
            <w:pPr>
              <w:spacing w:before="60" w:after="40"/>
            </w:pPr>
            <w:r>
              <w:rPr>
                <w:rFonts w:ascii="Calibri" w:hAnsi="Calibri"/>
                <w:b w:val="0"/>
                <w:i w:val="0"/>
                <w:color w:val="5A5A5A"/>
                <w:sz w:val="18"/>
              </w:rPr>
              <w:t>#overcrowding  #droplettransmission  #housing</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Household contact</w:t>
            </w:r>
          </w:p>
        </w:tc>
        <w:tc>
          <w:tcPr>
            <w:tcW w:type="dxa" w:w="2160"/>
            <w:vAlign w:val="top"/>
          </w:tcPr>
          <w:p>
            <w:pPr>
              <w:spacing w:after="40" w:before="0" w:line="259" w:lineRule="auto"/>
            </w:pPr>
            <w:r>
              <w:rPr>
                <w:rFonts w:ascii="Calibri" w:hAnsi="Calibri"/>
                <w:b w:val="0"/>
                <w:i w:val="0"/>
                <w:color w:val="212121"/>
                <w:sz w:val="19"/>
              </w:rPr>
              <w:t>Close &amp; household contacts of a case</w:t>
            </w:r>
          </w:p>
        </w:tc>
        <w:tc>
          <w:tcPr>
            <w:tcW w:type="dxa" w:w="4276"/>
            <w:vAlign w:val="top"/>
          </w:tcPr>
          <w:p>
            <w:pPr>
              <w:spacing w:after="60" w:line="259" w:lineRule="auto"/>
            </w:pPr>
            <w:r>
              <w:rPr>
                <w:rFonts w:ascii="Calibri" w:hAnsi="Calibri"/>
                <w:b w:val="0"/>
                <w:i w:val="0"/>
                <w:color w:val="212121"/>
                <w:sz w:val="19"/>
              </w:rPr>
              <w:t>The single strongest determinant of leprosy is sharing a household or having prolonged close contact with an untreated (especially multibacillary) case; risk rises with contact intimacy and the bacillary load of the index case.</w:t>
            </w:r>
          </w:p>
          <w:p>
            <w:pPr>
              <w:spacing w:after="40" w:before="60" w:line="259" w:lineRule="auto"/>
            </w:pPr>
            <w:r>
              <w:rPr>
                <w:rFonts w:ascii="Calibri" w:hAnsi="Calibri"/>
                <w:b w:val="0"/>
                <w:i w:val="0"/>
                <w:color w:val="212121"/>
                <w:sz w:val="19"/>
              </w:rPr>
              <w:t>Household and close contacts have about 3.4x higher risk than the general population - the strongest risk marker identified.</w:t>
            </w:r>
          </w:p>
          <w:p>
            <w:pPr>
              <w:spacing w:after="40" w:line="252" w:lineRule="auto"/>
            </w:pPr>
            <w:hyperlink r:id="rId11">
              <w:r>
                <w:rPr>
                  <w:rFonts w:ascii="Calibri" w:hAnsi="Calibri" w:cs="Calibri"/>
                  <w:sz w:val="18"/>
                  <w:color w:val="1155CC"/>
                  <w:u w:val="single"/>
                </w:rPr>
                <w:t xml:space="preserve">journals.plos.org - socioeconomic risk markers meta-analysis</w:t>
              </w:r>
            </w:hyperlink>
          </w:p>
          <w:p>
            <w:pPr>
              <w:spacing w:before="60" w:after="40"/>
            </w:pPr>
            <w:r>
              <w:rPr>
                <w:rFonts w:ascii="Calibri" w:hAnsi="Calibri"/>
                <w:b w:val="0"/>
                <w:i w:val="0"/>
                <w:color w:val="5A5A5A"/>
                <w:sz w:val="18"/>
              </w:rPr>
              <w:t>#householdcontact  #contacttracing  #PEP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Sanitation &amp; hygiene</w:t>
            </w:r>
          </w:p>
        </w:tc>
        <w:tc>
          <w:tcPr>
            <w:tcW w:type="dxa" w:w="2160"/>
            <w:vAlign w:val="top"/>
          </w:tcPr>
          <w:p>
            <w:pPr>
              <w:spacing w:after="40" w:before="0" w:line="259" w:lineRule="auto"/>
            </w:pPr>
            <w:r>
              <w:rPr>
                <w:rFonts w:ascii="Calibri" w:hAnsi="Calibri"/>
                <w:b w:val="0"/>
                <w:i w:val="0"/>
                <w:color w:val="212121"/>
                <w:sz w:val="19"/>
              </w:rPr>
              <w:t>Poor water and sanitation</w:t>
            </w:r>
          </w:p>
        </w:tc>
        <w:tc>
          <w:tcPr>
            <w:tcW w:type="dxa" w:w="4276"/>
            <w:vAlign w:val="top"/>
          </w:tcPr>
          <w:p>
            <w:pPr>
              <w:spacing w:after="60" w:line="259" w:lineRule="auto"/>
            </w:pPr>
            <w:r>
              <w:rPr>
                <w:rFonts w:ascii="Calibri" w:hAnsi="Calibri"/>
                <w:b w:val="0"/>
                <w:i w:val="0"/>
                <w:color w:val="212121"/>
                <w:sz w:val="19"/>
              </w:rPr>
              <w:t>Inadequate sanitation, unsafe water and poor personal/environmental hygiene co-occur with poverty and overcrowding and may support environmental persistence and transmission of M. leprae.</w:t>
            </w:r>
          </w:p>
          <w:p>
            <w:pPr>
              <w:spacing w:after="40" w:before="60" w:line="259" w:lineRule="auto"/>
            </w:pPr>
            <w:r>
              <w:rPr>
                <w:rFonts w:ascii="Calibri" w:hAnsi="Calibri"/>
                <w:b w:val="0"/>
                <w:i w:val="0"/>
                <w:color w:val="212121"/>
                <w:sz w:val="19"/>
              </w:rPr>
              <w:t>Poor sanitation clusters with other poverty markers; in pooled data, clean-water access alone was not independently protective (RR 0.94).</w:t>
            </w:r>
          </w:p>
          <w:p>
            <w:pPr>
              <w:spacing w:after="40" w:line="252" w:lineRule="auto"/>
            </w:pPr>
            <w:hyperlink r:id="rId11">
              <w:r>
                <w:rPr>
                  <w:rFonts w:ascii="Calibri" w:hAnsi="Calibri" w:cs="Calibri"/>
                  <w:sz w:val="18"/>
                  <w:color w:val="1155CC"/>
                  <w:u w:val="single"/>
                </w:rPr>
                <w:t xml:space="preserve">journals.plos.org - socioeconomic risk markers meta-analysis</w:t>
              </w:r>
            </w:hyperlink>
          </w:p>
          <w:p>
            <w:pPr>
              <w:spacing w:before="60" w:after="40"/>
            </w:pPr>
            <w:r>
              <w:rPr>
                <w:rFonts w:ascii="Calibri" w:hAnsi="Calibri"/>
                <w:b w:val="0"/>
                <w:i w:val="0"/>
                <w:color w:val="5A5A5A"/>
                <w:sz w:val="18"/>
              </w:rPr>
              <w:t>#sanitation  #hygiene  #WASH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w:t>
            </w:r>
          </w:p>
        </w:tc>
        <w:tc>
          <w:tcPr>
            <w:tcW w:type="dxa" w:w="2160"/>
            <w:vAlign w:val="top"/>
          </w:tcPr>
          <w:p>
            <w:pPr>
              <w:spacing w:after="40" w:before="0" w:line="259" w:lineRule="auto"/>
            </w:pPr>
            <w:r>
              <w:rPr>
                <w:rFonts w:ascii="Calibri" w:hAnsi="Calibri"/>
                <w:b w:val="0"/>
                <w:i w:val="0"/>
                <w:color w:val="212121"/>
                <w:sz w:val="19"/>
              </w:rPr>
              <w:t>Manual labourers &amp; migrant workers</w:t>
            </w:r>
          </w:p>
        </w:tc>
        <w:tc>
          <w:tcPr>
            <w:tcW w:type="dxa" w:w="4276"/>
            <w:vAlign w:val="top"/>
          </w:tcPr>
          <w:p>
            <w:pPr>
              <w:spacing w:after="60" w:line="259" w:lineRule="auto"/>
            </w:pPr>
            <w:r>
              <w:rPr>
                <w:rFonts w:ascii="Calibri" w:hAnsi="Calibri"/>
                <w:b w:val="0"/>
                <w:i w:val="0"/>
                <w:color w:val="212121"/>
                <w:sz w:val="19"/>
              </w:rPr>
              <w:t>Manual and agricultural labour, barefoot working and seasonal migration increase exposure, while repetitive trauma to anaesthetic hands and feet accelerates ulceration; migration also interrupts treatment.</w:t>
            </w:r>
          </w:p>
          <w:p>
            <w:pPr>
              <w:spacing w:after="40" w:before="60" w:line="259" w:lineRule="auto"/>
            </w:pPr>
            <w:r>
              <w:rPr>
                <w:rFonts w:ascii="Calibri" w:hAnsi="Calibri"/>
                <w:b w:val="0"/>
                <w:i w:val="0"/>
                <w:color w:val="212121"/>
                <w:sz w:val="19"/>
              </w:rPr>
              <w:t>Manual-labour occupation showed a positive (though non-significant) association with leprosy, RR about 2.15.</w:t>
            </w:r>
          </w:p>
          <w:p>
            <w:pPr>
              <w:spacing w:after="40" w:line="252" w:lineRule="auto"/>
            </w:pPr>
            <w:hyperlink r:id="rId11">
              <w:r>
                <w:rPr>
                  <w:rFonts w:ascii="Calibri" w:hAnsi="Calibri" w:cs="Calibri"/>
                  <w:sz w:val="18"/>
                  <w:color w:val="1155CC"/>
                  <w:u w:val="single"/>
                </w:rPr>
                <w:t xml:space="preserve">journals.plos.org - socioeconomic risk markers meta-analysis</w:t>
              </w:r>
            </w:hyperlink>
          </w:p>
          <w:p>
            <w:pPr>
              <w:spacing w:before="60" w:after="40"/>
            </w:pPr>
            <w:r>
              <w:rPr>
                <w:rFonts w:ascii="Calibri" w:hAnsi="Calibri"/>
                <w:b w:val="0"/>
                <w:i w:val="0"/>
                <w:color w:val="5A5A5A"/>
                <w:sz w:val="18"/>
              </w:rPr>
              <w:t>#manuallabour  #migration  #barefoot  #trauma</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Malnutrition</w:t>
            </w:r>
          </w:p>
        </w:tc>
        <w:tc>
          <w:tcPr>
            <w:tcW w:type="dxa" w:w="2160"/>
            <w:vAlign w:val="top"/>
          </w:tcPr>
          <w:p>
            <w:pPr>
              <w:spacing w:after="40" w:before="0" w:line="259" w:lineRule="auto"/>
            </w:pPr>
            <w:r>
              <w:rPr>
                <w:rFonts w:ascii="Calibri" w:hAnsi="Calibri"/>
                <w:b w:val="0"/>
                <w:i w:val="0"/>
                <w:color w:val="212121"/>
                <w:sz w:val="19"/>
              </w:rPr>
              <w:t>Undernourished, low-BMI individuals</w:t>
            </w:r>
          </w:p>
        </w:tc>
        <w:tc>
          <w:tcPr>
            <w:tcW w:type="dxa" w:w="4276"/>
            <w:vAlign w:val="top"/>
          </w:tcPr>
          <w:p>
            <w:pPr>
              <w:spacing w:after="60" w:line="259" w:lineRule="auto"/>
            </w:pPr>
            <w:r>
              <w:rPr>
                <w:rFonts w:ascii="Calibri" w:hAnsi="Calibri"/>
                <w:b w:val="0"/>
                <w:i w:val="0"/>
                <w:color w:val="212121"/>
                <w:sz w:val="19"/>
              </w:rPr>
              <w:t>Protein-energy undernutrition and micronutrient deficiency impair cell-mediated immunity, increasing susceptibility to clinical leprosy and to leprosy reactions.</w:t>
            </w:r>
          </w:p>
          <w:p>
            <w:pPr>
              <w:spacing w:after="40" w:before="60" w:line="259" w:lineRule="auto"/>
            </w:pPr>
            <w:r>
              <w:rPr>
                <w:rFonts w:ascii="Calibri" w:hAnsi="Calibri"/>
                <w:b w:val="0"/>
                <w:i w:val="0"/>
                <w:color w:val="212121"/>
                <w:sz w:val="19"/>
              </w:rPr>
              <w:t>In case-control data, food shortage affected 80.8% of patients versus 64% of controls, and lower BMI independently increased leprosy risk.</w:t>
            </w:r>
          </w:p>
          <w:p>
            <w:pPr>
              <w:spacing w:after="40" w:line="252" w:lineRule="auto"/>
            </w:pPr>
            <w:hyperlink r:id="rId12">
              <w:r>
                <w:rPr>
                  <w:rFonts w:ascii="Calibri" w:hAnsi="Calibri" w:cs="Calibri"/>
                  <w:sz w:val="18"/>
                  <w:color w:val="1155CC"/>
                  <w:u w:val="single"/>
                </w:rPr>
                <w:t xml:space="preserve">journals.plos.org - diet-related risk factors for leprosy</w:t>
              </w:r>
            </w:hyperlink>
          </w:p>
          <w:p>
            <w:pPr>
              <w:spacing w:before="60" w:after="40"/>
            </w:pPr>
            <w:r>
              <w:rPr>
                <w:rFonts w:ascii="Calibri" w:hAnsi="Calibri"/>
                <w:b w:val="0"/>
                <w:i w:val="0"/>
                <w:color w:val="5A5A5A"/>
                <w:sz w:val="18"/>
              </w:rPr>
              <w:t>#malnutrition  #lowBMI  #immunity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diversity</w:t>
            </w:r>
          </w:p>
        </w:tc>
        <w:tc>
          <w:tcPr>
            <w:tcW w:type="dxa" w:w="2160"/>
            <w:vAlign w:val="top"/>
          </w:tcPr>
          <w:p>
            <w:pPr>
              <w:spacing w:after="40" w:before="0" w:line="259" w:lineRule="auto"/>
            </w:pPr>
            <w:r>
              <w:rPr>
                <w:rFonts w:ascii="Calibri" w:hAnsi="Calibri"/>
                <w:b w:val="0"/>
                <w:i w:val="0"/>
                <w:color w:val="212121"/>
                <w:sz w:val="19"/>
              </w:rPr>
              <w:t>Monotonous, low-diversity diets</w:t>
            </w:r>
          </w:p>
        </w:tc>
        <w:tc>
          <w:tcPr>
            <w:tcW w:type="dxa" w:w="4276"/>
            <w:vAlign w:val="top"/>
          </w:tcPr>
          <w:p>
            <w:pPr>
              <w:spacing w:after="60" w:line="259" w:lineRule="auto"/>
            </w:pPr>
            <w:r>
              <w:rPr>
                <w:rFonts w:ascii="Calibri" w:hAnsi="Calibri"/>
                <w:b w:val="0"/>
                <w:i w:val="0"/>
                <w:color w:val="212121"/>
                <w:sz w:val="19"/>
              </w:rPr>
              <w:t>Diets low in animal protein, fruit and vegetables (low dietary-diversity scores) reflect food insecurity and supply inadequate micronutrients for effective anti-mycobacterial immunity.</w:t>
            </w:r>
          </w:p>
          <w:p>
            <w:pPr>
              <w:spacing w:after="40" w:before="60" w:line="259" w:lineRule="auto"/>
            </w:pPr>
            <w:r>
              <w:rPr>
                <w:rFonts w:ascii="Calibri" w:hAnsi="Calibri"/>
                <w:b w:val="0"/>
                <w:i w:val="0"/>
                <w:color w:val="212121"/>
                <w:sz w:val="19"/>
              </w:rPr>
              <w:t>Leprosy patients had significantly lower dietary-diversity scores and less frequent intake of meat, fish, fruit and vegetables than controls.</w:t>
            </w:r>
          </w:p>
          <w:p>
            <w:pPr>
              <w:spacing w:after="40" w:line="252" w:lineRule="auto"/>
            </w:pPr>
            <w:hyperlink r:id="rId12">
              <w:r>
                <w:rPr>
                  <w:rFonts w:ascii="Calibri" w:hAnsi="Calibri" w:cs="Calibri"/>
                  <w:sz w:val="18"/>
                  <w:color w:val="1155CC"/>
                  <w:u w:val="single"/>
                </w:rPr>
                <w:t xml:space="preserve">journals.plos.org - diet-related risk factors for leprosy</w:t>
              </w:r>
            </w:hyperlink>
          </w:p>
          <w:p>
            <w:pPr>
              <w:spacing w:before="60" w:after="40"/>
            </w:pPr>
            <w:r>
              <w:rPr>
                <w:rFonts w:ascii="Calibri" w:hAnsi="Calibri"/>
                <w:b w:val="0"/>
                <w:i w:val="0"/>
                <w:color w:val="5A5A5A"/>
                <w:sz w:val="18"/>
              </w:rPr>
              <w:t>#dietarydiversity  #micronutrients  #protein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&amp; host genes</w:t>
            </w:r>
          </w:p>
        </w:tc>
        <w:tc>
          <w:tcPr>
            <w:tcW w:type="dxa" w:w="2160"/>
            <w:vAlign w:val="top"/>
          </w:tcPr>
          <w:p>
            <w:pPr>
              <w:spacing w:after="40" w:before="0" w:line="259" w:lineRule="auto"/>
            </w:pPr>
            <w:r>
              <w:rPr>
                <w:rFonts w:ascii="Calibri" w:hAnsi="Calibri"/>
                <w:b w:val="0"/>
                <w:i w:val="0"/>
                <w:color w:val="212121"/>
                <w:sz w:val="19"/>
              </w:rPr>
              <w:t>Genetically susceptible individuals</w:t>
            </w:r>
          </w:p>
        </w:tc>
        <w:tc>
          <w:tcPr>
            <w:tcW w:type="dxa" w:w="4276"/>
            <w:vAlign w:val="top"/>
          </w:tcPr>
          <w:p>
            <w:pPr>
              <w:spacing w:after="60" w:line="259" w:lineRule="auto"/>
            </w:pPr>
            <w:r>
              <w:rPr>
                <w:rFonts w:ascii="Calibri" w:hAnsi="Calibri"/>
                <w:b w:val="0"/>
                <w:i w:val="0"/>
                <w:color w:val="212121"/>
                <w:sz w:val="19"/>
              </w:rPr>
              <w:t>Host genetics strongly govern who progresses to disease after exposure and which clinical form develops; multiple immune-gene variants (HLA-DR, TLR1/2, NOD2, PARK2/PACRG, IL10/IL12B) confer susceptibility.</w:t>
            </w:r>
          </w:p>
          <w:p>
            <w:pPr>
              <w:spacing w:after="40" w:before="60" w:line="259" w:lineRule="auto"/>
            </w:pPr>
            <w:r>
              <w:rPr>
                <w:rFonts w:ascii="Calibri" w:hAnsi="Calibri"/>
                <w:b w:val="0"/>
                <w:i w:val="0"/>
                <w:color w:val="212121"/>
                <w:sz w:val="19"/>
              </w:rPr>
              <w:t>Monozygotic twins show roughly 3x higher concordance for leprosy than dizygotic twins, confirming a substantial genetic component.</w:t>
            </w:r>
          </w:p>
          <w:p>
            <w:pPr>
              <w:spacing w:after="40" w:line="252" w:lineRule="auto"/>
            </w:pPr>
            <w:hyperlink r:id="rId13">
              <w:r>
                <w:rPr>
                  <w:rFonts w:ascii="Calibri" w:hAnsi="Calibri" w:cs="Calibri"/>
                  <w:sz w:val="18"/>
                  <w:color w:val="1155CC"/>
                  <w:u w:val="single"/>
                </w:rPr>
                <w:t xml:space="preserve">pmc.ncbi.nlm.nih.gov - Leprosy and the Human Genome</w:t>
              </w:r>
            </w:hyperlink>
          </w:p>
          <w:p>
            <w:pPr>
              <w:spacing w:before="60" w:after="40"/>
            </w:pPr>
            <w:r>
              <w:rPr>
                <w:rFonts w:ascii="Calibri" w:hAnsi="Calibri"/>
                <w:b w:val="0"/>
                <w:i w:val="0"/>
                <w:color w:val="5A5A5A"/>
                <w:sz w:val="18"/>
              </w:rPr>
              <w:t>#geneticsusceptibility  #HLA  #TLR2  #twinstudies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Diabetic patients</w:t>
            </w:r>
          </w:p>
        </w:tc>
        <w:tc>
          <w:tcPr>
            <w:tcW w:type="dxa" w:w="4276"/>
            <w:vAlign w:val="top"/>
          </w:tcPr>
          <w:p>
            <w:pPr>
              <w:spacing w:after="60" w:line="259" w:lineRule="auto"/>
            </w:pPr>
            <w:r>
              <w:rPr>
                <w:rFonts w:ascii="Calibri" w:hAnsi="Calibri"/>
                <w:b w:val="0"/>
                <w:i w:val="0"/>
                <w:color w:val="212121"/>
                <w:sz w:val="19"/>
              </w:rPr>
              <w:t>Diabetes is the commonest comorbidity in Indian leprosy patients and independently causes peripheral neuropathy that overlaps with and masks leprous nerve damage, worsening foot-ulcer risk and complicating nerve-function monitoring.</w:t>
            </w:r>
          </w:p>
          <w:p>
            <w:pPr>
              <w:spacing w:after="40" w:before="60" w:line="259" w:lineRule="auto"/>
            </w:pPr>
            <w:r>
              <w:rPr>
                <w:rFonts w:ascii="Calibri" w:hAnsi="Calibri"/>
                <w:b w:val="0"/>
                <w:i w:val="0"/>
                <w:color w:val="212121"/>
                <w:sz w:val="19"/>
              </w:rPr>
              <w:t>9.3% of leprosy patients in a large Indian cohort had diabetes - the single most frequent comorbidity.</w:t>
            </w:r>
          </w:p>
          <w:p>
            <w:pPr>
              <w:spacing w:after="40" w:line="252" w:lineRule="auto"/>
            </w:pPr>
            <w:hyperlink r:id="rId14">
              <w:r>
                <w:rPr>
                  <w:rFonts w:ascii="Calibri" w:hAnsi="Calibri" w:cs="Calibri"/>
                  <w:sz w:val="18"/>
                  <w:color w:val="1155CC"/>
                  <w:u w:val="single"/>
                </w:rPr>
                <w:t xml:space="preserve">journals.plos.org - multimorbidity in leprosy, India</w:t>
              </w:r>
            </w:hyperlink>
          </w:p>
          <w:p>
            <w:pPr>
              <w:spacing w:before="60" w:after="40"/>
            </w:pPr>
            <w:r>
              <w:rPr>
                <w:rFonts w:ascii="Calibri" w:hAnsi="Calibri"/>
                <w:b w:val="0"/>
                <w:i w:val="0"/>
                <w:color w:val="5A5A5A"/>
                <w:sz w:val="18"/>
              </w:rPr>
              <w:t>#diabetes  #neuropathyoverlap  #footcare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HIV &amp; immunocompromised individuals</w:t>
            </w:r>
          </w:p>
        </w:tc>
        <w:tc>
          <w:tcPr>
            <w:tcW w:type="dxa" w:w="4276"/>
            <w:vAlign w:val="top"/>
          </w:tcPr>
          <w:p>
            <w:pPr>
              <w:spacing w:after="60" w:line="259" w:lineRule="auto"/>
            </w:pPr>
            <w:r>
              <w:rPr>
                <w:rFonts w:ascii="Calibri" w:hAnsi="Calibri"/>
                <w:b w:val="0"/>
                <w:i w:val="0"/>
                <w:color w:val="212121"/>
                <w:sz w:val="19"/>
              </w:rPr>
              <w:t>Immunosuppression (HIV, corticosteroid or biologic therapy) can unmask latent leprosy or precipitate immune-reconstitution reactions and severe neuritis, altering presentation and management.</w:t>
            </w:r>
          </w:p>
          <w:p>
            <w:pPr>
              <w:spacing w:after="40" w:before="60" w:line="259" w:lineRule="auto"/>
            </w:pPr>
            <w:r>
              <w:rPr>
                <w:rFonts w:ascii="Calibri" w:hAnsi="Calibri"/>
                <w:b w:val="0"/>
                <w:i w:val="0"/>
                <w:color w:val="212121"/>
                <w:sz w:val="19"/>
              </w:rPr>
              <w:t>HIV does not clearly raise leprosy incidence but is associated with immune-reconstitution reactions that complicate treatment.</w:t>
            </w:r>
          </w:p>
          <w:p>
            <w:pPr>
              <w:spacing w:before="60" w:after="40"/>
            </w:pPr>
            <w:r>
              <w:rPr>
                <w:rFonts w:ascii="Calibri" w:hAnsi="Calibri"/>
                <w:b w:val="0"/>
                <w:i w:val="0"/>
                <w:color w:val="5A5A5A"/>
                <w:sz w:val="18"/>
              </w:rPr>
              <w:t>#HIV  #immunosuppression  #IRIS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inactivity is not a direct cause of leprosy, but disability, deformity and reaction-related pain progressively limit mobility; graded activity and physiotherapy help prevent contractures and preserve function.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Undernutrition and food insecurity impair cell-mediated immunity and independently raise leprosy risk (recent food shortage about 1.39x; lower BMI increases risk). Adequate nutrition supports recovery and reduces reactions.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with acquisition; poor sleep and fatigue are common with chronic pain, reactions and depression, and good sleep supports immune function and coping.</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Tobacco use is common in affected populations and may aggravate vascular compromise and delay ulcer healing; evidence for a direct causal role in acquisition is limited.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misuse is linked to poorer treatment adherence, undernutrition and added hepatotoxicity risk with rifampicin-based MDT, indirectly worsening outcomes.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Bidirectional: stigma, disability and disfigurement drive high rates of depression (about 33%) and anxiety (about 19%) among Indian patients, and psychological stress may precipitate reactions.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Unsafe water and poor sanitation cluster with poverty and overcrowding; M. leprae can persist in water and soil, supporting residual transmission, though water access alone is not independently protective.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established relationship between caffeine intake and leprosy.</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Overcrowding and poor personal/household hygiene facilitate droplet transmission; meticulous skin, eye and foot hygiene is central to preventing secondary infection and disability in diagnosed patients.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Pregnancy, puberty, lactation, intercurrent infection and the start of MDT can precipitate Type 1 (reversal) and Type 2 (erythema nodosum leprosum) reactions - acute immune events that cause most nerve damage and disability.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Repetitive mechanical pressure and unnoticed trauma on anaesthetic (insensate) hands and feet, including from poor footwear and gait, drive trophic plantar ulceration and joint damage; pressure relief and protective footwear are protective.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Adults, contacts, patients</w:t>
            </w:r>
          </w:p>
        </w:tc>
        <w:tc>
          <w:tcPr>
            <w:tcW w:type="dxa" w:w="1512"/>
            <w:vAlign w:val="top"/>
          </w:tcPr>
          <w:p>
            <w:pPr>
              <w:spacing w:after="40" w:before="0" w:line="259" w:lineRule="auto"/>
            </w:pPr>
            <w:r>
              <w:rPr>
                <w:rFonts w:ascii="Calibri" w:hAnsi="Calibri"/>
                <w:b w:val="0"/>
                <w:i w:val="0"/>
                <w:color w:val="212121"/>
                <w:sz w:val="19"/>
              </w:rPr>
              <w:t>18.5-24.9 kg/m2</w:t>
            </w:r>
          </w:p>
        </w:tc>
        <w:tc>
          <w:tcPr>
            <w:tcW w:type="dxa" w:w="1512"/>
            <w:vAlign w:val="top"/>
          </w:tcPr>
          <w:p>
            <w:pPr>
              <w:spacing w:after="40" w:before="0" w:line="259" w:lineRule="auto"/>
            </w:pPr>
            <w:r>
              <w:rPr>
                <w:rFonts w:ascii="Calibri" w:hAnsi="Calibri"/>
                <w:b w:val="0"/>
                <w:i w:val="0"/>
                <w:color w:val="212121"/>
                <w:sz w:val="19"/>
              </w:rPr>
              <w:t>&lt; 18.5 (undernutrition)</w:t>
            </w:r>
          </w:p>
        </w:tc>
        <w:tc>
          <w:tcPr>
            <w:tcW w:type="dxa" w:w="1468"/>
            <w:vAlign w:val="top"/>
          </w:tcPr>
          <w:p>
            <w:pPr>
              <w:spacing w:after="60" w:line="259" w:lineRule="auto"/>
            </w:pPr>
            <w:r>
              <w:rPr>
                <w:rFonts w:ascii="Calibri" w:hAnsi="Calibri"/>
                <w:b w:val="0"/>
                <w:i w:val="0"/>
                <w:color w:val="212121"/>
                <w:sz w:val="19"/>
              </w:rPr>
              <w:t>Low BMI/undernutrition raises leprosy risk and reaction severity</w:t>
            </w:r>
          </w:p>
          <w:p>
            <w:pPr>
              <w:spacing w:after="40" w:line="252" w:lineRule="auto"/>
            </w:pPr>
            <w:hyperlink r:id="rId12">
              <w:r>
                <w:rPr>
                  <w:rFonts w:ascii="Calibri" w:hAnsi="Calibri" w:cs="Calibri"/>
                  <w:sz w:val="18"/>
                  <w:color w:val="1155CC"/>
                  <w:u w:val="single"/>
                </w:rPr>
                <w:t xml:space="preserve">https://journals.plos.org/plosntds/article?id=10.1371%2Fjournal.pntd.0003766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Diversity Score (food groups/day)</w:t>
            </w:r>
          </w:p>
        </w:tc>
        <w:tc>
          <w:tcPr>
            <w:tcW w:type="dxa" w:w="1655"/>
            <w:vAlign w:val="top"/>
          </w:tcPr>
          <w:p>
            <w:pPr>
              <w:spacing w:after="40" w:before="0" w:line="259" w:lineRule="auto"/>
            </w:pPr>
            <w:r>
              <w:rPr>
                <w:rFonts w:ascii="Calibri" w:hAnsi="Calibri"/>
                <w:b w:val="0"/>
                <w:i w:val="0"/>
                <w:color w:val="212121"/>
                <w:sz w:val="19"/>
              </w:rPr>
              <w:t>Low-income households</w:t>
            </w:r>
          </w:p>
        </w:tc>
        <w:tc>
          <w:tcPr>
            <w:tcW w:type="dxa" w:w="1512"/>
            <w:vAlign w:val="top"/>
          </w:tcPr>
          <w:p>
            <w:pPr>
              <w:spacing w:after="40" w:before="0" w:line="259" w:lineRule="auto"/>
            </w:pPr>
            <w:r>
              <w:rPr>
                <w:rFonts w:ascii="Calibri" w:hAnsi="Calibri"/>
                <w:b w:val="0"/>
                <w:i w:val="0"/>
                <w:color w:val="212121"/>
                <w:sz w:val="19"/>
              </w:rPr>
              <w:t>&gt;= 5 food groups</w:t>
            </w:r>
          </w:p>
        </w:tc>
        <w:tc>
          <w:tcPr>
            <w:tcW w:type="dxa" w:w="1512"/>
            <w:vAlign w:val="top"/>
          </w:tcPr>
          <w:p>
            <w:pPr>
              <w:spacing w:after="40" w:before="0" w:line="259" w:lineRule="auto"/>
            </w:pPr>
            <w:r>
              <w:rPr>
                <w:rFonts w:ascii="Calibri" w:hAnsi="Calibri"/>
                <w:b w:val="0"/>
                <w:i w:val="0"/>
                <w:color w:val="212121"/>
                <w:sz w:val="19"/>
              </w:rPr>
              <w:t>&lt; 5 food groups</w:t>
            </w:r>
          </w:p>
        </w:tc>
        <w:tc>
          <w:tcPr>
            <w:tcW w:type="dxa" w:w="1468"/>
            <w:vAlign w:val="top"/>
          </w:tcPr>
          <w:p>
            <w:pPr>
              <w:spacing w:after="60" w:line="259" w:lineRule="auto"/>
            </w:pPr>
            <w:r>
              <w:rPr>
                <w:rFonts w:ascii="Calibri" w:hAnsi="Calibri"/>
                <w:b w:val="0"/>
                <w:i w:val="0"/>
                <w:color w:val="212121"/>
                <w:sz w:val="19"/>
              </w:rPr>
              <w:t>Low diversity reflects food insecurity and micronutrient deficiency</w:t>
            </w:r>
          </w:p>
          <w:p>
            <w:pPr>
              <w:spacing w:after="40" w:line="252" w:lineRule="auto"/>
            </w:pPr>
            <w:hyperlink r:id="rId12">
              <w:r>
                <w:rPr>
                  <w:rFonts w:ascii="Calibri" w:hAnsi="Calibri" w:cs="Calibri"/>
                  <w:sz w:val="18"/>
                  <w:color w:val="1155CC"/>
                  <w:u w:val="single"/>
                </w:rPr>
                <w:t xml:space="preserve">https://journals.plos.org/plosntds/article?id=10.1371%2Fjournal.pntd.0003766</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Household size / crowding (persons)</w:t>
            </w:r>
          </w:p>
        </w:tc>
        <w:tc>
          <w:tcPr>
            <w:tcW w:type="dxa" w:w="1655"/>
            <w:vAlign w:val="top"/>
          </w:tcPr>
          <w:p>
            <w:pPr>
              <w:spacing w:after="40" w:before="0" w:line="259" w:lineRule="auto"/>
            </w:pPr>
            <w:r>
              <w:rPr>
                <w:rFonts w:ascii="Calibri" w:hAnsi="Calibri"/>
                <w:b w:val="0"/>
                <w:i w:val="0"/>
                <w:color w:val="212121"/>
                <w:sz w:val="19"/>
              </w:rPr>
              <w:t>Endemic-area households</w:t>
            </w:r>
          </w:p>
        </w:tc>
        <w:tc>
          <w:tcPr>
            <w:tcW w:type="dxa" w:w="1512"/>
            <w:vAlign w:val="top"/>
          </w:tcPr>
          <w:p>
            <w:pPr>
              <w:spacing w:after="40" w:before="0" w:line="259" w:lineRule="auto"/>
            </w:pPr>
            <w:r>
              <w:rPr>
                <w:rFonts w:ascii="Calibri" w:hAnsi="Calibri"/>
                <w:b w:val="0"/>
                <w:i w:val="0"/>
                <w:color w:val="212121"/>
                <w:sz w:val="19"/>
              </w:rPr>
              <w:t>&lt; 5 persons; well ventilated</w:t>
            </w:r>
          </w:p>
        </w:tc>
        <w:tc>
          <w:tcPr>
            <w:tcW w:type="dxa" w:w="1512"/>
            <w:vAlign w:val="top"/>
          </w:tcPr>
          <w:p>
            <w:pPr>
              <w:spacing w:after="40" w:before="0" w:line="259" w:lineRule="auto"/>
            </w:pPr>
            <w:r>
              <w:rPr>
                <w:rFonts w:ascii="Calibri" w:hAnsi="Calibri"/>
                <w:b w:val="0"/>
                <w:i w:val="0"/>
                <w:color w:val="212121"/>
                <w:sz w:val="19"/>
              </w:rPr>
              <w:t>&gt;= 5 persons / overcrowded</w:t>
            </w:r>
          </w:p>
        </w:tc>
        <w:tc>
          <w:tcPr>
            <w:tcW w:type="dxa" w:w="1468"/>
            <w:vAlign w:val="top"/>
          </w:tcPr>
          <w:p>
            <w:pPr>
              <w:spacing w:after="60" w:line="259" w:lineRule="auto"/>
            </w:pPr>
            <w:r>
              <w:rPr>
                <w:rFonts w:ascii="Calibri" w:hAnsi="Calibri"/>
                <w:b w:val="0"/>
                <w:i w:val="0"/>
                <w:color w:val="212121"/>
                <w:sz w:val="19"/>
              </w:rPr>
              <w:t>Crowding raises droplet-transmission risk about 1.38x</w:t>
            </w:r>
          </w:p>
          <w:p>
            <w:pPr>
              <w:spacing w:after="40" w:line="252" w:lineRule="auto"/>
            </w:pPr>
            <w:hyperlink r:id="rId11">
              <w:r>
                <w:rPr>
                  <w:rFonts w:ascii="Calibri" w:hAnsi="Calibri" w:cs="Calibri"/>
                  <w:sz w:val="18"/>
                  <w:color w:val="1155CC"/>
                  <w:u w:val="single"/>
                </w:rPr>
                <w:t xml:space="preserve">https://journals.plos.org/plosntds/article?id=10.1371%2Fjournal.pntd.0006622</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Household/close contact with an untreated case</w:t>
            </w:r>
          </w:p>
        </w:tc>
        <w:tc>
          <w:tcPr>
            <w:tcW w:type="dxa" w:w="1655"/>
            <w:vAlign w:val="top"/>
          </w:tcPr>
          <w:p>
            <w:pPr>
              <w:spacing w:after="40" w:before="0" w:line="259" w:lineRule="auto"/>
            </w:pPr>
            <w:r>
              <w:rPr>
                <w:rFonts w:ascii="Calibri" w:hAnsi="Calibri"/>
                <w:b w:val="0"/>
                <w:i w:val="0"/>
                <w:color w:val="212121"/>
                <w:sz w:val="19"/>
              </w:rPr>
              <w:t>Household &amp; neighbour contacts</w:t>
            </w:r>
          </w:p>
        </w:tc>
        <w:tc>
          <w:tcPr>
            <w:tcW w:type="dxa" w:w="1512"/>
            <w:vAlign w:val="top"/>
          </w:tcPr>
          <w:p>
            <w:pPr>
              <w:spacing w:after="40" w:before="0" w:line="259" w:lineRule="auto"/>
            </w:pPr>
            <w:r>
              <w:rPr>
                <w:rFonts w:ascii="Calibri" w:hAnsi="Calibri"/>
                <w:b w:val="0"/>
                <w:i w:val="0"/>
                <w:color w:val="212121"/>
                <w:sz w:val="19"/>
              </w:rPr>
              <w:t>No contact; contacts screened and given SDR-PEP</w:t>
            </w:r>
          </w:p>
        </w:tc>
        <w:tc>
          <w:tcPr>
            <w:tcW w:type="dxa" w:w="1512"/>
            <w:vAlign w:val="top"/>
          </w:tcPr>
          <w:p>
            <w:pPr>
              <w:spacing w:after="40" w:before="0" w:line="259" w:lineRule="auto"/>
            </w:pPr>
            <w:r>
              <w:rPr>
                <w:rFonts w:ascii="Calibri" w:hAnsi="Calibri"/>
                <w:b w:val="0"/>
                <w:i w:val="0"/>
                <w:color w:val="212121"/>
                <w:sz w:val="19"/>
              </w:rPr>
              <w:t>Prolonged contact with untreated MB case</w:t>
            </w:r>
          </w:p>
        </w:tc>
        <w:tc>
          <w:tcPr>
            <w:tcW w:type="dxa" w:w="1468"/>
            <w:vAlign w:val="top"/>
          </w:tcPr>
          <w:p>
            <w:pPr>
              <w:spacing w:after="60" w:line="259" w:lineRule="auto"/>
            </w:pPr>
            <w:r>
              <w:rPr>
                <w:rFonts w:ascii="Calibri" w:hAnsi="Calibri"/>
                <w:b w:val="0"/>
                <w:i w:val="0"/>
                <w:color w:val="212121"/>
                <w:sz w:val="19"/>
              </w:rPr>
              <w:t>Strongest risk marker (about 3.4x); trigger contact tracing and prophylaxis</w:t>
            </w:r>
          </w:p>
          <w:p>
            <w:pPr>
              <w:spacing w:after="40" w:line="252" w:lineRule="auto"/>
            </w:pPr>
            <w:hyperlink r:id="rId11">
              <w:r>
                <w:rPr>
                  <w:rFonts w:ascii="Calibri" w:hAnsi="Calibri" w:cs="Calibri"/>
                  <w:sz w:val="18"/>
                  <w:color w:val="1155CC"/>
                  <w:u w:val="single"/>
                </w:rPr>
                <w:t xml:space="preserve">https://journals.plos.org/plosntds/article?id=10.1371%2Fjournal.pntd.0006622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Reaction triggers (pregnancy, puberty, infection, MDT start)</w:t>
            </w:r>
          </w:p>
        </w:tc>
        <w:tc>
          <w:tcPr>
            <w:tcW w:type="dxa" w:w="1655"/>
            <w:vAlign w:val="top"/>
          </w:tcPr>
          <w:p>
            <w:pPr>
              <w:spacing w:after="40" w:before="0" w:line="259" w:lineRule="auto"/>
            </w:pPr>
            <w:r>
              <w:rPr>
                <w:rFonts w:ascii="Calibri" w:hAnsi="Calibri"/>
                <w:b w:val="0"/>
                <w:i w:val="0"/>
                <w:color w:val="212121"/>
                <w:sz w:val="19"/>
              </w:rPr>
              <w:t>MB &amp; borderline patients</w:t>
            </w:r>
          </w:p>
        </w:tc>
        <w:tc>
          <w:tcPr>
            <w:tcW w:type="dxa" w:w="1512"/>
            <w:vAlign w:val="top"/>
          </w:tcPr>
          <w:p>
            <w:pPr>
              <w:spacing w:after="40" w:before="0" w:line="259" w:lineRule="auto"/>
            </w:pPr>
            <w:r>
              <w:rPr>
                <w:rFonts w:ascii="Calibri" w:hAnsi="Calibri"/>
                <w:b w:val="0"/>
                <w:i w:val="0"/>
                <w:color w:val="212121"/>
                <w:sz w:val="19"/>
              </w:rPr>
              <w:t>Monitored; none active</w:t>
            </w:r>
          </w:p>
        </w:tc>
        <w:tc>
          <w:tcPr>
            <w:tcW w:type="dxa" w:w="1512"/>
            <w:vAlign w:val="top"/>
          </w:tcPr>
          <w:p>
            <w:pPr>
              <w:spacing w:after="40" w:before="0" w:line="259" w:lineRule="auto"/>
            </w:pPr>
            <w:r>
              <w:rPr>
                <w:rFonts w:ascii="Calibri" w:hAnsi="Calibri"/>
                <w:b w:val="0"/>
                <w:i w:val="0"/>
                <w:color w:val="212121"/>
                <w:sz w:val="19"/>
              </w:rPr>
              <w:t>Any present with new nerve pain or skin flare</w:t>
            </w:r>
          </w:p>
        </w:tc>
        <w:tc>
          <w:tcPr>
            <w:tcW w:type="dxa" w:w="1468"/>
            <w:vAlign w:val="top"/>
          </w:tcPr>
          <w:p>
            <w:pPr>
              <w:spacing w:after="60" w:line="259" w:lineRule="auto"/>
            </w:pPr>
            <w:r>
              <w:rPr>
                <w:rFonts w:ascii="Calibri" w:hAnsi="Calibri"/>
                <w:b w:val="0"/>
                <w:i w:val="0"/>
                <w:color w:val="212121"/>
                <w:sz w:val="19"/>
              </w:rPr>
              <w:t>Precipitate Type 1/Type 2 reactions and acute nerve damage</w:t>
            </w:r>
          </w:p>
          <w:p>
            <w:pPr>
              <w:spacing w:after="40" w:line="252" w:lineRule="auto"/>
            </w:pPr>
            <w:hyperlink r:id="rId15">
              <w:r>
                <w:rPr>
                  <w:rFonts w:ascii="Calibri" w:hAnsi="Calibri" w:cs="Calibri"/>
                  <w:sz w:val="18"/>
                  <w:color w:val="1155CC"/>
                  <w:u w:val="single"/>
                </w:rPr>
                <w:t xml:space="preserve">https://dermnetnz.org/topics/lepra-reactions</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 (PHQ-9)</w:t>
            </w:r>
          </w:p>
        </w:tc>
        <w:tc>
          <w:tcPr>
            <w:tcW w:type="dxa" w:w="1655"/>
            <w:vAlign w:val="top"/>
          </w:tcPr>
          <w:p>
            <w:pPr>
              <w:spacing w:after="40" w:before="0" w:line="259" w:lineRule="auto"/>
            </w:pPr>
            <w:r>
              <w:rPr>
                <w:rFonts w:ascii="Calibri" w:hAnsi="Calibri"/>
                <w:b w:val="0"/>
                <w:i w:val="0"/>
                <w:color w:val="212121"/>
                <w:sz w:val="19"/>
              </w:rPr>
              <w:t>Diagnosed patients, those with disability</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&gt;= 10 (moderate or worse)</w:t>
            </w:r>
          </w:p>
        </w:tc>
        <w:tc>
          <w:tcPr>
            <w:tcW w:type="dxa" w:w="1468"/>
            <w:vAlign w:val="top"/>
          </w:tcPr>
          <w:p>
            <w:pPr>
              <w:spacing w:after="60" w:line="259" w:lineRule="auto"/>
            </w:pPr>
            <w:r>
              <w:rPr>
                <w:rFonts w:ascii="Calibri" w:hAnsi="Calibri"/>
                <w:b w:val="0"/>
                <w:i w:val="0"/>
                <w:color w:val="212121"/>
                <w:sz w:val="19"/>
              </w:rPr>
              <w:t>About 1 in 3 Indian patients has depression; disability raises risk about 2.9x</w:t>
            </w:r>
          </w:p>
          <w:p>
            <w:pPr>
              <w:spacing w:after="40" w:line="252" w:lineRule="auto"/>
            </w:pPr>
            <w:hyperlink r:id="rId16">
              <w:r>
                <w:rPr>
                  <w:rFonts w:ascii="Calibri" w:hAnsi="Calibri" w:cs="Calibri"/>
                  <w:sz w:val="18"/>
                  <w:color w:val="1155CC"/>
                  <w:u w:val="single"/>
                </w:rPr>
                <w:t xml:space="preserve">https://journals.plos.org/plosntds/article?id=10.1371%2Fjournal.pntd.0009030</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 cigarettes per day</w:t>
            </w:r>
          </w:p>
        </w:tc>
        <w:tc>
          <w:tcPr>
            <w:tcW w:type="dxa" w:w="1655"/>
            <w:vAlign w:val="top"/>
          </w:tcPr>
          <w:p>
            <w:pPr>
              <w:spacing w:after="40" w:before="0" w:line="259" w:lineRule="auto"/>
            </w:pPr>
            <w:r>
              <w:rPr>
                <w:rFonts w:ascii="Calibri" w:hAnsi="Calibri"/>
                <w:b w:val="0"/>
                <w:i w:val="0"/>
                <w:color w:val="212121"/>
                <w:sz w:val="19"/>
              </w:rPr>
              <w:t>Adults, labourers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per day</w:t>
            </w:r>
          </w:p>
        </w:tc>
        <w:tc>
          <w:tcPr>
            <w:tcW w:type="dxa" w:w="1468"/>
            <w:vAlign w:val="top"/>
          </w:tcPr>
          <w:p>
            <w:pPr>
              <w:spacing w:after="40" w:before="0" w:line="259" w:lineRule="auto"/>
            </w:pPr>
            <w:r>
              <w:rPr>
                <w:rFonts w:ascii="Calibri" w:hAnsi="Calibri"/>
                <w:b w:val="0"/>
                <w:i w:val="0"/>
                <w:color w:val="212121"/>
                <w:sz w:val="19"/>
              </w:rPr>
              <w:t>May impair peripheral circulation and delay ulcer healing</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 on MDT</w:t>
            </w:r>
          </w:p>
        </w:tc>
        <w:tc>
          <w:tcPr>
            <w:tcW w:type="dxa" w:w="1512"/>
            <w:vAlign w:val="top"/>
          </w:tcPr>
          <w:p>
            <w:pPr>
              <w:spacing w:after="40" w:before="0" w:line="259" w:lineRule="auto"/>
            </w:pPr>
            <w:r>
              <w:rPr>
                <w:rFonts w:ascii="Calibri" w:hAnsi="Calibri"/>
                <w:b w:val="0"/>
                <w:i w:val="0"/>
                <w:color w:val="212121"/>
                <w:sz w:val="19"/>
              </w:rPr>
              <w:t>None during rifampicin therapy</w:t>
            </w:r>
          </w:p>
        </w:tc>
        <w:tc>
          <w:tcPr>
            <w:tcW w:type="dxa" w:w="1512"/>
            <w:vAlign w:val="top"/>
          </w:tcPr>
          <w:p>
            <w:pPr>
              <w:spacing w:after="40" w:before="0" w:line="259" w:lineRule="auto"/>
            </w:pPr>
            <w:r>
              <w:rPr>
                <w:rFonts w:ascii="Calibri" w:hAnsi="Calibri"/>
                <w:b w:val="0"/>
                <w:i w:val="0"/>
                <w:color w:val="212121"/>
                <w:sz w:val="19"/>
              </w:rPr>
              <w:t>Regular / heavy use</w:t>
            </w:r>
          </w:p>
        </w:tc>
        <w:tc>
          <w:tcPr>
            <w:tcW w:type="dxa" w:w="1468"/>
            <w:vAlign w:val="top"/>
          </w:tcPr>
          <w:p>
            <w:pPr>
              <w:spacing w:after="40" w:before="0" w:line="259" w:lineRule="auto"/>
            </w:pPr>
            <w:r>
              <w:rPr>
                <w:rFonts w:ascii="Calibri" w:hAnsi="Calibri"/>
                <w:b w:val="0"/>
                <w:i w:val="0"/>
                <w:color w:val="212121"/>
                <w:sz w:val="19"/>
              </w:rPr>
              <w:t>Adds hepatotoxicity risk with rifampicin and reduces adherence</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Access to safe water &amp; sanitation (WASH)</w:t>
            </w:r>
          </w:p>
        </w:tc>
        <w:tc>
          <w:tcPr>
            <w:tcW w:type="dxa" w:w="1655"/>
            <w:vAlign w:val="top"/>
          </w:tcPr>
          <w:p>
            <w:pPr>
              <w:spacing w:after="40" w:before="0" w:line="259" w:lineRule="auto"/>
            </w:pPr>
            <w:r>
              <w:rPr>
                <w:rFonts w:ascii="Calibri" w:hAnsi="Calibri"/>
                <w:b w:val="0"/>
                <w:i w:val="0"/>
                <w:color w:val="212121"/>
                <w:sz w:val="19"/>
              </w:rPr>
              <w:t>Endemic communities</w:t>
            </w:r>
          </w:p>
        </w:tc>
        <w:tc>
          <w:tcPr>
            <w:tcW w:type="dxa" w:w="1512"/>
            <w:vAlign w:val="top"/>
          </w:tcPr>
          <w:p>
            <w:pPr>
              <w:spacing w:after="40" w:before="0" w:line="259" w:lineRule="auto"/>
            </w:pPr>
            <w:r>
              <w:rPr>
                <w:rFonts w:ascii="Calibri" w:hAnsi="Calibri"/>
                <w:b w:val="0"/>
                <w:i w:val="0"/>
                <w:color w:val="212121"/>
                <w:sz w:val="19"/>
              </w:rPr>
              <w:t>Safe water + improved sanitation</w:t>
            </w:r>
          </w:p>
        </w:tc>
        <w:tc>
          <w:tcPr>
            <w:tcW w:type="dxa" w:w="1512"/>
            <w:vAlign w:val="top"/>
          </w:tcPr>
          <w:p>
            <w:pPr>
              <w:spacing w:after="40" w:before="0" w:line="259" w:lineRule="auto"/>
            </w:pPr>
            <w:r>
              <w:rPr>
                <w:rFonts w:ascii="Calibri" w:hAnsi="Calibri"/>
                <w:b w:val="0"/>
                <w:i w:val="0"/>
                <w:color w:val="212121"/>
                <w:sz w:val="19"/>
              </w:rPr>
              <w:t>Unsafe water / open defecation</w:t>
            </w:r>
          </w:p>
        </w:tc>
        <w:tc>
          <w:tcPr>
            <w:tcW w:type="dxa" w:w="1468"/>
            <w:vAlign w:val="top"/>
          </w:tcPr>
          <w:p>
            <w:pPr>
              <w:spacing w:after="40" w:before="0" w:line="259" w:lineRule="auto"/>
            </w:pPr>
            <w:r>
              <w:rPr>
                <w:rFonts w:ascii="Calibri" w:hAnsi="Calibri"/>
                <w:b w:val="0"/>
                <w:i w:val="0"/>
                <w:color w:val="212121"/>
                <w:sz w:val="19"/>
              </w:rPr>
              <w:t>Poverty-linked; supports residual transmission and secondary infection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Bacteriological</w:t>
            </w:r>
          </w:p>
        </w:tc>
        <w:tc>
          <w:tcPr>
            <w:tcW w:type="dxa" w:w="1036"/>
            <w:vAlign w:val="top"/>
          </w:tcPr>
          <w:p>
            <w:pPr>
              <w:spacing w:after="40" w:before="0" w:line="259" w:lineRule="auto"/>
            </w:pPr>
            <w:r>
              <w:rPr>
                <w:rFonts w:ascii="Calibri" w:hAnsi="Calibri"/>
                <w:b w:val="0"/>
                <w:i w:val="0"/>
                <w:color w:val="212121"/>
                <w:sz w:val="16"/>
              </w:rPr>
              <w:t>Slit-Skin Smear - Bacterial Index (BI)</w:t>
            </w:r>
          </w:p>
        </w:tc>
        <w:tc>
          <w:tcPr>
            <w:tcW w:type="dxa" w:w="892"/>
            <w:vAlign w:val="top"/>
          </w:tcPr>
          <w:p>
            <w:pPr>
              <w:spacing w:after="40" w:before="0" w:line="259" w:lineRule="auto"/>
            </w:pPr>
            <w:r>
              <w:rPr>
                <w:rFonts w:ascii="Calibri" w:hAnsi="Calibri"/>
                <w:b w:val="0"/>
                <w:i w:val="0"/>
                <w:color w:val="212121"/>
                <w:sz w:val="16"/>
              </w:rPr>
              <w:t>Slit-skin smear (Ziehl-Neelsen / Fite)</w:t>
            </w:r>
          </w:p>
        </w:tc>
        <w:tc>
          <w:tcPr>
            <w:tcW w:type="dxa" w:w="950"/>
            <w:vAlign w:val="top"/>
          </w:tcPr>
          <w:p>
            <w:pPr>
              <w:spacing w:after="40" w:before="0" w:line="259" w:lineRule="auto"/>
            </w:pPr>
            <w:r>
              <w:rPr>
                <w:rFonts w:ascii="Calibri" w:hAnsi="Calibri"/>
                <w:b w:val="0"/>
                <w:i w:val="0"/>
                <w:color w:val="212121"/>
                <w:sz w:val="16"/>
              </w:rPr>
              <w:t>BI 0 (no AFB seen)</w:t>
            </w:r>
          </w:p>
        </w:tc>
        <w:tc>
          <w:tcPr>
            <w:tcW w:type="dxa" w:w="950"/>
            <w:vAlign w:val="top"/>
          </w:tcPr>
          <w:p>
            <w:pPr>
              <w:spacing w:after="40" w:before="0" w:line="259" w:lineRule="auto"/>
            </w:pPr>
            <w:r>
              <w:rPr>
                <w:rFonts w:ascii="Calibri" w:hAnsi="Calibri"/>
                <w:b w:val="0"/>
                <w:i w:val="0"/>
                <w:color w:val="212121"/>
                <w:sz w:val="16"/>
              </w:rPr>
              <w:t>BI 1+ to 6+ (AFB present)</w:t>
            </w:r>
          </w:p>
        </w:tc>
        <w:tc>
          <w:tcPr>
            <w:tcW w:type="dxa" w:w="1036"/>
            <w:vAlign w:val="top"/>
          </w:tcPr>
          <w:p>
            <w:pPr>
              <w:spacing w:after="40" w:before="0" w:line="259" w:lineRule="auto"/>
            </w:pPr>
            <w:r>
              <w:rPr>
                <w:rFonts w:ascii="Calibri" w:hAnsi="Calibri"/>
                <w:b w:val="0"/>
                <w:i w:val="0"/>
                <w:color w:val="212121"/>
                <w:sz w:val="16"/>
              </w:rPr>
              <w:t>A positive smear confirms multibacillary disease and infectivity; graded on the Ridley logarithmic scale</w:t>
            </w:r>
          </w:p>
        </w:tc>
        <w:tc>
          <w:tcPr>
            <w:tcW w:type="dxa" w:w="1036"/>
            <w:vAlign w:val="top"/>
          </w:tcPr>
          <w:p>
            <w:pPr>
              <w:spacing w:after="40" w:before="0" w:line="259" w:lineRule="auto"/>
            </w:pPr>
            <w:r>
              <w:rPr>
                <w:rFonts w:ascii="Calibri" w:hAnsi="Calibri"/>
                <w:b w:val="0"/>
                <w:i w:val="0"/>
                <w:color w:val="212121"/>
                <w:sz w:val="16"/>
              </w:rPr>
              <w:t>Suspected MB, lepromatous, relapse</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Gold standard (about 100% specific)</w:t>
            </w:r>
          </w:p>
        </w:tc>
        <w:tc>
          <w:tcPr>
            <w:tcW w:type="dxa" w:w="720"/>
            <w:vAlign w:val="top"/>
          </w:tcPr>
          <w:p>
            <w:pPr>
              <w:spacing w:after="40" w:before="0" w:line="259" w:lineRule="auto"/>
            </w:pPr>
            <w:r>
              <w:rPr>
                <w:rFonts w:ascii="Calibri" w:hAnsi="Calibri"/>
                <w:b w:val="0"/>
                <w:i w:val="0"/>
                <w:color w:val="212121"/>
                <w:sz w:val="16"/>
              </w:rPr>
              <w:t>Only about 50% sensitive - a negative smear does not exclude PB leprosy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Skin / Nerve Biopsy (Fite-Faraco stain)</w:t>
            </w:r>
          </w:p>
        </w:tc>
        <w:tc>
          <w:tcPr>
            <w:tcW w:type="dxa" w:w="892"/>
            <w:vAlign w:val="top"/>
          </w:tcPr>
          <w:p>
            <w:pPr>
              <w:spacing w:after="40" w:before="0" w:line="259" w:lineRule="auto"/>
            </w:pPr>
            <w:r>
              <w:rPr>
                <w:rFonts w:ascii="Calibri" w:hAnsi="Calibri"/>
                <w:b w:val="0"/>
                <w:i w:val="0"/>
                <w:color w:val="212121"/>
                <w:sz w:val="16"/>
              </w:rPr>
              <w:t>Skin biopsy</w:t>
            </w:r>
          </w:p>
        </w:tc>
        <w:tc>
          <w:tcPr>
            <w:tcW w:type="dxa" w:w="950"/>
            <w:vAlign w:val="top"/>
          </w:tcPr>
          <w:p>
            <w:pPr>
              <w:spacing w:after="40" w:before="0" w:line="259" w:lineRule="auto"/>
            </w:pPr>
            <w:r>
              <w:rPr>
                <w:rFonts w:ascii="Calibri" w:hAnsi="Calibri"/>
                <w:b w:val="0"/>
                <w:i w:val="0"/>
                <w:color w:val="212121"/>
                <w:sz w:val="16"/>
              </w:rPr>
              <w:t>No granuloma or AFB</w:t>
            </w:r>
          </w:p>
        </w:tc>
        <w:tc>
          <w:tcPr>
            <w:tcW w:type="dxa" w:w="950"/>
            <w:vAlign w:val="top"/>
          </w:tcPr>
          <w:p>
            <w:pPr>
              <w:spacing w:after="40" w:before="0" w:line="259" w:lineRule="auto"/>
            </w:pPr>
            <w:r>
              <w:rPr>
                <w:rFonts w:ascii="Calibri" w:hAnsi="Calibri"/>
                <w:b w:val="0"/>
                <w:i w:val="0"/>
                <w:color w:val="212121"/>
                <w:sz w:val="16"/>
              </w:rPr>
              <w:t>Granulomas +/- AFB; nerve infiltration</w:t>
            </w:r>
          </w:p>
        </w:tc>
        <w:tc>
          <w:tcPr>
            <w:tcW w:type="dxa" w:w="1036"/>
            <w:vAlign w:val="top"/>
          </w:tcPr>
          <w:p>
            <w:pPr>
              <w:spacing w:after="40" w:before="0" w:line="259" w:lineRule="auto"/>
            </w:pPr>
            <w:r>
              <w:rPr>
                <w:rFonts w:ascii="Calibri" w:hAnsi="Calibri"/>
                <w:b w:val="0"/>
                <w:i w:val="0"/>
                <w:color w:val="212121"/>
                <w:sz w:val="16"/>
              </w:rPr>
              <w:t>Defines the Ridley-Jopling type and confirms diagnosis in smear-negative cases</w:t>
            </w:r>
          </w:p>
        </w:tc>
        <w:tc>
          <w:tcPr>
            <w:tcW w:type="dxa" w:w="1036"/>
            <w:vAlign w:val="top"/>
          </w:tcPr>
          <w:p>
            <w:pPr>
              <w:spacing w:after="40" w:before="0" w:line="259" w:lineRule="auto"/>
            </w:pPr>
            <w:r>
              <w:rPr>
                <w:rFonts w:ascii="Calibri" w:hAnsi="Calibri"/>
                <w:b w:val="0"/>
                <w:i w:val="0"/>
                <w:color w:val="212121"/>
                <w:sz w:val="16"/>
              </w:rPr>
              <w:t>Indeterminate, pure neuritic, atypical presentations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Fite stain is needed to demonstrate AFB</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M. leprae DNA (RLEP PCR)</w:t>
            </w:r>
          </w:p>
        </w:tc>
        <w:tc>
          <w:tcPr>
            <w:tcW w:type="dxa" w:w="892"/>
            <w:vAlign w:val="top"/>
          </w:tcPr>
          <w:p>
            <w:pPr>
              <w:spacing w:after="40" w:before="0" w:line="259" w:lineRule="auto"/>
            </w:pPr>
            <w:r>
              <w:rPr>
                <w:rFonts w:ascii="Calibri" w:hAnsi="Calibri"/>
                <w:b w:val="0"/>
                <w:i w:val="0"/>
                <w:color w:val="212121"/>
                <w:sz w:val="16"/>
              </w:rPr>
              <w:t>PCR</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M. leprae DNA detected</w:t>
            </w:r>
          </w:p>
        </w:tc>
        <w:tc>
          <w:tcPr>
            <w:tcW w:type="dxa" w:w="1036"/>
            <w:vAlign w:val="top"/>
          </w:tcPr>
          <w:p>
            <w:pPr>
              <w:spacing w:after="40" w:before="0" w:line="259" w:lineRule="auto"/>
            </w:pPr>
            <w:r>
              <w:rPr>
                <w:rFonts w:ascii="Calibri" w:hAnsi="Calibri"/>
                <w:b w:val="0"/>
                <w:i w:val="0"/>
                <w:color w:val="212121"/>
                <w:sz w:val="16"/>
              </w:rPr>
              <w:t>Highly specific; useful in paucibacillary, neuritic and relapse cases and to detect drug resistance</w:t>
            </w:r>
          </w:p>
        </w:tc>
        <w:tc>
          <w:tcPr>
            <w:tcW w:type="dxa" w:w="1036"/>
            <w:vAlign w:val="top"/>
          </w:tcPr>
          <w:p>
            <w:pPr>
              <w:spacing w:after="40" w:before="0" w:line="259" w:lineRule="auto"/>
            </w:pPr>
            <w:r>
              <w:rPr>
                <w:rFonts w:ascii="Calibri" w:hAnsi="Calibri"/>
                <w:b w:val="0"/>
                <w:i w:val="0"/>
                <w:color w:val="212121"/>
                <w:sz w:val="16"/>
              </w:rPr>
              <w:t>Smear-negative, pure neuritic, suspected resistance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Adjunct / Confirmatory</w:t>
            </w:r>
          </w:p>
        </w:tc>
        <w:tc>
          <w:tcPr>
            <w:tcW w:type="dxa" w:w="720"/>
            <w:vAlign w:val="top"/>
          </w:tcPr>
          <w:p>
            <w:pPr>
              <w:spacing w:after="40" w:before="0" w:line="259" w:lineRule="auto"/>
            </w:pPr>
            <w:r>
              <w:rPr>
                <w:rFonts w:ascii="Calibri" w:hAnsi="Calibri"/>
                <w:b w:val="0"/>
                <w:i w:val="0"/>
                <w:color w:val="212121"/>
                <w:sz w:val="16"/>
              </w:rPr>
              <w:t>Can also detect rifampicin/dapsone resistance mutations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Anti-PGL-1 antibody</w:t>
            </w:r>
          </w:p>
        </w:tc>
        <w:tc>
          <w:tcPr>
            <w:tcW w:type="dxa" w:w="892"/>
            <w:vAlign w:val="top"/>
          </w:tcPr>
          <w:p>
            <w:pPr>
              <w:spacing w:after="40" w:before="0" w:line="259" w:lineRule="auto"/>
            </w:pPr>
            <w:r>
              <w:rPr>
                <w:rFonts w:ascii="Calibri" w:hAnsi="Calibri"/>
                <w:b w:val="0"/>
                <w:i w:val="0"/>
                <w:color w:val="212121"/>
                <w:sz w:val="16"/>
              </w:rPr>
              <w:t>Serology</w:t>
            </w:r>
          </w:p>
        </w:tc>
        <w:tc>
          <w:tcPr>
            <w:tcW w:type="dxa" w:w="950"/>
            <w:vAlign w:val="top"/>
          </w:tcPr>
          <w:p>
            <w:pPr>
              <w:spacing w:after="40" w:before="0" w:line="259" w:lineRule="auto"/>
            </w:pPr>
            <w:r>
              <w:rPr>
                <w:rFonts w:ascii="Calibri" w:hAnsi="Calibri"/>
                <w:b w:val="0"/>
                <w:i w:val="0"/>
                <w:color w:val="212121"/>
                <w:sz w:val="16"/>
              </w:rPr>
              <w:t>Low / negative titre</w:t>
            </w:r>
          </w:p>
        </w:tc>
        <w:tc>
          <w:tcPr>
            <w:tcW w:type="dxa" w:w="950"/>
            <w:vAlign w:val="top"/>
          </w:tcPr>
          <w:p>
            <w:pPr>
              <w:spacing w:after="40" w:before="0" w:line="259" w:lineRule="auto"/>
            </w:pPr>
            <w:r>
              <w:rPr>
                <w:rFonts w:ascii="Calibri" w:hAnsi="Calibri"/>
                <w:b w:val="0"/>
                <w:i w:val="0"/>
                <w:color w:val="212121"/>
                <w:sz w:val="16"/>
              </w:rPr>
              <w:t>Raised titre (higher in MB)</w:t>
            </w:r>
          </w:p>
        </w:tc>
        <w:tc>
          <w:tcPr>
            <w:tcW w:type="dxa" w:w="1036"/>
            <w:vAlign w:val="top"/>
          </w:tcPr>
          <w:p>
            <w:pPr>
              <w:spacing w:after="40" w:before="0" w:line="259" w:lineRule="auto"/>
            </w:pPr>
            <w:r>
              <w:rPr>
                <w:rFonts w:ascii="Calibri" w:hAnsi="Calibri"/>
                <w:b w:val="0"/>
                <w:i w:val="0"/>
                <w:color w:val="212121"/>
                <w:sz w:val="16"/>
              </w:rPr>
              <w:t>Correlates with bacillary load; supports MB classification and contact risk stratification, not diagnostic alone</w:t>
            </w:r>
          </w:p>
        </w:tc>
        <w:tc>
          <w:tcPr>
            <w:tcW w:type="dxa" w:w="1036"/>
            <w:vAlign w:val="top"/>
          </w:tcPr>
          <w:p>
            <w:pPr>
              <w:spacing w:after="40" w:before="0" w:line="259" w:lineRule="auto"/>
            </w:pPr>
            <w:r>
              <w:rPr>
                <w:rFonts w:ascii="Calibri" w:hAnsi="Calibri"/>
                <w:b w:val="0"/>
                <w:i w:val="0"/>
                <w:color w:val="212121"/>
                <w:sz w:val="16"/>
              </w:rPr>
              <w:t>MB patients, household contacts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Insensitive for paucibacillary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Nerve conduction / monofilament &amp; VMT</w:t>
            </w:r>
          </w:p>
        </w:tc>
        <w:tc>
          <w:tcPr>
            <w:tcW w:type="dxa" w:w="892"/>
            <w:vAlign w:val="top"/>
          </w:tcPr>
          <w:p>
            <w:pPr>
              <w:spacing w:after="40" w:before="0" w:line="259" w:lineRule="auto"/>
            </w:pPr>
            <w:r>
              <w:rPr>
                <w:rFonts w:ascii="Calibri" w:hAnsi="Calibri"/>
                <w:b w:val="0"/>
                <w:i w:val="0"/>
                <w:color w:val="212121"/>
                <w:sz w:val="16"/>
              </w:rPr>
              <w:t>Nerve function assessment</w:t>
            </w:r>
          </w:p>
        </w:tc>
        <w:tc>
          <w:tcPr>
            <w:tcW w:type="dxa" w:w="950"/>
            <w:vAlign w:val="top"/>
          </w:tcPr>
          <w:p>
            <w:pPr>
              <w:spacing w:after="40" w:before="0" w:line="259" w:lineRule="auto"/>
            </w:pPr>
            <w:r>
              <w:rPr>
                <w:rFonts w:ascii="Calibri" w:hAnsi="Calibri"/>
                <w:b w:val="0"/>
                <w:i w:val="0"/>
                <w:color w:val="212121"/>
                <w:sz w:val="16"/>
              </w:rPr>
              <w:t>Intact sensation and power</w:t>
            </w:r>
          </w:p>
        </w:tc>
        <w:tc>
          <w:tcPr>
            <w:tcW w:type="dxa" w:w="950"/>
            <w:vAlign w:val="top"/>
          </w:tcPr>
          <w:p>
            <w:pPr>
              <w:spacing w:after="40" w:before="0" w:line="259" w:lineRule="auto"/>
            </w:pPr>
            <w:r>
              <w:rPr>
                <w:rFonts w:ascii="Calibri" w:hAnsi="Calibri"/>
                <w:b w:val="0"/>
                <w:i w:val="0"/>
                <w:color w:val="212121"/>
                <w:sz w:val="16"/>
              </w:rPr>
              <w:t>Sensory loss and/or motor weakness</w:t>
            </w:r>
          </w:p>
        </w:tc>
        <w:tc>
          <w:tcPr>
            <w:tcW w:type="dxa" w:w="1036"/>
            <w:vAlign w:val="top"/>
          </w:tcPr>
          <w:p>
            <w:pPr>
              <w:spacing w:after="40" w:before="0" w:line="259" w:lineRule="auto"/>
            </w:pPr>
            <w:r>
              <w:rPr>
                <w:rFonts w:ascii="Calibri" w:hAnsi="Calibri"/>
                <w:b w:val="0"/>
                <w:i w:val="0"/>
                <w:color w:val="212121"/>
                <w:sz w:val="16"/>
              </w:rPr>
              <w:t>Detects subclinical and clinical neuropathy; baseline and serial testing catches reactions early</w:t>
            </w:r>
          </w:p>
        </w:tc>
        <w:tc>
          <w:tcPr>
            <w:tcW w:type="dxa" w:w="1036"/>
            <w:vAlign w:val="top"/>
          </w:tcPr>
          <w:p>
            <w:pPr>
              <w:spacing w:after="40" w:before="0" w:line="259" w:lineRule="auto"/>
            </w:pPr>
            <w:r>
              <w:rPr>
                <w:rFonts w:ascii="Calibri" w:hAnsi="Calibri"/>
                <w:b w:val="0"/>
                <w:i w:val="0"/>
                <w:color w:val="212121"/>
                <w:sz w:val="16"/>
              </w:rPr>
              <w:t>All patients, reaction-risk patients</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Essential monitoring</w:t>
            </w:r>
          </w:p>
        </w:tc>
        <w:tc>
          <w:tcPr>
            <w:tcW w:type="dxa" w:w="720"/>
            <w:vAlign w:val="top"/>
          </w:tcPr>
          <w:p>
            <w:pPr>
              <w:spacing w:after="40" w:before="0" w:line="259" w:lineRule="auto"/>
            </w:pPr>
            <w:r>
              <w:rPr>
                <w:rFonts w:ascii="Calibri" w:hAnsi="Calibri"/>
                <w:b w:val="0"/>
                <w:i w:val="0"/>
                <w:color w:val="212121"/>
                <w:sz w:val="16"/>
              </w:rPr>
              <w:t>33-56% already have nerve impairment at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G6PD level (pre-dapsone) + CBC</w:t>
            </w:r>
          </w:p>
        </w:tc>
        <w:tc>
          <w:tcPr>
            <w:tcW w:type="dxa" w:w="892"/>
            <w:vAlign w:val="top"/>
          </w:tcPr>
          <w:p>
            <w:pPr>
              <w:spacing w:after="40" w:before="0" w:line="259" w:lineRule="auto"/>
            </w:pPr>
            <w:r>
              <w:rPr>
                <w:rFonts w:ascii="Calibri" w:hAnsi="Calibri"/>
                <w:b w:val="0"/>
                <w:i w:val="0"/>
                <w:color w:val="212121"/>
                <w:sz w:val="16"/>
              </w:rPr>
              <w:t>Blood tests</w:t>
            </w:r>
          </w:p>
        </w:tc>
        <w:tc>
          <w:tcPr>
            <w:tcW w:type="dxa" w:w="950"/>
            <w:vAlign w:val="top"/>
          </w:tcPr>
          <w:p>
            <w:pPr>
              <w:spacing w:after="40" w:before="0" w:line="259" w:lineRule="auto"/>
            </w:pPr>
            <w:r>
              <w:rPr>
                <w:rFonts w:ascii="Calibri" w:hAnsi="Calibri"/>
                <w:b w:val="0"/>
                <w:i w:val="0"/>
                <w:color w:val="212121"/>
                <w:sz w:val="16"/>
              </w:rPr>
              <w:t>Normal G6PD; normal haemoglobin</w:t>
            </w:r>
          </w:p>
        </w:tc>
        <w:tc>
          <w:tcPr>
            <w:tcW w:type="dxa" w:w="950"/>
            <w:vAlign w:val="top"/>
          </w:tcPr>
          <w:p>
            <w:pPr>
              <w:spacing w:after="40" w:before="0" w:line="259" w:lineRule="auto"/>
            </w:pPr>
            <w:r>
              <w:rPr>
                <w:rFonts w:ascii="Calibri" w:hAnsi="Calibri"/>
                <w:b w:val="0"/>
                <w:i w:val="0"/>
                <w:color w:val="212121"/>
                <w:sz w:val="16"/>
              </w:rPr>
              <w:t>G6PD deficient; falling haemoglobin</w:t>
            </w:r>
          </w:p>
        </w:tc>
        <w:tc>
          <w:tcPr>
            <w:tcW w:type="dxa" w:w="1036"/>
            <w:vAlign w:val="top"/>
          </w:tcPr>
          <w:p>
            <w:pPr>
              <w:spacing w:after="40" w:before="0" w:line="259" w:lineRule="auto"/>
            </w:pPr>
            <w:r>
              <w:rPr>
                <w:rFonts w:ascii="Calibri" w:hAnsi="Calibri"/>
                <w:b w:val="0"/>
                <w:i w:val="0"/>
                <w:color w:val="212121"/>
                <w:sz w:val="16"/>
              </w:rPr>
              <w:t>Screens for dapsone-induced haemolysis; monitors for haemolytic anaemia and methaemoglobinaemia</w:t>
            </w:r>
          </w:p>
        </w:tc>
        <w:tc>
          <w:tcPr>
            <w:tcW w:type="dxa" w:w="1036"/>
            <w:vAlign w:val="top"/>
          </w:tcPr>
          <w:p>
            <w:pPr>
              <w:spacing w:after="40" w:before="0" w:line="259" w:lineRule="auto"/>
            </w:pPr>
            <w:r>
              <w:rPr>
                <w:rFonts w:ascii="Calibri" w:hAnsi="Calibri"/>
                <w:b w:val="0"/>
                <w:i w:val="0"/>
                <w:color w:val="212121"/>
                <w:sz w:val="16"/>
              </w:rPr>
              <w:t>All starting MDT, especially G6PD-deficient</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Safety monitoring</w:t>
            </w:r>
          </w:p>
        </w:tc>
        <w:tc>
          <w:tcPr>
            <w:tcW w:type="dxa" w:w="720"/>
            <w:vAlign w:val="top"/>
          </w:tcPr>
          <w:p>
            <w:pPr>
              <w:spacing w:after="40" w:before="0" w:line="259" w:lineRule="auto"/>
            </w:pPr>
            <w:r>
              <w:rPr>
                <w:rFonts w:ascii="Calibri" w:hAnsi="Calibri"/>
                <w:b w:val="0"/>
                <w:i w:val="0"/>
                <w:color w:val="212121"/>
                <w:sz w:val="16"/>
              </w:rPr>
              <w:t>G6PD deficiency is common in parts of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Biochemistry</w:t>
            </w:r>
          </w:p>
        </w:tc>
        <w:tc>
          <w:tcPr>
            <w:tcW w:type="dxa" w:w="1036"/>
            <w:vAlign w:val="top"/>
          </w:tcPr>
          <w:p>
            <w:pPr>
              <w:spacing w:after="40" w:before="0" w:line="259" w:lineRule="auto"/>
            </w:pPr>
            <w:r>
              <w:rPr>
                <w:rFonts w:ascii="Calibri" w:hAnsi="Calibri"/>
                <w:b w:val="0"/>
                <w:i w:val="0"/>
                <w:color w:val="212121"/>
                <w:sz w:val="16"/>
              </w:rPr>
              <w:t>Fasting/random glucose &amp; HbA1c; LFT</w:t>
            </w:r>
          </w:p>
        </w:tc>
        <w:tc>
          <w:tcPr>
            <w:tcW w:type="dxa" w:w="892"/>
            <w:vAlign w:val="top"/>
          </w:tcPr>
          <w:p>
            <w:pPr>
              <w:spacing w:after="40" w:before="0" w:line="259" w:lineRule="auto"/>
            </w:pPr>
            <w:r>
              <w:rPr>
                <w:rFonts w:ascii="Calibri" w:hAnsi="Calibri"/>
                <w:b w:val="0"/>
                <w:i w:val="0"/>
                <w:color w:val="212121"/>
                <w:sz w:val="16"/>
              </w:rPr>
              <w:t>Blood tests</w:t>
            </w:r>
          </w:p>
        </w:tc>
        <w:tc>
          <w:tcPr>
            <w:tcW w:type="dxa" w:w="950"/>
            <w:vAlign w:val="top"/>
          </w:tcPr>
          <w:p>
            <w:pPr>
              <w:spacing w:after="40" w:before="0" w:line="259" w:lineRule="auto"/>
            </w:pPr>
            <w:r>
              <w:rPr>
                <w:rFonts w:ascii="Calibri" w:hAnsi="Calibri"/>
                <w:b w:val="0"/>
                <w:i w:val="0"/>
                <w:color w:val="212121"/>
                <w:sz w:val="16"/>
              </w:rPr>
              <w:t>FBS 70-99 mg/dL; HbA1c &lt; 5.7%; normal LFT</w:t>
            </w:r>
          </w:p>
        </w:tc>
        <w:tc>
          <w:tcPr>
            <w:tcW w:type="dxa" w:w="950"/>
            <w:vAlign w:val="top"/>
          </w:tcPr>
          <w:p>
            <w:pPr>
              <w:spacing w:after="40" w:before="0" w:line="259" w:lineRule="auto"/>
            </w:pPr>
            <w:r>
              <w:rPr>
                <w:rFonts w:ascii="Calibri" w:hAnsi="Calibri"/>
                <w:b w:val="0"/>
                <w:i w:val="0"/>
                <w:color w:val="212121"/>
                <w:sz w:val="16"/>
              </w:rPr>
              <w:t>Hyperglycaemia; deranged liver enzymes</w:t>
            </w:r>
          </w:p>
        </w:tc>
        <w:tc>
          <w:tcPr>
            <w:tcW w:type="dxa" w:w="1036"/>
            <w:vAlign w:val="top"/>
          </w:tcPr>
          <w:p>
            <w:pPr>
              <w:spacing w:after="40" w:before="0" w:line="259" w:lineRule="auto"/>
            </w:pPr>
            <w:r>
              <w:rPr>
                <w:rFonts w:ascii="Calibri" w:hAnsi="Calibri"/>
                <w:b w:val="0"/>
                <w:i w:val="0"/>
                <w:color w:val="212121"/>
                <w:sz w:val="16"/>
              </w:rPr>
              <w:t>Screens for diabetes (overlapping neuropathy) and monitors rifampicin/clofazimine hepatotoxicity</w:t>
            </w:r>
          </w:p>
        </w:tc>
        <w:tc>
          <w:tcPr>
            <w:tcW w:type="dxa" w:w="1036"/>
            <w:vAlign w:val="top"/>
          </w:tcPr>
          <w:p>
            <w:pPr>
              <w:spacing w:after="40" w:before="0" w:line="259" w:lineRule="auto"/>
            </w:pPr>
            <w:r>
              <w:rPr>
                <w:rFonts w:ascii="Calibri" w:hAnsi="Calibri"/>
                <w:b w:val="0"/>
                <w:i w:val="0"/>
                <w:color w:val="212121"/>
                <w:sz w:val="16"/>
              </w:rPr>
              <w:t>Adults, diabetics,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Comorbidity screen</w:t>
            </w:r>
          </w:p>
        </w:tc>
        <w:tc>
          <w:tcPr>
            <w:tcW w:type="dxa" w:w="720"/>
            <w:vAlign w:val="top"/>
          </w:tcPr>
          <w:p>
            <w:pPr>
              <w:spacing w:after="40" w:before="0" w:line="259" w:lineRule="auto"/>
            </w:pPr>
            <w:r>
              <w:rPr>
                <w:rFonts w:ascii="Calibri" w:hAnsi="Calibri"/>
                <w:b w:val="0"/>
                <w:i w:val="0"/>
                <w:color w:val="212121"/>
                <w:sz w:val="16"/>
              </w:rPr>
              <w:t>Diabetes present in about 9% of Indian patients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Numb skin patch, tingling, weakness, painless wounds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Sensory loss over a skin patch is the hallmark presenting symptom</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Numbness distinguishes leprosy from other dermatoses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Contact &amp; residence history</w:t>
            </w:r>
          </w:p>
        </w:tc>
        <w:tc>
          <w:tcPr>
            <w:tcW w:type="dxa" w:w="979"/>
            <w:vAlign w:val="top"/>
          </w:tcPr>
          <w:p>
            <w:pPr>
              <w:spacing w:after="40" w:before="0" w:line="259" w:lineRule="auto"/>
            </w:pPr>
            <w:r>
              <w:rPr>
                <w:rFonts w:ascii="Calibri" w:hAnsi="Calibri"/>
                <w:b w:val="0"/>
                <w:i w:val="0"/>
                <w:color w:val="212121"/>
                <w:sz w:val="16"/>
              </w:rPr>
              <w:t>Household/close contact with a case; endemic-area residence</w:t>
            </w:r>
          </w:p>
        </w:tc>
        <w:tc>
          <w:tcPr>
            <w:tcW w:type="dxa" w:w="950"/>
            <w:vAlign w:val="top"/>
          </w:tcPr>
          <w:p>
            <w:pPr>
              <w:spacing w:after="40" w:before="0" w:line="259" w:lineRule="auto"/>
            </w:pPr>
            <w:r>
              <w:rPr>
                <w:rFonts w:ascii="Calibri" w:hAnsi="Calibri"/>
                <w:b w:val="0"/>
                <w:i w:val="0"/>
                <w:color w:val="212121"/>
                <w:sz w:val="16"/>
              </w:rPr>
              <w:t>No contact</w:t>
            </w:r>
          </w:p>
        </w:tc>
        <w:tc>
          <w:tcPr>
            <w:tcW w:type="dxa" w:w="950"/>
            <w:vAlign w:val="top"/>
          </w:tcPr>
          <w:p>
            <w:pPr>
              <w:spacing w:after="40" w:before="0" w:line="259" w:lineRule="auto"/>
            </w:pPr>
            <w:r>
              <w:rPr>
                <w:rFonts w:ascii="Calibri" w:hAnsi="Calibri"/>
                <w:b w:val="0"/>
                <w:i w:val="0"/>
                <w:color w:val="212121"/>
                <w:sz w:val="16"/>
              </w:rPr>
              <w:t>One or more contacts / endemic residence</w:t>
            </w:r>
          </w:p>
        </w:tc>
        <w:tc>
          <w:tcPr>
            <w:tcW w:type="dxa" w:w="1036"/>
            <w:vAlign w:val="top"/>
          </w:tcPr>
          <w:p>
            <w:pPr>
              <w:spacing w:after="40" w:before="0" w:line="259" w:lineRule="auto"/>
            </w:pPr>
            <w:r>
              <w:rPr>
                <w:rFonts w:ascii="Calibri" w:hAnsi="Calibri"/>
                <w:b w:val="0"/>
                <w:i w:val="0"/>
                <w:color w:val="212121"/>
                <w:sz w:val="16"/>
              </w:rPr>
              <w:t>Identifies exposure and triggers contact tracing and SDR-PEP</w:t>
            </w:r>
          </w:p>
        </w:tc>
        <w:tc>
          <w:tcPr>
            <w:tcW w:type="dxa" w:w="1036"/>
            <w:vAlign w:val="top"/>
          </w:tcPr>
          <w:p>
            <w:pPr>
              <w:spacing w:after="40" w:before="0" w:line="259" w:lineRule="auto"/>
            </w:pPr>
            <w:r>
              <w:rPr>
                <w:rFonts w:ascii="Calibri" w:hAnsi="Calibri"/>
                <w:b w:val="0"/>
                <w:i w:val="0"/>
                <w:color w:val="212121"/>
                <w:sz w:val="16"/>
              </w:rPr>
              <w:t>Household &amp; neighbour contacts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Prognostic / Preventive</w:t>
            </w:r>
          </w:p>
        </w:tc>
        <w:tc>
          <w:tcPr>
            <w:tcW w:type="dxa" w:w="720"/>
            <w:vAlign w:val="top"/>
          </w:tcPr>
          <w:p>
            <w:pPr>
              <w:spacing w:after="40" w:before="0" w:line="259" w:lineRule="auto"/>
            </w:pPr>
            <w:r>
              <w:rPr>
                <w:rFonts w:ascii="Calibri" w:hAnsi="Calibri"/>
                <w:b w:val="0"/>
                <w:i w:val="0"/>
                <w:color w:val="212121"/>
                <w:sz w:val="16"/>
              </w:rPr>
              <w:t>Contact confers about 3.4x higher risk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Skin examination</w:t>
            </w:r>
          </w:p>
        </w:tc>
        <w:tc>
          <w:tcPr>
            <w:tcW w:type="dxa" w:w="979"/>
            <w:vAlign w:val="top"/>
          </w:tcPr>
          <w:p>
            <w:pPr>
              <w:spacing w:after="40" w:before="0" w:line="259" w:lineRule="auto"/>
            </w:pPr>
            <w:r>
              <w:rPr>
                <w:rFonts w:ascii="Calibri" w:hAnsi="Calibri"/>
                <w:b w:val="0"/>
                <w:i w:val="0"/>
                <w:color w:val="212121"/>
                <w:sz w:val="16"/>
              </w:rPr>
              <w:t>Number, type &amp; distribution of lesions</w:t>
            </w:r>
          </w:p>
        </w:tc>
        <w:tc>
          <w:tcPr>
            <w:tcW w:type="dxa" w:w="950"/>
            <w:vAlign w:val="top"/>
          </w:tcPr>
          <w:p>
            <w:pPr>
              <w:spacing w:after="40" w:before="0" w:line="259" w:lineRule="auto"/>
            </w:pPr>
            <w:r>
              <w:rPr>
                <w:rFonts w:ascii="Calibri" w:hAnsi="Calibri"/>
                <w:b w:val="0"/>
                <w:i w:val="0"/>
                <w:color w:val="212121"/>
                <w:sz w:val="16"/>
              </w:rPr>
              <w:t>No lesions</w:t>
            </w:r>
          </w:p>
        </w:tc>
        <w:tc>
          <w:tcPr>
            <w:tcW w:type="dxa" w:w="950"/>
            <w:vAlign w:val="top"/>
          </w:tcPr>
          <w:p>
            <w:pPr>
              <w:spacing w:after="40" w:before="0" w:line="259" w:lineRule="auto"/>
            </w:pPr>
            <w:r>
              <w:rPr>
                <w:rFonts w:ascii="Calibri" w:hAnsi="Calibri"/>
                <w:b w:val="0"/>
                <w:i w:val="0"/>
                <w:color w:val="212121"/>
                <w:sz w:val="16"/>
              </w:rPr>
              <w:t>Hypopigmented/erythematous anaesthetic patches, plaques or nodules</w:t>
            </w:r>
          </w:p>
        </w:tc>
        <w:tc>
          <w:tcPr>
            <w:tcW w:type="dxa" w:w="1036"/>
            <w:vAlign w:val="top"/>
          </w:tcPr>
          <w:p>
            <w:pPr>
              <w:spacing w:after="40" w:before="0" w:line="259" w:lineRule="auto"/>
            </w:pPr>
            <w:r>
              <w:rPr>
                <w:rFonts w:ascii="Calibri" w:hAnsi="Calibri"/>
                <w:b w:val="0"/>
                <w:i w:val="0"/>
                <w:color w:val="212121"/>
                <w:sz w:val="16"/>
              </w:rPr>
              <w:t>Lesion count separates PB (1-5) from MB (&gt;5) and guides the MDT regimen</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 Classification</w:t>
            </w:r>
          </w:p>
        </w:tc>
        <w:tc>
          <w:tcPr>
            <w:tcW w:type="dxa" w:w="720"/>
            <w:vAlign w:val="top"/>
          </w:tcPr>
          <w:p>
            <w:pPr>
              <w:spacing w:after="40" w:before="0" w:line="259" w:lineRule="auto"/>
            </w:pPr>
            <w:r>
              <w:rPr>
                <w:rFonts w:ascii="Calibri" w:hAnsi="Calibri"/>
                <w:b w:val="0"/>
                <w:i w:val="0"/>
                <w:color w:val="212121"/>
                <w:sz w:val="16"/>
              </w:rPr>
              <w:t>Examine in good daylight and map lesions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Sensory testing</w:t>
            </w:r>
          </w:p>
        </w:tc>
        <w:tc>
          <w:tcPr>
            <w:tcW w:type="dxa" w:w="979"/>
            <w:vAlign w:val="top"/>
          </w:tcPr>
          <w:p>
            <w:pPr>
              <w:spacing w:after="40" w:before="0" w:line="259" w:lineRule="auto"/>
            </w:pPr>
            <w:r>
              <w:rPr>
                <w:rFonts w:ascii="Calibri" w:hAnsi="Calibri"/>
                <w:b w:val="0"/>
                <w:i w:val="0"/>
                <w:color w:val="212121"/>
                <w:sz w:val="16"/>
              </w:rPr>
              <w:t>Light touch, pain &amp; temperature over lesions</w:t>
            </w:r>
          </w:p>
        </w:tc>
        <w:tc>
          <w:tcPr>
            <w:tcW w:type="dxa" w:w="950"/>
            <w:vAlign w:val="top"/>
          </w:tcPr>
          <w:p>
            <w:pPr>
              <w:spacing w:after="40" w:before="0" w:line="259" w:lineRule="auto"/>
            </w:pPr>
            <w:r>
              <w:rPr>
                <w:rFonts w:ascii="Calibri" w:hAnsi="Calibri"/>
                <w:b w:val="0"/>
                <w:i w:val="0"/>
                <w:color w:val="212121"/>
                <w:sz w:val="16"/>
              </w:rPr>
              <w:t>Intact sensation</w:t>
            </w:r>
          </w:p>
        </w:tc>
        <w:tc>
          <w:tcPr>
            <w:tcW w:type="dxa" w:w="950"/>
            <w:vAlign w:val="top"/>
          </w:tcPr>
          <w:p>
            <w:pPr>
              <w:spacing w:after="40" w:before="0" w:line="259" w:lineRule="auto"/>
            </w:pPr>
            <w:r>
              <w:rPr>
                <w:rFonts w:ascii="Calibri" w:hAnsi="Calibri"/>
                <w:b w:val="0"/>
                <w:i w:val="0"/>
                <w:color w:val="212121"/>
                <w:sz w:val="16"/>
              </w:rPr>
              <w:t>Impaired or absent sensation</w:t>
            </w:r>
          </w:p>
        </w:tc>
        <w:tc>
          <w:tcPr>
            <w:tcW w:type="dxa" w:w="1036"/>
            <w:vAlign w:val="top"/>
          </w:tcPr>
          <w:p>
            <w:pPr>
              <w:spacing w:after="40" w:before="0" w:line="259" w:lineRule="auto"/>
            </w:pPr>
            <w:r>
              <w:rPr>
                <w:rFonts w:ascii="Calibri" w:hAnsi="Calibri"/>
                <w:b w:val="0"/>
                <w:i w:val="0"/>
                <w:color w:val="212121"/>
                <w:sz w:val="16"/>
              </w:rPr>
              <w:t>Confirms the cardinal sign of sensory loss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Use cotton wool or a monofilament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Peripheral nerve palpation</w:t>
            </w:r>
          </w:p>
        </w:tc>
        <w:tc>
          <w:tcPr>
            <w:tcW w:type="dxa" w:w="979"/>
            <w:vAlign w:val="top"/>
          </w:tcPr>
          <w:p>
            <w:pPr>
              <w:spacing w:after="40" w:before="0" w:line="259" w:lineRule="auto"/>
            </w:pPr>
            <w:r>
              <w:rPr>
                <w:rFonts w:ascii="Calibri" w:hAnsi="Calibri"/>
                <w:b w:val="0"/>
                <w:i w:val="0"/>
                <w:color w:val="212121"/>
                <w:sz w:val="16"/>
              </w:rPr>
              <w:t>Ulnar, median, common peroneal, posterior tibial, greater auricular</w:t>
            </w:r>
          </w:p>
        </w:tc>
        <w:tc>
          <w:tcPr>
            <w:tcW w:type="dxa" w:w="950"/>
            <w:vAlign w:val="top"/>
          </w:tcPr>
          <w:p>
            <w:pPr>
              <w:spacing w:after="40" w:before="0" w:line="259" w:lineRule="auto"/>
            </w:pPr>
            <w:r>
              <w:rPr>
                <w:rFonts w:ascii="Calibri" w:hAnsi="Calibri"/>
                <w:b w:val="0"/>
                <w:i w:val="0"/>
                <w:color w:val="212121"/>
                <w:sz w:val="16"/>
              </w:rPr>
              <w:t>Not thickened, non-tender</w:t>
            </w:r>
          </w:p>
        </w:tc>
        <w:tc>
          <w:tcPr>
            <w:tcW w:type="dxa" w:w="950"/>
            <w:vAlign w:val="top"/>
          </w:tcPr>
          <w:p>
            <w:pPr>
              <w:spacing w:after="40" w:before="0" w:line="259" w:lineRule="auto"/>
            </w:pPr>
            <w:r>
              <w:rPr>
                <w:rFonts w:ascii="Calibri" w:hAnsi="Calibri"/>
                <w:b w:val="0"/>
                <w:i w:val="0"/>
                <w:color w:val="212121"/>
                <w:sz w:val="16"/>
              </w:rPr>
              <w:t>Thickened +/- tender nerve(s)</w:t>
            </w:r>
          </w:p>
        </w:tc>
        <w:tc>
          <w:tcPr>
            <w:tcW w:type="dxa" w:w="1036"/>
            <w:vAlign w:val="top"/>
          </w:tcPr>
          <w:p>
            <w:pPr>
              <w:spacing w:after="40" w:before="0" w:line="259" w:lineRule="auto"/>
            </w:pPr>
            <w:r>
              <w:rPr>
                <w:rFonts w:ascii="Calibri" w:hAnsi="Calibri"/>
                <w:b w:val="0"/>
                <w:i w:val="0"/>
                <w:color w:val="212121"/>
                <w:sz w:val="16"/>
              </w:rPr>
              <w:t>Nerve enlargement is a cardinal sign; tenderness suggests neuritis or a reaction</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Monitoring</w:t>
            </w:r>
          </w:p>
        </w:tc>
        <w:tc>
          <w:tcPr>
            <w:tcW w:type="dxa" w:w="720"/>
            <w:vAlign w:val="top"/>
          </w:tcPr>
          <w:p>
            <w:pPr>
              <w:spacing w:after="40" w:before="0" w:line="259" w:lineRule="auto"/>
            </w:pPr>
            <w:r>
              <w:rPr>
                <w:rFonts w:ascii="Calibri" w:hAnsi="Calibri"/>
                <w:b w:val="0"/>
                <w:i w:val="0"/>
                <w:color w:val="212121"/>
                <w:sz w:val="16"/>
              </w:rPr>
              <w:t>Palpate symmetrically and compare sides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Motor &amp; disability assessment (VMT, WHO grading)</w:t>
            </w:r>
          </w:p>
        </w:tc>
        <w:tc>
          <w:tcPr>
            <w:tcW w:type="dxa" w:w="979"/>
            <w:vAlign w:val="top"/>
          </w:tcPr>
          <w:p>
            <w:pPr>
              <w:spacing w:after="40" w:before="0" w:line="259" w:lineRule="auto"/>
            </w:pPr>
            <w:r>
              <w:rPr>
                <w:rFonts w:ascii="Calibri" w:hAnsi="Calibri"/>
                <w:b w:val="0"/>
                <w:i w:val="0"/>
                <w:color w:val="212121"/>
                <w:sz w:val="16"/>
              </w:rPr>
              <w:t>Claw hand, foot drop, lagophthalmos; WHO disability grade</w:t>
            </w:r>
          </w:p>
        </w:tc>
        <w:tc>
          <w:tcPr>
            <w:tcW w:type="dxa" w:w="950"/>
            <w:vAlign w:val="top"/>
          </w:tcPr>
          <w:p>
            <w:pPr>
              <w:spacing w:after="40" w:before="0" w:line="259" w:lineRule="auto"/>
            </w:pPr>
            <w:r>
              <w:rPr>
                <w:rFonts w:ascii="Calibri" w:hAnsi="Calibri"/>
                <w:b w:val="0"/>
                <w:i w:val="0"/>
                <w:color w:val="212121"/>
                <w:sz w:val="16"/>
              </w:rPr>
              <w:t>Grade 0 (no deformity)</w:t>
            </w:r>
          </w:p>
        </w:tc>
        <w:tc>
          <w:tcPr>
            <w:tcW w:type="dxa" w:w="950"/>
            <w:vAlign w:val="top"/>
          </w:tcPr>
          <w:p>
            <w:pPr>
              <w:spacing w:after="40" w:before="0" w:line="259" w:lineRule="auto"/>
            </w:pPr>
            <w:r>
              <w:rPr>
                <w:rFonts w:ascii="Calibri" w:hAnsi="Calibri"/>
                <w:b w:val="0"/>
                <w:i w:val="0"/>
                <w:color w:val="212121"/>
                <w:sz w:val="16"/>
              </w:rPr>
              <w:t>Grade 1 (sensory loss) / Grade 2 (visible deformity)</w:t>
            </w:r>
          </w:p>
        </w:tc>
        <w:tc>
          <w:tcPr>
            <w:tcW w:type="dxa" w:w="1036"/>
            <w:vAlign w:val="top"/>
          </w:tcPr>
          <w:p>
            <w:pPr>
              <w:spacing w:after="40" w:before="0" w:line="259" w:lineRule="auto"/>
            </w:pPr>
            <w:r>
              <w:rPr>
                <w:rFonts w:ascii="Calibri" w:hAnsi="Calibri"/>
                <w:b w:val="0"/>
                <w:i w:val="0"/>
                <w:color w:val="212121"/>
                <w:sz w:val="16"/>
              </w:rPr>
              <w:t>Grades disability, guides prevention-of-disability care and indicates prognosis</w:t>
            </w:r>
          </w:p>
        </w:tc>
        <w:tc>
          <w:tcPr>
            <w:tcW w:type="dxa" w:w="1036"/>
            <w:vAlign w:val="top"/>
          </w:tcPr>
          <w:p>
            <w:pPr>
              <w:spacing w:after="40" w:before="0" w:line="259" w:lineRule="auto"/>
            </w:pPr>
            <w:r>
              <w:rPr>
                <w:rFonts w:ascii="Calibri" w:hAnsi="Calibri"/>
                <w:b w:val="0"/>
                <w:i w:val="0"/>
                <w:color w:val="212121"/>
                <w:sz w:val="16"/>
              </w:rPr>
              <w:t>All patients, late presenters</w:t>
            </w:r>
          </w:p>
        </w:tc>
        <w:tc>
          <w:tcPr>
            <w:tcW w:type="dxa" w:w="720"/>
            <w:vAlign w:val="top"/>
          </w:tcPr>
          <w:p>
            <w:pPr>
              <w:spacing w:after="40" w:before="0" w:line="259" w:lineRule="auto"/>
            </w:pPr>
            <w:r>
              <w:rPr>
                <w:rFonts w:ascii="Calibri" w:hAnsi="Calibri"/>
                <w:b w:val="0"/>
                <w:i w:val="0"/>
                <w:color w:val="212121"/>
                <w:sz w:val="16"/>
              </w:rPr>
              <w:t>Posture; 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Grade 2 disability signals late diagnosis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Eye examination</w:t>
            </w:r>
          </w:p>
        </w:tc>
        <w:tc>
          <w:tcPr>
            <w:tcW w:type="dxa" w:w="979"/>
            <w:vAlign w:val="top"/>
          </w:tcPr>
          <w:p>
            <w:pPr>
              <w:spacing w:after="40" w:before="0" w:line="259" w:lineRule="auto"/>
            </w:pPr>
            <w:r>
              <w:rPr>
                <w:rFonts w:ascii="Calibri" w:hAnsi="Calibri"/>
                <w:b w:val="0"/>
                <w:i w:val="0"/>
                <w:color w:val="212121"/>
                <w:sz w:val="16"/>
              </w:rPr>
              <w:t>Lagophthalmos, corneal sensation, visual acuity, cataract</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Incomplete lid closure, corneal anaesthesia, reduced vision</w:t>
            </w:r>
          </w:p>
        </w:tc>
        <w:tc>
          <w:tcPr>
            <w:tcW w:type="dxa" w:w="1036"/>
            <w:vAlign w:val="top"/>
          </w:tcPr>
          <w:p>
            <w:pPr>
              <w:spacing w:after="40" w:before="0" w:line="259" w:lineRule="auto"/>
            </w:pPr>
            <w:r>
              <w:rPr>
                <w:rFonts w:ascii="Calibri" w:hAnsi="Calibri"/>
                <w:b w:val="0"/>
                <w:i w:val="0"/>
                <w:color w:val="212121"/>
                <w:sz w:val="16"/>
              </w:rPr>
              <w:t>Detects ocular involvement that risks exposure keratitis and blindness</w:t>
            </w:r>
          </w:p>
        </w:tc>
        <w:tc>
          <w:tcPr>
            <w:tcW w:type="dxa" w:w="1036"/>
            <w:vAlign w:val="top"/>
          </w:tcPr>
          <w:p>
            <w:pPr>
              <w:spacing w:after="40" w:before="0" w:line="259" w:lineRule="auto"/>
            </w:pPr>
            <w:r>
              <w:rPr>
                <w:rFonts w:ascii="Calibri" w:hAnsi="Calibri"/>
                <w:b w:val="0"/>
                <w:i w:val="0"/>
                <w:color w:val="212121"/>
                <w:sz w:val="16"/>
              </w:rPr>
              <w:t>MB, facial-nerve involvement, elderly</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Cataract present in about 1.5% of Indian patients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Hypopigmented or reddish skin patch(es) with loss of sensation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classic presentation; the patch is often dry, does not itch, and pinprick/temperature sensation is reduced or absent.</w:t>
            </w:r>
          </w:p>
        </w:tc>
      </w:tr>
      <w:tr>
        <w:trPr>
          <w:cantSplit/>
        </w:trPr>
        <w:tc>
          <w:tcPr>
            <w:tcW w:type="dxa" w:w="2304"/>
            <w:vAlign w:val="top"/>
          </w:tcPr>
          <w:p>
            <w:pPr>
              <w:spacing w:after="40" w:before="0" w:line="259" w:lineRule="auto"/>
            </w:pPr>
            <w:r>
              <w:rPr>
                <w:rFonts w:ascii="Calibri" w:hAnsi="Calibri"/>
                <w:b/>
                <w:i w:val="0"/>
                <w:color w:val="212121"/>
                <w:sz w:val="19"/>
              </w:rPr>
              <w:t>Numbness or tingling of hands and feet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Glove-and-stocking sensory loss from peripheral nerve involvement; often the earliest complaint.</w:t>
            </w:r>
          </w:p>
        </w:tc>
      </w:tr>
      <w:tr>
        <w:trPr>
          <w:cantSplit/>
        </w:trPr>
        <w:tc>
          <w:tcPr>
            <w:tcW w:type="dxa" w:w="2304"/>
            <w:vAlign w:val="top"/>
          </w:tcPr>
          <w:p>
            <w:pPr>
              <w:spacing w:after="40" w:before="0" w:line="259" w:lineRule="auto"/>
            </w:pPr>
            <w:r>
              <w:rPr>
                <w:rFonts w:ascii="Calibri" w:hAnsi="Calibri"/>
                <w:b/>
                <w:i w:val="0"/>
                <w:color w:val="212121"/>
                <w:sz w:val="19"/>
              </w:rPr>
              <w:t>Painless burns, cuts or ulcers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Injuries go unnoticed because of sensory loss, especially on the soles and fingertips.</w:t>
            </w:r>
          </w:p>
        </w:tc>
      </w:tr>
      <w:tr>
        <w:trPr>
          <w:cantSplit/>
        </w:trPr>
        <w:tc>
          <w:tcPr>
            <w:tcW w:type="dxa" w:w="2304"/>
            <w:vAlign w:val="top"/>
          </w:tcPr>
          <w:p>
            <w:pPr>
              <w:spacing w:after="40" w:before="0" w:line="259" w:lineRule="auto"/>
            </w:pPr>
            <w:r>
              <w:rPr>
                <w:rFonts w:ascii="Calibri" w:hAnsi="Calibri"/>
                <w:b/>
                <w:i w:val="0"/>
                <w:color w:val="212121"/>
                <w:sz w:val="19"/>
              </w:rPr>
              <w:t>Weakness or clumsiness of hands/feet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Motor nerve involvement causing difficulty gripping, holding footwear or lifting the foot.</w:t>
            </w:r>
          </w:p>
        </w:tc>
      </w:tr>
      <w:tr>
        <w:trPr>
          <w:cantSplit/>
        </w:trPr>
        <w:tc>
          <w:tcPr>
            <w:tcW w:type="dxa" w:w="2304"/>
            <w:vAlign w:val="top"/>
          </w:tcPr>
          <w:p>
            <w:pPr>
              <w:spacing w:after="40" w:before="0" w:line="259" w:lineRule="auto"/>
            </w:pPr>
            <w:r>
              <w:rPr>
                <w:rFonts w:ascii="Calibri" w:hAnsi="Calibri"/>
                <w:b/>
                <w:i w:val="0"/>
                <w:color w:val="212121"/>
                <w:sz w:val="19"/>
              </w:rPr>
              <w:t>Dry, shiny skin with reduced sweating over patches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Autonomic nerve damage causes anhidrosis over the affected area.</w:t>
            </w:r>
          </w:p>
        </w:tc>
      </w:tr>
      <w:tr>
        <w:trPr>
          <w:cantSplit/>
        </w:trPr>
        <w:tc>
          <w:tcPr>
            <w:tcW w:type="dxa" w:w="2304"/>
            <w:vAlign w:val="top"/>
          </w:tcPr>
          <w:p>
            <w:pPr>
              <w:spacing w:after="40" w:before="0" w:line="259" w:lineRule="auto"/>
            </w:pPr>
            <w:r>
              <w:rPr>
                <w:rFonts w:ascii="Calibri" w:hAnsi="Calibri"/>
                <w:b/>
                <w:i w:val="0"/>
                <w:color w:val="212121"/>
                <w:sz w:val="19"/>
              </w:rPr>
              <w:t>Nasal stuffiness, crusting or nosebleeds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Upper respiratory mucosal infiltration in multibacillary / lepromatous disease.</w:t>
            </w:r>
          </w:p>
        </w:tc>
      </w:tr>
      <w:tr>
        <w:trPr>
          <w:cantSplit/>
        </w:trPr>
        <w:tc>
          <w:tcPr>
            <w:tcW w:type="dxa" w:w="2304"/>
            <w:vAlign w:val="top"/>
          </w:tcPr>
          <w:p>
            <w:pPr>
              <w:spacing w:after="40" w:before="0" w:line="259" w:lineRule="auto"/>
            </w:pPr>
            <w:r>
              <w:rPr>
                <w:rFonts w:ascii="Calibri" w:hAnsi="Calibri"/>
                <w:b/>
                <w:i w:val="0"/>
                <w:color w:val="212121"/>
                <w:sz w:val="19"/>
              </w:rPr>
              <w:t>Painful, tender, swollen skin lesions or nerves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Type 1 / Type 2 reactions cause acute inflammation, fever and nerve pain.</w:t>
            </w:r>
          </w:p>
        </w:tc>
      </w:tr>
      <w:tr>
        <w:trPr>
          <w:cantSplit/>
        </w:trPr>
        <w:tc>
          <w:tcPr>
            <w:tcW w:type="dxa" w:w="2304"/>
            <w:vAlign w:val="top"/>
          </w:tcPr>
          <w:p>
            <w:pPr>
              <w:spacing w:after="40" w:before="0" w:line="259" w:lineRule="auto"/>
            </w:pPr>
            <w:r>
              <w:rPr>
                <w:rFonts w:ascii="Calibri" w:hAnsi="Calibri"/>
                <w:b/>
                <w:i w:val="0"/>
                <w:color w:val="212121"/>
                <w:sz w:val="19"/>
              </w:rPr>
              <w:t>Red, painful or watery eyes with reduced blinking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Facial-nerve and corneal involvement; risk of exposure keratitis.</w:t>
            </w:r>
          </w:p>
        </w:tc>
      </w:tr>
      <w:tr>
        <w:trPr>
          <w:cantSplit/>
        </w:trPr>
        <w:tc>
          <w:tcPr>
            <w:tcW w:type="dxa" w:w="2304"/>
            <w:vAlign w:val="top"/>
          </w:tcPr>
          <w:p>
            <w:pPr>
              <w:spacing w:after="40" w:before="0" w:line="259" w:lineRule="auto"/>
            </w:pPr>
            <w:r>
              <w:rPr>
                <w:rFonts w:ascii="Calibri" w:hAnsi="Calibri"/>
                <w:b/>
                <w:i w:val="0"/>
                <w:color w:val="212121"/>
                <w:sz w:val="19"/>
              </w:rPr>
              <w:t>Fever, malaise and painful red skin nodules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Erythema nodosum leprosum (Type 2 reaction) in lepromatous disease.</w:t>
            </w:r>
          </w:p>
        </w:tc>
      </w:tr>
      <w:tr>
        <w:trPr>
          <w:cantSplit/>
        </w:trPr>
        <w:tc>
          <w:tcPr>
            <w:tcW w:type="dxa" w:w="2304"/>
            <w:vAlign w:val="top"/>
          </w:tcPr>
          <w:p>
            <w:pPr>
              <w:spacing w:after="40" w:before="0" w:line="259" w:lineRule="auto"/>
            </w:pPr>
            <w:r>
              <w:rPr>
                <w:rFonts w:ascii="Calibri" w:hAnsi="Calibri"/>
                <w:b/>
                <w:i w:val="0"/>
                <w:color w:val="212121"/>
                <w:sz w:val="19"/>
              </w:rPr>
              <w:t>Swelling of hands, feet or face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Oedema in lepromatous infiltration or during reactions.</w:t>
            </w:r>
          </w:p>
        </w:tc>
      </w:tr>
      <w:tr>
        <w:trPr>
          <w:cantSplit/>
        </w:trPr>
        <w:tc>
          <w:tcPr>
            <w:tcW w:type="dxa" w:w="2304"/>
            <w:vAlign w:val="top"/>
          </w:tcPr>
          <w:p>
            <w:pPr>
              <w:spacing w:after="40" w:before="0" w:line="259" w:lineRule="auto"/>
            </w:pPr>
            <w:r>
              <w:rPr>
                <w:rFonts w:ascii="Calibri" w:hAnsi="Calibri"/>
                <w:b/>
                <w:i w:val="0"/>
                <w:color w:val="212121"/>
                <w:sz w:val="19"/>
              </w:rPr>
              <w:t>Sudden foot drop or hand weakness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Acute nerve palsy from silent neuritis or a reaction - a neurological emergency.</w:t>
            </w:r>
          </w:p>
        </w:tc>
      </w:tr>
      <w:tr>
        <w:trPr>
          <w:cantSplit/>
        </w:trPr>
        <w:tc>
          <w:tcPr>
            <w:tcW w:type="dxa" w:w="2304"/>
            <w:vAlign w:val="top"/>
          </w:tcPr>
          <w:p>
            <w:pPr>
              <w:spacing w:after="40" w:before="0" w:line="259" w:lineRule="auto"/>
            </w:pPr>
            <w:r>
              <w:rPr>
                <w:rFonts w:ascii="Calibri" w:hAnsi="Calibri"/>
                <w:b/>
                <w:i w:val="0"/>
                <w:color w:val="212121"/>
                <w:sz w:val="19"/>
              </w:rPr>
              <w:t>Loss of eyebrows or eyelashes (madarosis)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Seen in advanced lepromatous disease.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Hypopigmented/erythematous anaesthetic macule or plaque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well- or ill-defined patch with demonstrable sensory loss - the diagnostic hallmark.</w:t>
            </w:r>
          </w:p>
        </w:tc>
      </w:tr>
      <w:tr>
        <w:trPr>
          <w:cantSplit/>
        </w:trPr>
        <w:tc>
          <w:tcPr>
            <w:tcW w:type="dxa" w:w="3456"/>
            <w:vAlign w:val="top"/>
          </w:tcPr>
          <w:p>
            <w:pPr>
              <w:spacing w:after="40" w:before="0" w:line="259" w:lineRule="auto"/>
            </w:pPr>
            <w:r>
              <w:rPr>
                <w:rFonts w:ascii="Calibri" w:hAnsi="Calibri"/>
                <w:b/>
                <w:i w:val="0"/>
                <w:color w:val="212121"/>
                <w:sz w:val="19"/>
              </w:rPr>
              <w:t>Thickened peripheral nerves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Palpable enlargement of ulnar, common peroneal, posterior tibial or greater auricular nerves, with or without tenderness.</w:t>
            </w:r>
          </w:p>
        </w:tc>
      </w:tr>
      <w:tr>
        <w:trPr>
          <w:cantSplit/>
        </w:trPr>
        <w:tc>
          <w:tcPr>
            <w:tcW w:type="dxa" w:w="3456"/>
            <w:vAlign w:val="top"/>
          </w:tcPr>
          <w:p>
            <w:pPr>
              <w:spacing w:after="40" w:before="0" w:line="259" w:lineRule="auto"/>
            </w:pPr>
            <w:r>
              <w:rPr>
                <w:rFonts w:ascii="Calibri" w:hAnsi="Calibri"/>
                <w:b/>
                <w:i w:val="0"/>
                <w:color w:val="212121"/>
                <w:sz w:val="19"/>
              </w:rPr>
              <w:t>Sensory loss on monofilament / pinprick testing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Impaired light touch, pain and temperature over lesions and in a glove-and-stocking pattern.</w:t>
            </w:r>
          </w:p>
        </w:tc>
      </w:tr>
      <w:tr>
        <w:trPr>
          <w:cantSplit/>
        </w:trPr>
        <w:tc>
          <w:tcPr>
            <w:tcW w:type="dxa" w:w="3456"/>
            <w:vAlign w:val="top"/>
          </w:tcPr>
          <w:p>
            <w:pPr>
              <w:spacing w:after="40" w:before="0" w:line="259" w:lineRule="auto"/>
            </w:pPr>
            <w:r>
              <w:rPr>
                <w:rFonts w:ascii="Calibri" w:hAnsi="Calibri"/>
                <w:b/>
                <w:i w:val="0"/>
                <w:color w:val="212121"/>
                <w:sz w:val="19"/>
              </w:rPr>
              <w:t>Claw hand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Ulnar (with or without median) nerve palsy causing hyperextension at the MCP and flexion at the IP joints.</w:t>
            </w:r>
          </w:p>
        </w:tc>
      </w:tr>
      <w:tr>
        <w:trPr>
          <w:cantSplit/>
        </w:trPr>
        <w:tc>
          <w:tcPr>
            <w:tcW w:type="dxa" w:w="3456"/>
            <w:vAlign w:val="top"/>
          </w:tcPr>
          <w:p>
            <w:pPr>
              <w:spacing w:after="40" w:before="0" w:line="259" w:lineRule="auto"/>
            </w:pPr>
            <w:r>
              <w:rPr>
                <w:rFonts w:ascii="Calibri" w:hAnsi="Calibri"/>
                <w:b/>
                <w:i w:val="0"/>
                <w:color w:val="212121"/>
                <w:sz w:val="19"/>
              </w:rPr>
              <w:t>Foot drop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Common peroneal nerve palsy causing a high-stepping gait.</w:t>
            </w:r>
          </w:p>
        </w:tc>
      </w:tr>
      <w:tr>
        <w:trPr>
          <w:cantSplit/>
        </w:trPr>
        <w:tc>
          <w:tcPr>
            <w:tcW w:type="dxa" w:w="3456"/>
            <w:vAlign w:val="top"/>
          </w:tcPr>
          <w:p>
            <w:pPr>
              <w:spacing w:after="40" w:before="0" w:line="259" w:lineRule="auto"/>
            </w:pPr>
            <w:r>
              <w:rPr>
                <w:rFonts w:ascii="Calibri" w:hAnsi="Calibri"/>
                <w:b/>
                <w:i w:val="0"/>
                <w:color w:val="212121"/>
                <w:sz w:val="19"/>
              </w:rPr>
              <w:t>Trophic (plantar) ulcers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Painless deep ulcers over pressure points of insensate soles.</w:t>
            </w:r>
          </w:p>
        </w:tc>
      </w:tr>
      <w:tr>
        <w:trPr>
          <w:cantSplit/>
        </w:trPr>
        <w:tc>
          <w:tcPr>
            <w:tcW w:type="dxa" w:w="3456"/>
            <w:vAlign w:val="top"/>
          </w:tcPr>
          <w:p>
            <w:pPr>
              <w:spacing w:after="40" w:before="0" w:line="259" w:lineRule="auto"/>
            </w:pPr>
            <w:r>
              <w:rPr>
                <w:rFonts w:ascii="Calibri" w:hAnsi="Calibri"/>
                <w:b/>
                <w:i w:val="0"/>
                <w:color w:val="212121"/>
                <w:sz w:val="19"/>
              </w:rPr>
              <w:t>Lagophthalmos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Incomplete eyelid closure from facial-nerve involvement, risking corneal damage.</w:t>
            </w:r>
          </w:p>
        </w:tc>
      </w:tr>
      <w:tr>
        <w:trPr>
          <w:cantSplit/>
        </w:trPr>
        <w:tc>
          <w:tcPr>
            <w:tcW w:type="dxa" w:w="3456"/>
            <w:vAlign w:val="top"/>
          </w:tcPr>
          <w:p>
            <w:pPr>
              <w:spacing w:after="40" w:before="0" w:line="259" w:lineRule="auto"/>
            </w:pPr>
            <w:r>
              <w:rPr>
                <w:rFonts w:ascii="Calibri" w:hAnsi="Calibri"/>
                <w:b/>
                <w:i w:val="0"/>
                <w:color w:val="212121"/>
                <w:sz w:val="19"/>
              </w:rPr>
              <w:t>Anhidrosis / dry hairless skin over a patch</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Autonomic damage causing loss of sweating and hair within the lesion.</w:t>
            </w:r>
          </w:p>
        </w:tc>
      </w:tr>
      <w:tr>
        <w:trPr>
          <w:cantSplit/>
        </w:trPr>
        <w:tc>
          <w:tcPr>
            <w:tcW w:type="dxa" w:w="3456"/>
            <w:vAlign w:val="top"/>
          </w:tcPr>
          <w:p>
            <w:pPr>
              <w:spacing w:after="40" w:before="0" w:line="259" w:lineRule="auto"/>
            </w:pPr>
            <w:r>
              <w:rPr>
                <w:rFonts w:ascii="Calibri" w:hAnsi="Calibri"/>
                <w:b/>
                <w:i w:val="0"/>
                <w:color w:val="212121"/>
                <w:sz w:val="19"/>
              </w:rPr>
              <w:t>Leonine facies with nodules and diffuse infiltration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Widespread dermal infiltration and nodules of lepromatous leprosy.</w:t>
            </w:r>
          </w:p>
        </w:tc>
      </w:tr>
      <w:tr>
        <w:trPr>
          <w:cantSplit/>
        </w:trPr>
        <w:tc>
          <w:tcPr>
            <w:tcW w:type="dxa" w:w="3456"/>
            <w:vAlign w:val="top"/>
          </w:tcPr>
          <w:p>
            <w:pPr>
              <w:spacing w:after="40" w:before="0" w:line="259" w:lineRule="auto"/>
            </w:pPr>
            <w:r>
              <w:rPr>
                <w:rFonts w:ascii="Calibri" w:hAnsi="Calibri"/>
                <w:b/>
                <w:i w:val="0"/>
                <w:color w:val="212121"/>
                <w:sz w:val="19"/>
              </w:rPr>
              <w:t>Madarosis (loss of eyebrows/eyelashes)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Feature of advanced lepromatous disease.</w:t>
            </w:r>
          </w:p>
        </w:tc>
      </w:tr>
      <w:tr>
        <w:trPr>
          <w:cantSplit/>
        </w:trPr>
        <w:tc>
          <w:tcPr>
            <w:tcW w:type="dxa" w:w="3456"/>
            <w:vAlign w:val="top"/>
          </w:tcPr>
          <w:p>
            <w:pPr>
              <w:spacing w:after="40" w:before="0" w:line="259" w:lineRule="auto"/>
            </w:pPr>
            <w:r>
              <w:rPr>
                <w:rFonts w:ascii="Calibri" w:hAnsi="Calibri"/>
                <w:b/>
                <w:i w:val="0"/>
                <w:color w:val="212121"/>
                <w:sz w:val="19"/>
              </w:rPr>
              <w:t>Nasal collapse / saddle-nose deformity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Destruction of nasal cartilage in longstanding lepromatous disease.</w:t>
            </w:r>
          </w:p>
        </w:tc>
      </w:tr>
      <w:tr>
        <w:trPr>
          <w:cantSplit/>
        </w:trPr>
        <w:tc>
          <w:tcPr>
            <w:tcW w:type="dxa" w:w="3456"/>
            <w:vAlign w:val="top"/>
          </w:tcPr>
          <w:p>
            <w:pPr>
              <w:spacing w:after="40" w:before="0" w:line="259" w:lineRule="auto"/>
            </w:pPr>
            <w:r>
              <w:rPr>
                <w:rFonts w:ascii="Calibri" w:hAnsi="Calibri"/>
                <w:b/>
                <w:i w:val="0"/>
                <w:color w:val="212121"/>
                <w:sz w:val="19"/>
              </w:rPr>
              <w:t>Resorption and shortening of digits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Late deformity from repeated trauma, infection and bone absorption in anaesthetic hands and feet.</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Type 1 (reversal) reactions with acute neuritis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Type 2 reactions - erythema nodosum leprosum (ENL)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Silent (painless) neuritis with acute nerve-function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nerve palsies (claw hand, foot drop, lagophthalmos)</w:t>
            </w:r>
          </w:p>
        </w:tc>
        <w:tc>
          <w:tcPr>
            <w:tcW w:type="dxa" w:w="2980"/>
            <w:vAlign w:val="top"/>
          </w:tcPr>
          <w:p>
            <w:pPr>
              <w:spacing w:after="40" w:before="0" w:line="259" w:lineRule="auto"/>
            </w:pPr>
            <w:r>
              <w:rPr>
                <w:rFonts w:ascii="Calibri" w:hAnsi="Calibri"/>
                <w:b w:val="0"/>
                <w:i w:val="0"/>
                <w:color w:val="212121"/>
                <w:sz w:val="19"/>
              </w:rPr>
              <w:t>Immune-mediated acute events; the main cause of nerve damage and the reason urgent corticosteroid therapy is needed.</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sensory loss (glove-and-stocking anaesthesia)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Motor deformities - claw hand, foot drop, wrist drop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Trophic plantar/palmar ulcers with secondary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Ocular involvement - lagophthalmos, corneal ulceration, iridocyclitis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Dapsone-induced haemolytic anaemia and MDT hepatotoxicity</w:t>
            </w:r>
          </w:p>
        </w:tc>
        <w:tc>
          <w:tcPr>
            <w:tcW w:type="dxa" w:w="2980"/>
            <w:vAlign w:val="top"/>
          </w:tcPr>
          <w:p>
            <w:pPr>
              <w:spacing w:after="40" w:before="0" w:line="259" w:lineRule="auto"/>
            </w:pPr>
            <w:r>
              <w:rPr>
                <w:rFonts w:ascii="Calibri" w:hAnsi="Calibri"/>
                <w:b w:val="0"/>
                <w:i w:val="0"/>
                <w:color w:val="212121"/>
                <w:sz w:val="19"/>
              </w:rPr>
              <w:t>Consequences of chronic nerve damage, insensitivity and treatment; largely preventable with early MDT and prevention-of-disability care.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Grade 2 (visible) disability and fixed deformities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Blindness from untreated ocular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Resorption/shortening and loss of digits, chronic osteomyelitis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Lower-limb ulceration leading to amputation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(AA) amyloidosis and renal failure from chronic ENL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Profound social stigma, mental illness and economic exclusion</w:t>
            </w:r>
          </w:p>
        </w:tc>
        <w:tc>
          <w:tcPr>
            <w:tcW w:type="dxa" w:w="2980"/>
            <w:vAlign w:val="top"/>
          </w:tcPr>
          <w:p>
            <w:pPr>
              <w:spacing w:after="40" w:before="0" w:line="259" w:lineRule="auto"/>
            </w:pPr>
            <w:r>
              <w:rPr>
                <w:rFonts w:ascii="Calibri" w:hAnsi="Calibri"/>
                <w:b w:val="0"/>
                <w:i w:val="0"/>
                <w:color w:val="212121"/>
                <w:sz w:val="19"/>
              </w:rPr>
              <w:t>Irreversible, disabling and psychosocial outcomes of late-diagnosed or reaction-complicated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Commonest comorbidity in Indian leprosy patients; independently causes peripheral neuropathy that overlaps with and masks leprous nerve damage, worsening foot-ulcer risk and complicating nerve-function monitoring.</w:t>
            </w:r>
          </w:p>
          <w:p>
            <w:pPr>
              <w:spacing w:after="40" w:before="0" w:line="259" w:lineRule="auto"/>
            </w:pPr>
            <w:r>
              <w:rPr>
                <w:rFonts w:ascii="Calibri" w:hAnsi="Calibri"/>
                <w:b/>
                <w:i w:val="0"/>
                <w:color w:val="212121"/>
                <w:sz w:val="19"/>
              </w:rPr>
              <w:t>~9.3%</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Stigma, disfigurement and disability drive high depression rates; poor mental health reduces treatment adherence and quality of life.</w:t>
            </w:r>
          </w:p>
          <w:p>
            <w:pPr>
              <w:spacing w:after="40" w:before="0" w:line="259" w:lineRule="auto"/>
            </w:pPr>
            <w:r>
              <w:rPr>
                <w:rFonts w:ascii="Calibri" w:hAnsi="Calibri"/>
                <w:b/>
                <w:i w:val="0"/>
                <w:color w:val="212121"/>
                <w:sz w:val="19"/>
              </w:rPr>
              <w:t>~33%</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Fear of deformity, social rejection and loss of livelihood produces clinically significant anxiety, especially with visible disability.</w:t>
            </w:r>
          </w:p>
          <w:p>
            <w:pPr>
              <w:spacing w:after="40" w:before="0" w:line="259" w:lineRule="auto"/>
            </w:pPr>
            <w:r>
              <w:rPr>
                <w:rFonts w:ascii="Calibri" w:hAnsi="Calibri"/>
                <w:b/>
                <w:i w:val="0"/>
                <w:color w:val="212121"/>
                <w:sz w:val="19"/>
              </w:rPr>
              <w:t>~19%</w:t>
            </w:r>
          </w:p>
        </w:tc>
      </w:tr>
      <w:tr>
        <w:trPr>
          <w:cantSplit/>
        </w:trPr>
        <w:tc>
          <w:tcPr>
            <w:tcW w:type="dxa" w:w="2232"/>
            <w:vAlign w:val="top"/>
          </w:tcPr>
          <w:p>
            <w:pPr>
              <w:spacing w:after="40" w:before="0" w:line="259" w:lineRule="auto"/>
            </w:pPr>
            <w:r>
              <w:rPr>
                <w:rFonts w:ascii="Calibri" w:hAnsi="Calibri"/>
                <w:b/>
                <w:i w:val="0"/>
                <w:color w:val="212121"/>
                <w:sz w:val="19"/>
              </w:rPr>
              <w:t>Ocular complications &amp; cataract</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Facial-nerve palsy (lagophthalmos), corneal anaesthesia and chronic iridocyclitis (ENL) threaten sight; leprosy is a preventable cause of blindness.</w:t>
            </w:r>
          </w:p>
          <w:p>
            <w:pPr>
              <w:spacing w:after="40" w:before="0" w:line="259" w:lineRule="auto"/>
            </w:pPr>
            <w:r>
              <w:rPr>
                <w:rFonts w:ascii="Calibri" w:hAnsi="Calibri"/>
                <w:b/>
                <w:i w:val="0"/>
                <w:color w:val="212121"/>
                <w:sz w:val="19"/>
              </w:rPr>
              <w:t>cataract ~1.5%</w:t>
            </w:r>
          </w:p>
        </w:tc>
      </w:tr>
      <w:tr>
        <w:trPr>
          <w:cantSplit/>
        </w:trPr>
        <w:tc>
          <w:tcPr>
            <w:tcW w:type="dxa" w:w="2232"/>
            <w:vAlign w:val="top"/>
          </w:tcPr>
          <w:p>
            <w:pPr>
              <w:spacing w:after="40" w:before="0" w:line="259" w:lineRule="auto"/>
            </w:pPr>
            <w:r>
              <w:rPr>
                <w:rFonts w:ascii="Calibri" w:hAnsi="Calibri"/>
                <w:b/>
                <w:i w:val="0"/>
                <w:color w:val="212121"/>
                <w:sz w:val="19"/>
              </w:rPr>
              <w:t>Erythema nodosum leprosum (recurrent Type 2 reactions)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Immune-complex vasculitis in lepromatous disease causing recurrent fever, painful nodules, neuritis and organ involvement; often needs prolonged steroids, clofazimine or thalidomide.</w:t>
            </w:r>
          </w:p>
        </w:tc>
      </w:tr>
      <w:tr>
        <w:trPr>
          <w:cantSplit/>
        </w:trPr>
        <w:tc>
          <w:tcPr>
            <w:tcW w:type="dxa" w:w="2232"/>
            <w:vAlign w:val="top"/>
          </w:tcPr>
          <w:p>
            <w:pPr>
              <w:spacing w:after="40" w:before="0" w:line="259" w:lineRule="auto"/>
            </w:pPr>
            <w:r>
              <w:rPr>
                <w:rFonts w:ascii="Calibri" w:hAnsi="Calibri"/>
                <w:b/>
                <w:i w:val="0"/>
                <w:color w:val="212121"/>
                <w:sz w:val="19"/>
              </w:rPr>
              <w:t>Secondary (AA) amyloidosis &amp; chronic kidney disease</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Longstanding recurrent ENL and chronic inflammation can deposit amyloid in the kidneys, causing nephrotic syndrome and renal failure.</w:t>
            </w:r>
          </w:p>
        </w:tc>
      </w:tr>
      <w:tr>
        <w:trPr>
          <w:cantSplit/>
        </w:trPr>
        <w:tc>
          <w:tcPr>
            <w:tcW w:type="dxa" w:w="2232"/>
            <w:vAlign w:val="top"/>
          </w:tcPr>
          <w:p>
            <w:pPr>
              <w:spacing w:after="40" w:before="0" w:line="259" w:lineRule="auto"/>
            </w:pPr>
            <w:r>
              <w:rPr>
                <w:rFonts w:ascii="Calibri" w:hAnsi="Calibri"/>
                <w:b/>
                <w:i w:val="0"/>
                <w:color w:val="212121"/>
                <w:sz w:val="19"/>
              </w:rPr>
              <w:t>Chronic plantar ulceration &amp; osteomyelitis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Repeated unnoticed trauma to anaesthetic feet produces non-healing ulcers, deep infection and bone destruction, sometimes requiring amputation.</w:t>
            </w:r>
          </w:p>
        </w:tc>
      </w:tr>
      <w:tr>
        <w:trPr>
          <w:cantSplit/>
        </w:trPr>
        <w:tc>
          <w:tcPr>
            <w:tcW w:type="dxa" w:w="2232"/>
            <w:vAlign w:val="top"/>
          </w:tcPr>
          <w:p>
            <w:pPr>
              <w:spacing w:after="40" w:before="0" w:line="259" w:lineRule="auto"/>
            </w:pPr>
            <w:r>
              <w:rPr>
                <w:rFonts w:ascii="Calibri" w:hAnsi="Calibri"/>
                <w:b/>
                <w:i w:val="0"/>
                <w:color w:val="212121"/>
                <w:sz w:val="19"/>
              </w:rPr>
              <w:t>Dapsone-induced haemolytic anaemia / dapsone hypersensitivity</w:t>
            </w:r>
          </w:p>
        </w:tc>
        <w:tc>
          <w:tcPr>
            <w:tcW w:type="dxa" w:w="2520"/>
            <w:vAlign w:val="top"/>
          </w:tcPr>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Dapsone in MDT causes dose-related haemolysis (severe in G6PD deficiency) and, rarely, dapsone hypersensitivity syndrome, requiring pre-treatment screening and monitoring.</w:t>
            </w:r>
          </w:p>
        </w:tc>
      </w:tr>
      <w:tr>
        <w:trPr>
          <w:cantSplit/>
        </w:trPr>
        <w:tc>
          <w:tcPr>
            <w:tcW w:type="dxa" w:w="2232"/>
            <w:vAlign w:val="top"/>
          </w:tcPr>
          <w:p>
            <w:pPr>
              <w:spacing w:after="40" w:before="0" w:line="259" w:lineRule="auto"/>
            </w:pPr>
            <w:r>
              <w:rPr>
                <w:rFonts w:ascii="Calibri" w:hAnsi="Calibri"/>
                <w:b/>
                <w:i w:val="0"/>
                <w:color w:val="212121"/>
                <w:sz w:val="19"/>
              </w:rPr>
              <w:t>HIV co-infection</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HIV does not clearly increase leprosy incidence but can precipitate immune-reconstitution reactions and complicates immunosuppressive management of reactions.</w:t>
            </w:r>
          </w:p>
        </w:tc>
      </w:tr>
      <w:tr>
        <w:trPr>
          <w:cantSplit/>
        </w:trPr>
        <w:tc>
          <w:tcPr>
            <w:tcW w:type="dxa" w:w="2232"/>
            <w:vAlign w:val="top"/>
          </w:tcPr>
          <w:p>
            <w:pPr>
              <w:spacing w:after="40" w:before="0" w:line="259" w:lineRule="auto"/>
            </w:pPr>
            <w:r>
              <w:rPr>
                <w:rFonts w:ascii="Calibri" w:hAnsi="Calibri"/>
                <w:b/>
                <w:i w:val="0"/>
                <w:color w:val="212121"/>
                <w:sz w:val="19"/>
              </w:rPr>
              <w:t>Tuberculosis co-infection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Both are mycobacterial and rifampicin is shared across regimens, so co-infection raises concerns about drug interactions, adherence and rifampicin resistance.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recognise the earliest sign - a pale or reddish skin patch with reduced sensation - and seek free diagnosis promptly at any government health facility.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leprosy is caused by a bacterium, is only mildly contagious and becomes non-infectious within days of starting treatment - it is not hereditary, a curse or a punishment.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WHO multidrug therapy (MDT) is free and completely curative, and that early treatment prevents nerve damage and lifelong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a household member is diagnosed, ensure all close contacts are examined and offered single-dose rifampicin prophylaxis (SDR-PEP).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6-month (PB) or 12-month (MB) MDT course without interruption, even after the skin lesions fade.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any new nerve pain, tenderness or swelling, new weakness, or red painful lesions immediately - these signal reactions that can damage nerves.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&amp; close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in 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Community &amp; frontline health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Marginalised / tribal communities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the prescribed daily physiotherapy to maintain range of movement in affected hands, feet and eyes and to prevent fixed contractures.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gentle strengthening for weakened muscles (for example after ulnar or peroneal palsy) as guided by a physiotherapist.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eye-blinking exercises and protect the eye if there is lagophthalmos or reduced corneal sensation.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protective footwear (microcellular-rubber / MCR chappals) and inspect insensate feet every day to prevent trophic ulcers.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pressure, friction and contact with hot objects on anaesthetic hands and feet; rest and offload any early ulcer.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physically active within ability to preserve general fitness, circulation and mental well-being.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nerve damage or deformity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anaesthetic hands/feet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Post-reaction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plantar ulcers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protein-adequate diet (pulses, eggs, milk, fish, meat as affordable) to support cell-mediated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a variety of food groups daily - cereals, pulses, vegetables, fruit and dairy - to improve dietary diversity and micronutrient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undernutrition and low body weight, which increase both susceptibility to leprosy and the severity of reactions.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available food-security and nutrition schemes (PDS, ICDS, mid-day meals) for at-risk poor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iron and vitamins to counter anaemia, including dapsone-related haemolysis.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Food-insecure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Contacts of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MDT</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immune function and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chronic pain and reaction-related discomfort so that sleep is not disrupted.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depression and anxiety, which frequently disturb sleep in affected people.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routine, especially during prolonged MDT and reaction management.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reactions or neuritis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on treatment</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all tobacco use to protect peripheral circulation and improve ulcer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which can worsen vascular compromise in already insensate limbs.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tobacco-cessation support at the health facility during treatment visits.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foot ulcers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labourers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minimise alcohol during MDT, since rifampicin and alcohol both stress the liver.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protect nutrition and maintain reliable daily treatment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alcohol dependence, which undermines treatment completion and self-care.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rifampicin-based MDT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alcohol misuse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every diagnosed patient for depression and anxiety, which affect roughly a third and a fifth of Indian patients respectively.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and peer / self-care group support to counter stigma and social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disability-related distress early, since higher disability grades sharply increase depression and anxiety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patients to disability benefits, vocational rehabilitation and community reintegration programmes.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psychiatric care and treat suicidal ideation urgently when identified.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visible deformity or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facing stigma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depression/anxiety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Hygiene</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daily self-care: soak, gently scrape and oil dry anaesthetic skin to prevent cracks and ulcers.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Inspect hands, feet and eyes every day for injuries, blisters or redness that cannot be felt.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Clean and dress any wound promptly and offload pressure until it heals.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living spaces ventilated and reduce overcrowding where possible to limit transmission.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sensory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plantar ulcers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Endemic-area households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orfonline.org/expert-speak/india-s-leprosy-challenge-slow-gains-and-lingering-inequities" TargetMode="External"/><Relationship Id="rId10" Type="http://schemas.openxmlformats.org/officeDocument/2006/relationships/hyperlink" Target="https://www.pib.gov.in/PressReleasePage.aspx?PRID=2174943&amp;reg=3&amp;lang=2" TargetMode="External"/><Relationship Id="rId11" Type="http://schemas.openxmlformats.org/officeDocument/2006/relationships/hyperlink" Target="https://journals.plos.org/plosntds/article?id=10.1371%2Fjournal.pntd.0006622" TargetMode="External"/><Relationship Id="rId12" Type="http://schemas.openxmlformats.org/officeDocument/2006/relationships/hyperlink" Target="https://journals.plos.org/plosntds/article?id=10.1371%2Fjournal.pntd.0003766" TargetMode="External"/><Relationship Id="rId13" Type="http://schemas.openxmlformats.org/officeDocument/2006/relationships/hyperlink" Target="https://pmc.ncbi.nlm.nih.gov/articles/PMC3008172/" TargetMode="External"/><Relationship Id="rId14" Type="http://schemas.openxmlformats.org/officeDocument/2006/relationships/hyperlink" Target="https://journals.plos.org/plosntds/article?id=10.1371%2Fjournal.pntd.0013503" TargetMode="External"/><Relationship Id="rId15" Type="http://schemas.openxmlformats.org/officeDocument/2006/relationships/hyperlink" Target="https://dermnetnz.org/topics/lepra-reactions" TargetMode="External"/><Relationship Id="rId16" Type="http://schemas.openxmlformats.org/officeDocument/2006/relationships/hyperlink" Target="https://journals.plos.org/plosntds/article?id=10.1371%2Fjournal.pntd.00090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