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Alopecia Areata</w:t>
      </w:r>
    </w:p>
    <w:p>
      <w:pPr>
        <w:spacing w:before="0" w:after="160"/>
      </w:pPr>
      <w:r>
        <w:rPr>
          <w:rFonts w:ascii="Calibri" w:hAnsi="Calibri"/>
          <w:b/>
          <w:i w:val="0"/>
          <w:color w:val="212121"/>
          <w:sz w:val="22"/>
        </w:rPr>
        <w:t xml:space="preserve">AKA </w:t>
      </w:r>
      <w:r>
        <w:rPr>
          <w:rFonts w:ascii="Calibri" w:hAnsi="Calibri"/>
          <w:b w:val="0"/>
          <w:i w:val="0"/>
          <w:color w:val="212121"/>
          <w:sz w:val="22"/>
        </w:rPr>
        <w:t>i.e., Spot baldness, Patchy hair loss, Autoimmune hair loss; severe forms — Alopecia totalis / Alopecia universalis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Alopecia areata (AA) is a common, chronic, immune-mediated (autoimmune) disorder in which T-lymphocytes attack the anagen (growth-phase) hair follicle, producing non-scarring hair loss. It classically presents as one or more well-demarcated, smooth, round or oval bald patches on the scalp, but can affect the beard, eyebrows, eyelashes and any hair-bearing skin. Because the follicular structures are preserved (non-scarring), regrowth is possible, but the course is unpredictable and relapsing. Severe variants include alopecia totalis (complete scalp loss) and alopecia universalis (loss of all body hair).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alopecia areata accounts for roughly 0.7% of all new dermatology outpatient attendances, though hospital-based series from individual centres report figures up to about 2% of the dermatology OPD load. It represents nearly one-quarter (~25%) of all hair-loss cases seen in clinical practice. The estimated point prevalence in the general population is 0.1-0.2% with a lifetime risk of approximately 1.7-2%. Both sexes are affected across all ages; about 20% of cases occur in children and around 60% of patients develop their first patch before the age of 20, with the peak burden between 21 and 40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Alopecia areata is primarily a clinical and dermoscopic (trichoscopic) diagnosis; scalp biopsy is reserved for atypical or diffuse presentations.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sudden onset of one or more well-circumscribed, smooth patches of non-scarring hair loss with preserved follicular ostia;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exclamation-mark (tapered) hairs and a positive hair-pull test at the active margin of a patch;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trichoscopy showing yellow dots, black dots (cadaverised hairs), broken hairs, short tapering (exclamation-mark) hairs and short regrowing vellus hairs;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histopathology (when required) showing a peribulbar lymphocytic infiltrate around anagen follicles — the classic “swarm of bees” appearance — with a shift toward catagen/telogen;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associated autoimmune disease where indicated (thyroid function and anti-thyroid-peroxidase antibodies, with consideration of serum vitamin D, ferritin and, in extensive or early-onset disease, an autoimmune screen).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Alopecia areata is classified by the pattern and extent of hair loss, which also guides prognosis:</w:t>
      </w:r>
    </w:p>
    <w:p>
      <w:pPr>
        <w:spacing w:before="0" w:after="80"/>
      </w:pPr>
      <w:r>
        <w:rPr>
          <w:rFonts w:ascii="Calibri" w:hAnsi="Calibri"/>
          <w:b w:val="0"/>
          <w:i w:val="0"/>
          <w:color w:val="212121"/>
          <w:sz w:val="21"/>
        </w:rPr>
        <w:t>(1) Patchy alopecia areata — the most common form (~90% of cases), with one or a few coin-shaped patches on the scalp or beard;</w:t>
      </w:r>
    </w:p>
    <w:p>
      <w:pPr>
        <w:spacing w:before="0" w:after="80"/>
      </w:pPr>
      <w:r>
        <w:rPr>
          <w:rFonts w:ascii="Calibri" w:hAnsi="Calibri"/>
          <w:b w:val="0"/>
          <w:i w:val="0"/>
          <w:color w:val="212121"/>
          <w:sz w:val="21"/>
        </w:rPr>
        <w:t>(2) Alopecia totalis (AT) — loss of all or nearly all scalp hair;</w:t>
      </w:r>
    </w:p>
    <w:p>
      <w:pPr>
        <w:spacing w:before="0" w:after="80"/>
      </w:pPr>
      <w:r>
        <w:rPr>
          <w:rFonts w:ascii="Calibri" w:hAnsi="Calibri"/>
          <w:b w:val="0"/>
          <w:i w:val="0"/>
          <w:color w:val="212121"/>
          <w:sz w:val="21"/>
        </w:rPr>
        <w:t>(3) Alopecia universalis (AU) — loss of all scalp and body hair (eyebrows, eyelashes, axillary, pubic and body hair); AT and AU represent the most severe end and carry the poorest prognosis, with 5-10% of patchy cases progressing to these forms;</w:t>
      </w:r>
    </w:p>
    <w:p>
      <w:pPr>
        <w:spacing w:before="0" w:after="80"/>
      </w:pPr>
      <w:r>
        <w:rPr>
          <w:rFonts w:ascii="Calibri" w:hAnsi="Calibri"/>
          <w:b w:val="0"/>
          <w:i w:val="0"/>
          <w:color w:val="212121"/>
          <w:sz w:val="21"/>
        </w:rPr>
        <w:t>(4) Ophiasis — a band-like loss over the occipital and temporal margins — and sisaipho (ophiasis inversus), central loss sparing the margins; both tend to be treatment-resistant;</w:t>
      </w:r>
    </w:p>
    <w:p>
      <w:pPr>
        <w:spacing w:before="0" w:after="80"/>
      </w:pPr>
      <w:r>
        <w:rPr>
          <w:rFonts w:ascii="Calibri" w:hAnsi="Calibri"/>
          <w:b w:val="0"/>
          <w:i w:val="0"/>
          <w:color w:val="212121"/>
          <w:sz w:val="21"/>
        </w:rPr>
        <w:t>(5) Diffuse alopecia areata (alopecia areata incognita) — rapid, widespread thinning without discrete patches, easily mistaken for telogen effluvium; plus site variants such as alopecia barbae (beard). Severity is objectively quantified with the SALT (Severity of Alopecia Tool) score, with SALT &gt; 50 defined as severe.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Autoimmune mechanism: Collapse of hair-follicle immune privilege allows CD8+ NKG2D+ T-lymphocytes to attack the anagen bulb, driven by interferon-gamma and IL-15 signalling through the JAK-STAT pathway.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Strong heritability with HLA associations; genome-wide studies have identified ~139 susceptibility SNPs in genes regulating T-cell activation (IL2/IL21, IL2RA, CTLA4) and follicular ULBP ligands. A positive family history is present in ~8.7-20% of patients.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Autoimmune diathesis: Personal or family history of autoimmune thyroid disease, vitiligo, type 1 diabetes, atopy and Down syndrome increases risk through shared immune dysregulation.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Psychological stress: Acute emotional or physical stress is a frequently reported trigger, acting via neuro-immuno-endocrine pathways (substance P, cortisol) that disrupt follicular immune privilege.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Micronutrient status: Low serum vitamin D — and in some patients iron and zinc — is associated with disease presence and severity, though causality is not established.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triggers: Viral or bacterial infection, vaccination and local trauma have been reported to precipitate or extend disease in genetically susceptible individuals.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Early-onset disease reflects a stronger genetic/autoimmune loading and carries a worse prognosis, with a higher chance of progression to alopecia totalis/universalis. It also disproportionately affects psychosocial development and schooling.</w:t>
            </w:r>
          </w:p>
          <w:p>
            <w:pPr>
              <w:spacing w:after="40" w:before="60" w:line="259" w:lineRule="auto"/>
            </w:pPr>
            <w:r>
              <w:rPr>
                <w:rFonts w:ascii="Calibri" w:hAnsi="Calibri"/>
                <w:b w:val="0"/>
                <w:i w:val="0"/>
                <w:color w:val="212121"/>
                <w:sz w:val="19"/>
              </w:rPr>
              <w:t>About 20% of all alopecia areata cases occur in children and ~60% of patients develop their first patch before age 20.</w:t>
            </w:r>
          </w:p>
          <w:p>
            <w:pPr>
              <w:spacing w:after="40" w:line="252" w:lineRule="auto"/>
            </w:pPr>
            <w:hyperlink r:id="rId9">
              <w:r>
                <w:rPr>
                  <w:rFonts w:ascii="Calibri" w:hAnsi="Calibri" w:cs="Calibri"/>
                  <w:sz w:val="18"/>
                  <w:color w:val="1155CC"/>
                  <w:u w:val="single"/>
                </w:rPr>
                <w:t xml:space="preserve">ijdvl.com — alopecia areata: an update</w:t>
              </w:r>
            </w:hyperlink>
          </w:p>
          <w:p>
            <w:pPr>
              <w:spacing w:before="60" w:after="40"/>
            </w:pPr>
            <w:r>
              <w:rPr>
                <w:rFonts w:ascii="Calibri" w:hAnsi="Calibri"/>
                <w:b w:val="0"/>
                <w:i w:val="0"/>
                <w:color w:val="5A5A5A"/>
                <w:sz w:val="18"/>
              </w:rPr>
              <w:t>#childhood  #earlyonset  #autoimmune  #prognosis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adults (21-40 years)</w:t>
            </w:r>
          </w:p>
        </w:tc>
        <w:tc>
          <w:tcPr>
            <w:tcW w:type="dxa" w:w="4276"/>
            <w:vAlign w:val="top"/>
          </w:tcPr>
          <w:p>
            <w:pPr>
              <w:spacing w:after="60" w:line="259" w:lineRule="auto"/>
            </w:pPr>
            <w:r>
              <w:rPr>
                <w:rFonts w:ascii="Calibri" w:hAnsi="Calibri"/>
                <w:b w:val="0"/>
                <w:i w:val="0"/>
                <w:color w:val="212121"/>
                <w:sz w:val="19"/>
              </w:rPr>
              <w:t>Peak clinical presentation occurs in the third and fourth decades, when immune dysregulation, occupational/academic stress and cosmetic concern converge, driving most OPD visits.</w:t>
            </w:r>
          </w:p>
          <w:p>
            <w:pPr>
              <w:spacing w:after="40" w:before="60" w:line="259" w:lineRule="auto"/>
            </w:pPr>
            <w:r>
              <w:rPr>
                <w:rFonts w:ascii="Calibri" w:hAnsi="Calibri"/>
                <w:b w:val="0"/>
                <w:i w:val="0"/>
                <w:color w:val="212121"/>
                <w:sz w:val="19"/>
              </w:rPr>
              <w:t>In a South-Indian series, 50% of alopecia areata patients belonged to the 21-40 year age group.</w:t>
            </w:r>
          </w:p>
          <w:p>
            <w:pPr>
              <w:spacing w:after="40" w:line="252" w:lineRule="auto"/>
            </w:pPr>
            <w:hyperlink r:id="rId10">
              <w:r>
                <w:rPr>
                  <w:rFonts w:ascii="Calibri" w:hAnsi="Calibri" w:cs="Calibri"/>
                  <w:sz w:val="18"/>
                  <w:color w:val="1155CC"/>
                  <w:u w:val="single"/>
                </w:rPr>
                <w:t xml:space="preserve">ijord.com — AA observational study, South India</w:t>
              </w:r>
            </w:hyperlink>
          </w:p>
          <w:p>
            <w:pPr>
              <w:spacing w:before="60" w:after="40"/>
            </w:pPr>
            <w:r>
              <w:rPr>
                <w:rFonts w:ascii="Calibri" w:hAnsi="Calibri"/>
                <w:b w:val="0"/>
                <w:i w:val="0"/>
                <w:color w:val="5A5A5A"/>
                <w:sz w:val="18"/>
              </w:rPr>
              <w:t>#youngadults  #peakincidence  #workstress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&amp; elderly (30-59 years)</w:t>
            </w:r>
          </w:p>
        </w:tc>
        <w:tc>
          <w:tcPr>
            <w:tcW w:type="dxa" w:w="4276"/>
            <w:vAlign w:val="top"/>
          </w:tcPr>
          <w:p>
            <w:pPr>
              <w:spacing w:after="60" w:line="259" w:lineRule="auto"/>
            </w:pPr>
            <w:r>
              <w:rPr>
                <w:rFonts w:ascii="Calibri" w:hAnsi="Calibri"/>
                <w:b w:val="0"/>
                <w:i w:val="0"/>
                <w:color w:val="212121"/>
                <w:sz w:val="19"/>
              </w:rPr>
              <w:t>Cumulative autoimmune burden keeps prevalence high through mid-adult life; late-onset disease is more often linked to coexisting thyroid and other autoimmune disorders that require screening.</w:t>
            </w:r>
          </w:p>
          <w:p>
            <w:pPr>
              <w:spacing w:after="40" w:before="60" w:line="259" w:lineRule="auto"/>
            </w:pPr>
            <w:r>
              <w:rPr>
                <w:rFonts w:ascii="Calibri" w:hAnsi="Calibri"/>
                <w:b w:val="0"/>
                <w:i w:val="0"/>
                <w:color w:val="212121"/>
                <w:sz w:val="19"/>
              </w:rPr>
              <w:t>Highest prevalence of alopecia areata is reported in the 30-59 year band.</w:t>
            </w:r>
          </w:p>
          <w:p>
            <w:pPr>
              <w:spacing w:after="40" w:line="252" w:lineRule="auto"/>
            </w:pPr>
            <w:hyperlink r:id="rId9">
              <w:r>
                <w:rPr>
                  <w:rFonts w:ascii="Calibri" w:hAnsi="Calibri" w:cs="Calibri"/>
                  <w:sz w:val="18"/>
                  <w:color w:val="1155CC"/>
                  <w:u w:val="single"/>
                </w:rPr>
                <w:t xml:space="preserve">ijdvl.com — alopecia areata: an update</w:t>
              </w:r>
            </w:hyperlink>
          </w:p>
          <w:p>
            <w:pPr>
              <w:spacing w:before="60" w:after="40"/>
            </w:pPr>
            <w:r>
              <w:rPr>
                <w:rFonts w:ascii="Calibri" w:hAnsi="Calibri"/>
                <w:b w:val="0"/>
                <w:i w:val="0"/>
                <w:color w:val="5A5A5A"/>
                <w:sz w:val="18"/>
              </w:rPr>
              <w:t>#adults  #autoimmuneburden  #thyroidscreen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(slight male predominance in Indian series)</w:t>
            </w:r>
          </w:p>
        </w:tc>
        <w:tc>
          <w:tcPr>
            <w:tcW w:type="dxa" w:w="4276"/>
            <w:vAlign w:val="top"/>
          </w:tcPr>
          <w:p>
            <w:pPr>
              <w:spacing w:after="60" w:line="259" w:lineRule="auto"/>
            </w:pPr>
            <w:r>
              <w:rPr>
                <w:rFonts w:ascii="Calibri" w:hAnsi="Calibri"/>
                <w:b w:val="0"/>
                <w:i w:val="0"/>
                <w:color w:val="212121"/>
                <w:sz w:val="19"/>
              </w:rPr>
              <w:t>Population studies show roughly equal sex distribution, but several Indian hospital series report a mild male preponderance in those presenting for care; women more often report greater psychosocial impact.</w:t>
            </w:r>
          </w:p>
          <w:p>
            <w:pPr>
              <w:spacing w:after="40" w:before="60" w:line="259" w:lineRule="auto"/>
            </w:pPr>
            <w:r>
              <w:rPr>
                <w:rFonts w:ascii="Calibri" w:hAnsi="Calibri"/>
                <w:b w:val="0"/>
                <w:i w:val="0"/>
                <w:color w:val="212121"/>
                <w:sz w:val="19"/>
              </w:rPr>
              <w:t>Most series describe an approximately equal male-to-female ratio, with some Indian centres noting male predominance.</w:t>
            </w:r>
          </w:p>
          <w:p>
            <w:pPr>
              <w:spacing w:after="40" w:line="252" w:lineRule="auto"/>
            </w:pPr>
            <w:hyperlink r:id="rId10">
              <w:r>
                <w:rPr>
                  <w:rFonts w:ascii="Calibri" w:hAnsi="Calibri" w:cs="Calibri"/>
                  <w:sz w:val="18"/>
                  <w:color w:val="1155CC"/>
                  <w:u w:val="single"/>
                </w:rPr>
                <w:t xml:space="preserve">ijord.com — AA observational study, South India</w:t>
              </w:r>
            </w:hyperlink>
          </w:p>
          <w:p>
            <w:pPr>
              <w:spacing w:before="60" w:after="40"/>
            </w:pPr>
            <w:r>
              <w:rPr>
                <w:rFonts w:ascii="Calibri" w:hAnsi="Calibri"/>
                <w:b w:val="0"/>
                <w:i w:val="0"/>
                <w:color w:val="5A5A5A"/>
                <w:sz w:val="18"/>
              </w:rPr>
              <w:t>#sexratio  #psychosocial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high-stress occupations &amp; students</w:t>
            </w:r>
          </w:p>
        </w:tc>
        <w:tc>
          <w:tcPr>
            <w:tcW w:type="dxa" w:w="4276"/>
            <w:vAlign w:val="top"/>
          </w:tcPr>
          <w:p>
            <w:pPr>
              <w:spacing w:after="60" w:line="259" w:lineRule="auto"/>
            </w:pPr>
            <w:r>
              <w:rPr>
                <w:rFonts w:ascii="Calibri" w:hAnsi="Calibri"/>
                <w:b w:val="0"/>
                <w:i w:val="0"/>
                <w:color w:val="212121"/>
                <w:sz w:val="19"/>
              </w:rPr>
              <w:t>Psychological stress is a recognised trigger; urban lifestyles, examination pressure and demanding jobs may precipitate or extend patches through neuro-immune (substance P/cortisol) pathways.</w:t>
            </w:r>
          </w:p>
          <w:p>
            <w:pPr>
              <w:spacing w:after="40" w:before="60" w:line="259" w:lineRule="auto"/>
            </w:pPr>
            <w:r>
              <w:rPr>
                <w:rFonts w:ascii="Calibri" w:hAnsi="Calibri"/>
                <w:b w:val="0"/>
                <w:i w:val="0"/>
                <w:color w:val="212121"/>
                <w:sz w:val="19"/>
              </w:rPr>
              <w:t>Acute emotional stress is one of the most frequently reported precipitating factors in alopecia areata.</w:t>
            </w:r>
          </w:p>
          <w:p>
            <w:pPr>
              <w:spacing w:before="60" w:after="40"/>
            </w:pPr>
            <w:r>
              <w:rPr>
                <w:rFonts w:ascii="Calibri" w:hAnsi="Calibri"/>
                <w:b w:val="0"/>
                <w:i w:val="0"/>
                <w:color w:val="5A5A5A"/>
                <w:sz w:val="18"/>
              </w:rPr>
              <w:t>#stress  #urban  #students  #lifestyle</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Indian subcontinent (North &amp; South India)</w:t>
            </w:r>
          </w:p>
        </w:tc>
        <w:tc>
          <w:tcPr>
            <w:tcW w:type="dxa" w:w="4276"/>
            <w:vAlign w:val="top"/>
          </w:tcPr>
          <w:p>
            <w:pPr>
              <w:spacing w:after="60" w:line="259" w:lineRule="auto"/>
            </w:pPr>
            <w:r>
              <w:rPr>
                <w:rFonts w:ascii="Calibri" w:hAnsi="Calibri"/>
                <w:b w:val="0"/>
                <w:i w:val="0"/>
                <w:color w:val="212121"/>
                <w:sz w:val="19"/>
              </w:rPr>
              <w:t>Alopecia areata is seen across all Indian regions and skin types; hospital-based Indian data cluster in a narrow band of dermatology OPD attendance, reflecting a consistent nationwide burden.</w:t>
            </w:r>
          </w:p>
          <w:p>
            <w:pPr>
              <w:spacing w:after="40" w:before="60" w:line="259" w:lineRule="auto"/>
            </w:pPr>
            <w:r>
              <w:rPr>
                <w:rFonts w:ascii="Calibri" w:hAnsi="Calibri"/>
                <w:b w:val="0"/>
                <w:i w:val="0"/>
                <w:color w:val="212121"/>
                <w:sz w:val="19"/>
              </w:rPr>
              <w:t>Alopecia areata forms ~0.7% of new dermatology cases in India, and up to ~2% of the OPD load in some centres.</w:t>
            </w:r>
          </w:p>
          <w:p>
            <w:pPr>
              <w:spacing w:after="40" w:line="252" w:lineRule="auto"/>
            </w:pPr>
            <w:hyperlink r:id="rId11">
              <w:r>
                <w:rPr>
                  <w:rFonts w:ascii="Calibri" w:hAnsi="Calibri" w:cs="Calibri"/>
                  <w:sz w:val="18"/>
                  <w:color w:val="1155CC"/>
                  <w:u w:val="single"/>
                </w:rPr>
                <w:t xml:space="preserve">pubmed — Profile of alopecia areata in Northern India</w:t>
              </w:r>
            </w:hyperlink>
          </w:p>
          <w:p>
            <w:pPr>
              <w:spacing w:before="60" w:after="40"/>
            </w:pPr>
            <w:r>
              <w:rPr>
                <w:rFonts w:ascii="Calibri" w:hAnsi="Calibri"/>
                <w:b w:val="0"/>
                <w:i w:val="0"/>
                <w:color w:val="5A5A5A"/>
                <w:sz w:val="18"/>
              </w:rPr>
              <w:t>#india  #dermatologyopd  #regionalprofile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Chronically stressed / anxious individuals</w:t>
            </w:r>
          </w:p>
        </w:tc>
        <w:tc>
          <w:tcPr>
            <w:tcW w:type="dxa" w:w="4276"/>
            <w:vAlign w:val="top"/>
          </w:tcPr>
          <w:p>
            <w:pPr>
              <w:spacing w:after="60" w:line="259" w:lineRule="auto"/>
            </w:pPr>
            <w:r>
              <w:rPr>
                <w:rFonts w:ascii="Calibri" w:hAnsi="Calibri"/>
                <w:b w:val="0"/>
                <w:i w:val="0"/>
                <w:color w:val="212121"/>
                <w:sz w:val="19"/>
              </w:rPr>
              <w:t>Stress-induced release of substance P and cortisol can collapse follicular immune privilege and shift hairs into catagen, both triggering onset and being aggravated by the distress of visible hair loss.</w:t>
            </w:r>
          </w:p>
          <w:p>
            <w:pPr>
              <w:spacing w:after="40" w:before="60" w:line="259" w:lineRule="auto"/>
            </w:pPr>
            <w:r>
              <w:rPr>
                <w:rFonts w:ascii="Calibri" w:hAnsi="Calibri"/>
                <w:b w:val="0"/>
                <w:i w:val="0"/>
                <w:color w:val="212121"/>
                <w:sz w:val="19"/>
              </w:rPr>
              <w:t>Alopecia areata shows a strong bidirectional relationship with psychological stress, anxiety and depression.</w:t>
            </w:r>
          </w:p>
          <w:p>
            <w:pPr>
              <w:spacing w:after="40" w:line="252" w:lineRule="auto"/>
            </w:pPr>
            <w:hyperlink r:id="rId12">
              <w:r>
                <w:rPr>
                  <w:rFonts w:ascii="Calibri" w:hAnsi="Calibri" w:cs="Calibri"/>
                  <w:sz w:val="18"/>
                  <w:color w:val="1155CC"/>
                  <w:u w:val="single"/>
                </w:rPr>
                <w:t xml:space="preserve">pubmed — anxiety/depression in AA: meta-analysis</w:t>
              </w:r>
            </w:hyperlink>
          </w:p>
          <w:p>
            <w:pPr>
              <w:spacing w:before="60" w:after="40"/>
            </w:pPr>
            <w:r>
              <w:rPr>
                <w:rFonts w:ascii="Calibri" w:hAnsi="Calibri"/>
                <w:b w:val="0"/>
                <w:i w:val="0"/>
                <w:color w:val="5A5A5A"/>
                <w:sz w:val="18"/>
              </w:rPr>
              <w:t>#stress  #anxiety  #mentalhealth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Tobacco-related oxidative stress and microvascular effects may impair the follicular microenvironment and are proposed to worsen or trigger autoimmune hair loss, though evidence is weaker than for other autoimmune skin disease.</w:t>
            </w:r>
          </w:p>
          <w:p>
            <w:pPr>
              <w:spacing w:after="40" w:before="60" w:line="259" w:lineRule="auto"/>
            </w:pPr>
            <w:r>
              <w:rPr>
                <w:rFonts w:ascii="Calibri" w:hAnsi="Calibri"/>
                <w:b w:val="0"/>
                <w:i w:val="0"/>
                <w:color w:val="212121"/>
                <w:sz w:val="19"/>
              </w:rPr>
              <w:t>Smoking-related oxidative stress is a proposed aggravating factor; a general clinical association is described.</w:t>
            </w:r>
          </w:p>
          <w:p>
            <w:pPr>
              <w:spacing w:before="60" w:after="40"/>
            </w:pPr>
            <w:r>
              <w:rPr>
                <w:rFonts w:ascii="Calibri" w:hAnsi="Calibri"/>
                <w:b w:val="0"/>
                <w:i w:val="0"/>
                <w:color w:val="5A5A5A"/>
                <w:sz w:val="18"/>
              </w:rPr>
              <w:t>#smoking  #oxidativestress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&amp; circadian disruption</w:t>
            </w:r>
          </w:p>
        </w:tc>
        <w:tc>
          <w:tcPr>
            <w:tcW w:type="dxa" w:w="2160"/>
            <w:vAlign w:val="top"/>
          </w:tcPr>
          <w:p>
            <w:pPr>
              <w:spacing w:after="40" w:before="0" w:line="259" w:lineRule="auto"/>
            </w:pPr>
            <w:r>
              <w:rPr>
                <w:rFonts w:ascii="Calibri" w:hAnsi="Calibri"/>
                <w:b w:val="0"/>
                <w:i w:val="0"/>
                <w:color w:val="212121"/>
                <w:sz w:val="19"/>
              </w:rPr>
              <w:t>Shift workers, poor sleepers</w:t>
            </w:r>
          </w:p>
        </w:tc>
        <w:tc>
          <w:tcPr>
            <w:tcW w:type="dxa" w:w="4276"/>
            <w:vAlign w:val="top"/>
          </w:tcPr>
          <w:p>
            <w:pPr>
              <w:spacing w:after="60" w:line="259" w:lineRule="auto"/>
            </w:pPr>
            <w:r>
              <w:rPr>
                <w:rFonts w:ascii="Calibri" w:hAnsi="Calibri"/>
                <w:b w:val="0"/>
                <w:i w:val="0"/>
                <w:color w:val="212121"/>
                <w:sz w:val="19"/>
              </w:rPr>
              <w:t>Disrupted sleep raises cortisol and pro-inflammatory tone, potentially lowering the threshold for autoimmune follicular attack and impairing regrowth.</w:t>
            </w:r>
          </w:p>
          <w:p>
            <w:pPr>
              <w:spacing w:after="40" w:before="60" w:line="259" w:lineRule="auto"/>
            </w:pPr>
            <w:r>
              <w:rPr>
                <w:rFonts w:ascii="Calibri" w:hAnsi="Calibri"/>
                <w:b w:val="0"/>
                <w:i w:val="0"/>
                <w:color w:val="212121"/>
                <w:sz w:val="19"/>
              </w:rPr>
              <w:t>Poor sleep and circadian disruption elevate stress hormones that may aggravate autoimmune activity.</w:t>
            </w:r>
          </w:p>
          <w:p>
            <w:pPr>
              <w:spacing w:before="60" w:after="40"/>
            </w:pPr>
            <w:r>
              <w:rPr>
                <w:rFonts w:ascii="Calibri" w:hAnsi="Calibri"/>
                <w:b w:val="0"/>
                <w:i w:val="0"/>
                <w:color w:val="5A5A5A"/>
                <w:sz w:val="18"/>
              </w:rPr>
              <w:t>#sleep  #circadian  #cortisol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Low-sunlight exposure, veiled or indoor lifestyles, vegetarians</w:t>
            </w:r>
          </w:p>
        </w:tc>
        <w:tc>
          <w:tcPr>
            <w:tcW w:type="dxa" w:w="4276"/>
            <w:vAlign w:val="top"/>
          </w:tcPr>
          <w:p>
            <w:pPr>
              <w:spacing w:after="60" w:line="259" w:lineRule="auto"/>
            </w:pPr>
            <w:r>
              <w:rPr>
                <w:rFonts w:ascii="Calibri" w:hAnsi="Calibri"/>
                <w:b w:val="0"/>
                <w:i w:val="0"/>
                <w:color w:val="212121"/>
                <w:sz w:val="19"/>
              </w:rPr>
              <w:t>Vitamin D modulates T-cell activity and the hair-follicle cycle; deficiency — very common in the Indian population — is associated with the presence and severity of alopecia areata.</w:t>
            </w:r>
          </w:p>
          <w:p>
            <w:pPr>
              <w:spacing w:after="40" w:before="60" w:line="259" w:lineRule="auto"/>
            </w:pPr>
            <w:r>
              <w:rPr>
                <w:rFonts w:ascii="Calibri" w:hAnsi="Calibri"/>
                <w:b w:val="0"/>
                <w:i w:val="0"/>
                <w:color w:val="212121"/>
                <w:sz w:val="19"/>
              </w:rPr>
              <w:t>In a Southern-Indian case-control study, 64% of AA patients were vitamin-D deficient (vs 38% of controls); mean 25-OH-D 18.90 vs 28.21 ng/mL, with an inverse correlation to SALT score (r = -0.298).</w:t>
            </w:r>
          </w:p>
          <w:p>
            <w:pPr>
              <w:spacing w:after="40" w:line="252" w:lineRule="auto"/>
            </w:pPr>
            <w:hyperlink r:id="rId13">
              <w:r>
                <w:rPr>
                  <w:rFonts w:ascii="Calibri" w:hAnsi="Calibri" w:cs="Calibri"/>
                  <w:sz w:val="18"/>
                  <w:color w:val="1155CC"/>
                  <w:u w:val="single"/>
                </w:rPr>
                <w:t xml:space="preserve">pubmed — vitamin D in AA, 100-patient S-India study</w:t>
              </w:r>
            </w:hyperlink>
          </w:p>
          <w:p>
            <w:pPr>
              <w:spacing w:before="60" w:after="40"/>
            </w:pPr>
            <w:r>
              <w:rPr>
                <w:rFonts w:ascii="Calibri" w:hAnsi="Calibri"/>
                <w:b w:val="0"/>
                <w:i w:val="0"/>
                <w:color w:val="5A5A5A"/>
                <w:sz w:val="18"/>
              </w:rPr>
              <w:t>#vitaminD  #micronutrient  #severity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Iron- and zinc-deficient individuals</w:t>
            </w:r>
          </w:p>
        </w:tc>
        <w:tc>
          <w:tcPr>
            <w:tcW w:type="dxa" w:w="4276"/>
            <w:vAlign w:val="top"/>
          </w:tcPr>
          <w:p>
            <w:pPr>
              <w:spacing w:after="60" w:line="259" w:lineRule="auto"/>
            </w:pPr>
            <w:r>
              <w:rPr>
                <w:rFonts w:ascii="Calibri" w:hAnsi="Calibri"/>
                <w:b w:val="0"/>
                <w:i w:val="0"/>
                <w:color w:val="212121"/>
                <w:sz w:val="19"/>
              </w:rPr>
              <w:t>Iron and zinc are cofactors for keratinocyte proliferation and immune regulation; deficiency (common in Indian women and vegetarians) is associated with more extensive or refractory hair loss in some patients.</w:t>
            </w:r>
          </w:p>
          <w:p>
            <w:pPr>
              <w:spacing w:after="40" w:before="60" w:line="259" w:lineRule="auto"/>
            </w:pPr>
            <w:r>
              <w:rPr>
                <w:rFonts w:ascii="Calibri" w:hAnsi="Calibri"/>
                <w:b w:val="0"/>
                <w:i w:val="0"/>
                <w:color w:val="212121"/>
                <w:sz w:val="19"/>
              </w:rPr>
              <w:t>Low ferritin and zinc are variably associated with alopecia areata severity; correction is often advised.</w:t>
            </w:r>
          </w:p>
          <w:p>
            <w:pPr>
              <w:spacing w:before="60" w:after="40"/>
            </w:pPr>
            <w:r>
              <w:rPr>
                <w:rFonts w:ascii="Calibri" w:hAnsi="Calibri"/>
                <w:b w:val="0"/>
                <w:i w:val="0"/>
                <w:color w:val="5A5A5A"/>
                <w:sz w:val="18"/>
              </w:rPr>
              <w:t>#iron  #zinc  #ferritin  #vegetarian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alopecia areata</w:t>
            </w:r>
          </w:p>
        </w:tc>
        <w:tc>
          <w:tcPr>
            <w:tcW w:type="dxa" w:w="4276"/>
            <w:vAlign w:val="top"/>
          </w:tcPr>
          <w:p>
            <w:pPr>
              <w:spacing w:after="60" w:line="259" w:lineRule="auto"/>
            </w:pPr>
            <w:r>
              <w:rPr>
                <w:rFonts w:ascii="Calibri" w:hAnsi="Calibri"/>
                <w:b w:val="0"/>
                <w:i w:val="0"/>
                <w:color w:val="212121"/>
                <w:sz w:val="19"/>
              </w:rPr>
              <w:t>AA is highly heritable; a positive family history reflects inherited HLA and T-cell-regulatory gene variants and predicts earlier onset and more extensive disease.</w:t>
            </w:r>
          </w:p>
          <w:p>
            <w:pPr>
              <w:spacing w:after="40" w:before="60" w:line="259" w:lineRule="auto"/>
            </w:pPr>
            <w:r>
              <w:rPr>
                <w:rFonts w:ascii="Calibri" w:hAnsi="Calibri"/>
                <w:b w:val="0"/>
                <w:i w:val="0"/>
                <w:color w:val="212121"/>
                <w:sz w:val="19"/>
              </w:rPr>
              <w:t>A family history of AA is reported in ~8.7-20% of patients overall, and in 21.7% of an Indian series.</w:t>
            </w:r>
          </w:p>
          <w:p>
            <w:pPr>
              <w:spacing w:after="40" w:line="252" w:lineRule="auto"/>
            </w:pPr>
            <w:hyperlink r:id="rId10">
              <w:r>
                <w:rPr>
                  <w:rFonts w:ascii="Calibri" w:hAnsi="Calibri" w:cs="Calibri"/>
                  <w:sz w:val="18"/>
                  <w:color w:val="1155CC"/>
                  <w:u w:val="single"/>
                </w:rPr>
                <w:t xml:space="preserve">ijord.com — AA observational study, South India</w:t>
              </w:r>
            </w:hyperlink>
          </w:p>
          <w:p>
            <w:pPr>
              <w:spacing w:before="60" w:after="40"/>
            </w:pPr>
            <w:r>
              <w:rPr>
                <w:rFonts w:ascii="Calibri" w:hAnsi="Calibri"/>
                <w:b w:val="0"/>
                <w:i w:val="0"/>
                <w:color w:val="5A5A5A"/>
                <w:sz w:val="18"/>
              </w:rPr>
              <w:t>#familyhistory  #HLA  #heritable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Down syndrome / genetic syndromes</w:t>
            </w:r>
          </w:p>
        </w:tc>
        <w:tc>
          <w:tcPr>
            <w:tcW w:type="dxa" w:w="2160"/>
            <w:vAlign w:val="top"/>
          </w:tcPr>
          <w:p>
            <w:pPr>
              <w:spacing w:after="40" w:before="0" w:line="259" w:lineRule="auto"/>
            </w:pPr>
            <w:r>
              <w:rPr>
                <w:rFonts w:ascii="Calibri" w:hAnsi="Calibri"/>
                <w:b w:val="0"/>
                <w:i w:val="0"/>
                <w:color w:val="212121"/>
                <w:sz w:val="19"/>
              </w:rPr>
              <w:t>Individuals with Down syndrome</w:t>
            </w:r>
          </w:p>
        </w:tc>
        <w:tc>
          <w:tcPr>
            <w:tcW w:type="dxa" w:w="4276"/>
            <w:vAlign w:val="top"/>
          </w:tcPr>
          <w:p>
            <w:pPr>
              <w:spacing w:after="60" w:line="259" w:lineRule="auto"/>
            </w:pPr>
            <w:r>
              <w:rPr>
                <w:rFonts w:ascii="Calibri" w:hAnsi="Calibri"/>
                <w:b w:val="0"/>
                <w:i w:val="0"/>
                <w:color w:val="212121"/>
                <w:sz w:val="19"/>
              </w:rPr>
              <w:t>Trisomy 21 carries marked immune dysregulation (including the AIRE gene locus), substantially increasing the frequency of alopecia areata and other organ-specific autoimmunity.</w:t>
            </w:r>
          </w:p>
          <w:p>
            <w:pPr>
              <w:spacing w:after="40" w:before="60" w:line="259" w:lineRule="auto"/>
            </w:pPr>
            <w:r>
              <w:rPr>
                <w:rFonts w:ascii="Calibri" w:hAnsi="Calibri"/>
                <w:b w:val="0"/>
                <w:i w:val="0"/>
                <w:color w:val="212121"/>
                <w:sz w:val="19"/>
              </w:rPr>
              <w:t>Alopecia areata is markedly over-represented in Down syndrome compared with the general population.</w:t>
            </w:r>
          </w:p>
          <w:p>
            <w:pPr>
              <w:spacing w:before="60" w:after="40"/>
            </w:pPr>
            <w:r>
              <w:rPr>
                <w:rFonts w:ascii="Calibri" w:hAnsi="Calibri"/>
                <w:b w:val="0"/>
                <w:i w:val="0"/>
                <w:color w:val="5A5A5A"/>
                <w:sz w:val="18"/>
              </w:rPr>
              <w:t>#downsyndrome  #AIRE  #autoimmunity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Autoimmune thyroid disease</w:t>
            </w:r>
          </w:p>
        </w:tc>
        <w:tc>
          <w:tcPr>
            <w:tcW w:type="dxa" w:w="2160"/>
            <w:vAlign w:val="top"/>
          </w:tcPr>
          <w:p>
            <w:pPr>
              <w:spacing w:after="40" w:before="0" w:line="259" w:lineRule="auto"/>
            </w:pPr>
            <w:r>
              <w:rPr>
                <w:rFonts w:ascii="Calibri" w:hAnsi="Calibri"/>
                <w:b w:val="0"/>
                <w:i w:val="0"/>
                <w:color w:val="212121"/>
                <w:sz w:val="19"/>
              </w:rPr>
              <w:t>Patients with Hashimoto thyroiditis / hypothyroidism</w:t>
            </w:r>
          </w:p>
        </w:tc>
        <w:tc>
          <w:tcPr>
            <w:tcW w:type="dxa" w:w="4276"/>
            <w:vAlign w:val="top"/>
          </w:tcPr>
          <w:p>
            <w:pPr>
              <w:spacing w:after="60" w:line="259" w:lineRule="auto"/>
            </w:pPr>
            <w:r>
              <w:rPr>
                <w:rFonts w:ascii="Calibri" w:hAnsi="Calibri"/>
                <w:b w:val="0"/>
                <w:i w:val="0"/>
                <w:color w:val="212121"/>
                <w:sz w:val="19"/>
              </w:rPr>
              <w:t>AA and autoimmune thyroid disease share T-cell-mediated mechanisms and HLA haplotypes; thyroid disease both predisposes to and coexists with AA, warranting routine thyroid screening.</w:t>
            </w:r>
          </w:p>
          <w:p>
            <w:pPr>
              <w:spacing w:after="40" w:before="60" w:line="259" w:lineRule="auto"/>
            </w:pPr>
            <w:r>
              <w:rPr>
                <w:rFonts w:ascii="Calibri" w:hAnsi="Calibri"/>
                <w:b w:val="0"/>
                <w:i w:val="0"/>
                <w:color w:val="212121"/>
                <w:sz w:val="19"/>
              </w:rPr>
              <w:t>Thyroid dysfunction is reported in ~13.3% of AA patients; Hashimoto thyroiditis raises AA odds (OR 1.40) and hypothyroidism (OR 1.43). Autoimmune thyroiditis is cited in 8-28% of AA (18.3% in a recent Indian study).</w:t>
            </w:r>
          </w:p>
          <w:p>
            <w:pPr>
              <w:spacing w:after="40" w:line="252" w:lineRule="auto"/>
            </w:pPr>
            <w:hyperlink r:id="rId14">
              <w:r>
                <w:rPr>
                  <w:rFonts w:ascii="Calibri" w:hAnsi="Calibri" w:cs="Calibri"/>
                  <w:sz w:val="18"/>
                  <w:color w:val="1155CC"/>
                  <w:u w:val="single"/>
                </w:rPr>
                <w:t xml:space="preserve">frontiers — thyroid dysfunction &amp; AA (Mendelian randomization)</w:t>
              </w:r>
            </w:hyperlink>
          </w:p>
          <w:p>
            <w:pPr>
              <w:spacing w:before="60" w:after="40"/>
            </w:pPr>
            <w:r>
              <w:rPr>
                <w:rFonts w:ascii="Calibri" w:hAnsi="Calibri"/>
                <w:b w:val="0"/>
                <w:i w:val="0"/>
                <w:color w:val="5A5A5A"/>
                <w:sz w:val="18"/>
              </w:rPr>
              <w:t>#thyroid  #hashimoto  #autoimmune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Atopy / atopic dermatitis</w:t>
            </w:r>
          </w:p>
        </w:tc>
        <w:tc>
          <w:tcPr>
            <w:tcW w:type="dxa" w:w="2160"/>
            <w:vAlign w:val="top"/>
          </w:tcPr>
          <w:p>
            <w:pPr>
              <w:spacing w:after="40" w:before="0" w:line="259" w:lineRule="auto"/>
            </w:pPr>
            <w:r>
              <w:rPr>
                <w:rFonts w:ascii="Calibri" w:hAnsi="Calibri"/>
                <w:b w:val="0"/>
                <w:i w:val="0"/>
                <w:color w:val="212121"/>
                <w:sz w:val="19"/>
              </w:rPr>
              <w:t>Patients with atopic dermatitis, asthma or allergic rhinitis</w:t>
            </w:r>
          </w:p>
        </w:tc>
        <w:tc>
          <w:tcPr>
            <w:tcW w:type="dxa" w:w="4276"/>
            <w:vAlign w:val="top"/>
          </w:tcPr>
          <w:p>
            <w:pPr>
              <w:spacing w:after="60" w:line="259" w:lineRule="auto"/>
            </w:pPr>
            <w:r>
              <w:rPr>
                <w:rFonts w:ascii="Calibri" w:hAnsi="Calibri"/>
                <w:b w:val="0"/>
                <w:i w:val="0"/>
                <w:color w:val="212121"/>
                <w:sz w:val="19"/>
              </w:rPr>
              <w:t>An atopic background is associated with earlier onset, more extensive disease and a more chronic course, reflecting shared Th2/immune dysregulation.</w:t>
            </w:r>
          </w:p>
          <w:p>
            <w:pPr>
              <w:spacing w:after="40" w:before="60" w:line="259" w:lineRule="auto"/>
            </w:pPr>
            <w:r>
              <w:rPr>
                <w:rFonts w:ascii="Calibri" w:hAnsi="Calibri"/>
                <w:b w:val="0"/>
                <w:i w:val="0"/>
                <w:color w:val="212121"/>
                <w:sz w:val="19"/>
              </w:rPr>
              <w:t>Atopy is present in ~10-22% of AA patients (about twice the general-population rate); 15% reported atopy in a South-Indian series.</w:t>
            </w:r>
          </w:p>
          <w:p>
            <w:pPr>
              <w:spacing w:after="40" w:line="252" w:lineRule="auto"/>
            </w:pPr>
            <w:hyperlink r:id="rId9">
              <w:r>
                <w:rPr>
                  <w:rFonts w:ascii="Calibri" w:hAnsi="Calibri" w:cs="Calibri"/>
                  <w:sz w:val="18"/>
                  <w:color w:val="1155CC"/>
                  <w:u w:val="single"/>
                </w:rPr>
                <w:t xml:space="preserve">ijdvl.com — alopecia areata: an update</w:t>
              </w:r>
            </w:hyperlink>
          </w:p>
          <w:p>
            <w:pPr>
              <w:spacing w:before="60" w:after="40"/>
            </w:pPr>
            <w:r>
              <w:rPr>
                <w:rFonts w:ascii="Calibri" w:hAnsi="Calibri"/>
                <w:b w:val="0"/>
                <w:i w:val="0"/>
                <w:color w:val="5A5A5A"/>
                <w:sz w:val="18"/>
              </w:rPr>
              <w:t>#atopy  #eczema  #Th2  #chroniccourse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Vitiligo</w:t>
            </w:r>
          </w:p>
        </w:tc>
        <w:tc>
          <w:tcPr>
            <w:tcW w:type="dxa" w:w="2160"/>
            <w:vAlign w:val="top"/>
          </w:tcPr>
          <w:p>
            <w:pPr>
              <w:spacing w:after="40" w:before="0" w:line="259" w:lineRule="auto"/>
            </w:pPr>
            <w:r>
              <w:rPr>
                <w:rFonts w:ascii="Calibri" w:hAnsi="Calibri"/>
                <w:b w:val="0"/>
                <w:i w:val="0"/>
                <w:color w:val="212121"/>
                <w:sz w:val="19"/>
              </w:rPr>
              <w:t>Patients with vitiligo</w:t>
            </w:r>
          </w:p>
        </w:tc>
        <w:tc>
          <w:tcPr>
            <w:tcW w:type="dxa" w:w="4276"/>
            <w:vAlign w:val="top"/>
          </w:tcPr>
          <w:p>
            <w:pPr>
              <w:spacing w:after="60" w:line="259" w:lineRule="auto"/>
            </w:pPr>
            <w:r>
              <w:rPr>
                <w:rFonts w:ascii="Calibri" w:hAnsi="Calibri"/>
                <w:b w:val="0"/>
                <w:i w:val="0"/>
                <w:color w:val="212121"/>
                <w:sz w:val="19"/>
              </w:rPr>
              <w:t>Both are organ-specific autoimmune diseases targeting follicular/epidermal melanocyte-associated antigens and frequently coexist, reinforcing a shared autoimmune diathesis.</w:t>
            </w:r>
          </w:p>
          <w:p>
            <w:pPr>
              <w:spacing w:after="40" w:before="60" w:line="259" w:lineRule="auto"/>
            </w:pPr>
            <w:r>
              <w:rPr>
                <w:rFonts w:ascii="Calibri" w:hAnsi="Calibri"/>
                <w:b w:val="0"/>
                <w:i w:val="0"/>
                <w:color w:val="212121"/>
                <w:sz w:val="19"/>
              </w:rPr>
              <w:t>Vitiligo was associated in ~5% of AA patients in an Indian series and is more frequent than in the general population.</w:t>
            </w:r>
          </w:p>
          <w:p>
            <w:pPr>
              <w:spacing w:after="40" w:line="252" w:lineRule="auto"/>
            </w:pPr>
            <w:hyperlink r:id="rId10">
              <w:r>
                <w:rPr>
                  <w:rFonts w:ascii="Calibri" w:hAnsi="Calibri" w:cs="Calibri"/>
                  <w:sz w:val="18"/>
                  <w:color w:val="1155CC"/>
                  <w:u w:val="single"/>
                </w:rPr>
                <w:t xml:space="preserve">ijord.com — AA observational study, South India</w:t>
              </w:r>
            </w:hyperlink>
          </w:p>
          <w:p>
            <w:pPr>
              <w:spacing w:before="60" w:after="40"/>
            </w:pPr>
            <w:r>
              <w:rPr>
                <w:rFonts w:ascii="Calibri" w:hAnsi="Calibri"/>
                <w:b w:val="0"/>
                <w:i w:val="0"/>
                <w:color w:val="5A5A5A"/>
                <w:sz w:val="18"/>
              </w:rPr>
              <w:t>#vitiligo  #autoimmune  #melanocyte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&amp; anxiety</w:t>
            </w:r>
          </w:p>
        </w:tc>
        <w:tc>
          <w:tcPr>
            <w:tcW w:type="dxa" w:w="2160"/>
            <w:vAlign w:val="top"/>
          </w:tcPr>
          <w:p>
            <w:pPr>
              <w:spacing w:after="40" w:before="0" w:line="259" w:lineRule="auto"/>
            </w:pPr>
            <w:r>
              <w:rPr>
                <w:rFonts w:ascii="Calibri" w:hAnsi="Calibri"/>
                <w:b w:val="0"/>
                <w:i w:val="0"/>
                <w:color w:val="212121"/>
                <w:sz w:val="19"/>
              </w:rPr>
              <w:t>Patients with mood/anxiety disorders</w:t>
            </w:r>
          </w:p>
        </w:tc>
        <w:tc>
          <w:tcPr>
            <w:tcW w:type="dxa" w:w="4276"/>
            <w:vAlign w:val="top"/>
          </w:tcPr>
          <w:p>
            <w:pPr>
              <w:spacing w:after="60" w:line="259" w:lineRule="auto"/>
            </w:pPr>
            <w:r>
              <w:rPr>
                <w:rFonts w:ascii="Calibri" w:hAnsi="Calibri"/>
                <w:b w:val="0"/>
                <w:i w:val="0"/>
                <w:color w:val="212121"/>
                <w:sz w:val="19"/>
              </w:rPr>
              <w:t>Visible, unpredictable hair loss carries a heavy psychosocial burden; depression and anxiety are both more common in AA and can act as triggers, creating a bidirectional loop that affects adherence and outcomes.</w:t>
            </w:r>
          </w:p>
          <w:p>
            <w:pPr>
              <w:spacing w:after="40" w:before="60" w:line="259" w:lineRule="auto"/>
            </w:pPr>
            <w:r>
              <w:rPr>
                <w:rFonts w:ascii="Calibri" w:hAnsi="Calibri"/>
                <w:b w:val="0"/>
                <w:i w:val="0"/>
                <w:color w:val="212121"/>
                <w:sz w:val="19"/>
              </w:rPr>
              <w:t>Meta-analysis confirms significantly more anxiety and depression symptoms in adults with AA and a moderate impact on quality of life.</w:t>
            </w:r>
          </w:p>
          <w:p>
            <w:pPr>
              <w:spacing w:after="40" w:line="252" w:lineRule="auto"/>
            </w:pPr>
            <w:hyperlink r:id="rId12">
              <w:r>
                <w:rPr>
                  <w:rFonts w:ascii="Calibri" w:hAnsi="Calibri" w:cs="Calibri"/>
                  <w:sz w:val="18"/>
                  <w:color w:val="1155CC"/>
                  <w:u w:val="single"/>
                </w:rPr>
                <w:t xml:space="preserve">pubmed — anxiety/depression in AA: meta-analysis</w:t>
              </w:r>
            </w:hyperlink>
          </w:p>
          <w:p>
            <w:pPr>
              <w:spacing w:before="60" w:after="40"/>
            </w:pPr>
            <w:r>
              <w:rPr>
                <w:rFonts w:ascii="Calibri" w:hAnsi="Calibri"/>
                <w:b w:val="0"/>
                <w:i w:val="0"/>
                <w:color w:val="5A5A5A"/>
                <w:sz w:val="18"/>
              </w:rPr>
              <w:t>#depression  #anxiety  #qualityoflife  #bidirectional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to alopecia areata onset, but regular activity lowers stress and systemic inflammation, which may modestly support the disease course and mental wellbeing.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Micronutrient status matters: low serum vitamin D (very common in India), and in some patients iron and zinc, is associated with the presence and severity of AA, though a balanced diet is supportive rather than curative.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sleep and circadian disruption raise cortisol and pro-inflammatory tone, which can lower the threshold for autoimmune follicular attack and impair regrowth.</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Tobacco-related oxidative stress is a proposed aggravating factor for autoimmune skin disease; the association with AA is weaker and less consistent than for other conditions.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role in AA; heavy use may worsen nutritional status, sleep and mental health, indirectly affecting the course.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Psychological stress is a recognised trigger and AA in turn causes significant anxiety, depression and reduced quality of life — a strong bidirectional relationship confirmed by meta-analysis.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Hydration has no established role in the onset or course of alopecia areata.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systemic effect on AA; topical caffeine has been studied for androgenetic hair loss, not autoimmune alopecia.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Scalp hygiene does not cause or cure AA, but gentle hair care avoids additional trauma and helps distinguish AA from tinea capitis and other scalp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emotional or physical stress, infection, vaccination and local trauma are frequently reported to precipitate or extend patches in genetically susceptible individuals.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 vitamin D (ng/mL)</w:t>
            </w:r>
          </w:p>
        </w:tc>
        <w:tc>
          <w:tcPr>
            <w:tcW w:type="dxa" w:w="1655"/>
            <w:vAlign w:val="top"/>
          </w:tcPr>
          <w:p>
            <w:pPr>
              <w:spacing w:after="40" w:before="0" w:line="259" w:lineRule="auto"/>
            </w:pPr>
            <w:r>
              <w:rPr>
                <w:rFonts w:ascii="Calibri" w:hAnsi="Calibri"/>
                <w:b w:val="0"/>
                <w:i w:val="0"/>
                <w:color w:val="212121"/>
                <w:sz w:val="19"/>
              </w:rPr>
              <w:t>AA patients, indoor/veiled lifestyles, vegetarians</w:t>
            </w:r>
          </w:p>
        </w:tc>
        <w:tc>
          <w:tcPr>
            <w:tcW w:type="dxa" w:w="1512"/>
            <w:vAlign w:val="top"/>
          </w:tcPr>
          <w:p>
            <w:pPr>
              <w:spacing w:after="40" w:before="0" w:line="259" w:lineRule="auto"/>
            </w:pPr>
            <w:r>
              <w:rPr>
                <w:rFonts w:ascii="Calibri" w:hAnsi="Calibri"/>
                <w:b w:val="0"/>
                <w:i w:val="0"/>
                <w:color w:val="212121"/>
                <w:sz w:val="19"/>
              </w:rPr>
              <w:t>≥ 30 ng/mL (sufficient)</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Deficiency associated with AA and with higher SALT severity; correct if low</w:t>
            </w:r>
          </w:p>
          <w:p>
            <w:pPr>
              <w:spacing w:after="40" w:line="252" w:lineRule="auto"/>
            </w:pPr>
            <w:hyperlink r:id="rId13">
              <w:r>
                <w:rPr>
                  <w:rFonts w:ascii="Calibri" w:hAnsi="Calibri" w:cs="Calibri"/>
                  <w:sz w:val="18"/>
                  <w:color w:val="1155CC"/>
                  <w:u w:val="single"/>
                </w:rPr>
                <w:t xml:space="preserve">https://pubmed.ncbi.nlm.nih.gov/30775298/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(ng/mL)</w:t>
            </w:r>
          </w:p>
        </w:tc>
        <w:tc>
          <w:tcPr>
            <w:tcW w:type="dxa" w:w="1655"/>
            <w:vAlign w:val="top"/>
          </w:tcPr>
          <w:p>
            <w:pPr>
              <w:spacing w:after="40" w:before="0" w:line="259" w:lineRule="auto"/>
            </w:pPr>
            <w:r>
              <w:rPr>
                <w:rFonts w:ascii="Calibri" w:hAnsi="Calibri"/>
                <w:b w:val="0"/>
                <w:i w:val="0"/>
                <w:color w:val="212121"/>
                <w:sz w:val="19"/>
              </w:rPr>
              <w:t>Menstruating women, vegetarians, extensive AA</w:t>
            </w:r>
          </w:p>
        </w:tc>
        <w:tc>
          <w:tcPr>
            <w:tcW w:type="dxa" w:w="1512"/>
            <w:vAlign w:val="top"/>
          </w:tcPr>
          <w:p>
            <w:pPr>
              <w:spacing w:after="40" w:before="0" w:line="259" w:lineRule="auto"/>
            </w:pPr>
            <w:r>
              <w:rPr>
                <w:rFonts w:ascii="Calibri" w:hAnsi="Calibri"/>
                <w:b w:val="0"/>
                <w:i w:val="0"/>
                <w:color w:val="212121"/>
                <w:sz w:val="19"/>
              </w:rPr>
              <w:t>≥ 30-70 ng/mL</w:t>
            </w:r>
          </w:p>
        </w:tc>
        <w:tc>
          <w:tcPr>
            <w:tcW w:type="dxa" w:w="1512"/>
            <w:vAlign w:val="top"/>
          </w:tcPr>
          <w:p>
            <w:pPr>
              <w:spacing w:after="40" w:before="0" w:line="259" w:lineRule="auto"/>
            </w:pPr>
            <w:r>
              <w:rPr>
                <w:rFonts w:ascii="Calibri" w:hAnsi="Calibri"/>
                <w:b w:val="0"/>
                <w:i w:val="0"/>
                <w:color w:val="212121"/>
                <w:sz w:val="19"/>
              </w:rPr>
              <w:t>&lt; 30 ng/mL</w:t>
            </w:r>
          </w:p>
        </w:tc>
        <w:tc>
          <w:tcPr>
            <w:tcW w:type="dxa" w:w="1468"/>
            <w:vAlign w:val="top"/>
          </w:tcPr>
          <w:p>
            <w:pPr>
              <w:spacing w:after="40" w:before="0" w:line="259" w:lineRule="auto"/>
            </w:pPr>
            <w:r>
              <w:rPr>
                <w:rFonts w:ascii="Calibri" w:hAnsi="Calibri"/>
                <w:b w:val="0"/>
                <w:i w:val="0"/>
                <w:color w:val="212121"/>
                <w:sz w:val="19"/>
              </w:rPr>
              <w:t>Low iron stores may aggravate hair shedding; correct alongside AA treatment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zinc (µg/dL)</w:t>
            </w:r>
          </w:p>
        </w:tc>
        <w:tc>
          <w:tcPr>
            <w:tcW w:type="dxa" w:w="1655"/>
            <w:vAlign w:val="top"/>
          </w:tcPr>
          <w:p>
            <w:pPr>
              <w:spacing w:after="40" w:before="0" w:line="259" w:lineRule="auto"/>
            </w:pPr>
            <w:r>
              <w:rPr>
                <w:rFonts w:ascii="Calibri" w:hAnsi="Calibri"/>
                <w:b w:val="0"/>
                <w:i w:val="0"/>
                <w:color w:val="212121"/>
                <w:sz w:val="19"/>
              </w:rPr>
              <w:t>Refractory or extensive AA</w:t>
            </w:r>
          </w:p>
        </w:tc>
        <w:tc>
          <w:tcPr>
            <w:tcW w:type="dxa" w:w="1512"/>
            <w:vAlign w:val="top"/>
          </w:tcPr>
          <w:p>
            <w:pPr>
              <w:spacing w:after="40" w:before="0" w:line="259" w:lineRule="auto"/>
            </w:pPr>
            <w:r>
              <w:rPr>
                <w:rFonts w:ascii="Calibri" w:hAnsi="Calibri"/>
                <w:b w:val="0"/>
                <w:i w:val="0"/>
                <w:color w:val="212121"/>
                <w:sz w:val="19"/>
              </w:rPr>
              <w:t>70-120 µg/dL</w:t>
            </w:r>
          </w:p>
        </w:tc>
        <w:tc>
          <w:tcPr>
            <w:tcW w:type="dxa" w:w="1512"/>
            <w:vAlign w:val="top"/>
          </w:tcPr>
          <w:p>
            <w:pPr>
              <w:spacing w:after="40" w:before="0" w:line="259" w:lineRule="auto"/>
            </w:pPr>
            <w:r>
              <w:rPr>
                <w:rFonts w:ascii="Calibri" w:hAnsi="Calibri"/>
                <w:b w:val="0"/>
                <w:i w:val="0"/>
                <w:color w:val="212121"/>
                <w:sz w:val="19"/>
              </w:rPr>
              <w:t>&lt; 70 µg/dL</w:t>
            </w:r>
          </w:p>
        </w:tc>
        <w:tc>
          <w:tcPr>
            <w:tcW w:type="dxa" w:w="1468"/>
            <w:vAlign w:val="top"/>
          </w:tcPr>
          <w:p>
            <w:pPr>
              <w:spacing w:after="40" w:before="0" w:line="259" w:lineRule="auto"/>
            </w:pPr>
            <w:r>
              <w:rPr>
                <w:rFonts w:ascii="Calibri" w:hAnsi="Calibri"/>
                <w:b w:val="0"/>
                <w:i w:val="0"/>
                <w:color w:val="212121"/>
                <w:sz w:val="19"/>
              </w:rPr>
              <w:t>Zinc supports keratinocyte and immune function; supplement if deficient</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Scale / DLQI</w:t>
            </w:r>
          </w:p>
        </w:tc>
        <w:tc>
          <w:tcPr>
            <w:tcW w:type="dxa" w:w="1655"/>
            <w:vAlign w:val="top"/>
          </w:tcPr>
          <w:p>
            <w:pPr>
              <w:spacing w:after="40" w:before="0" w:line="259" w:lineRule="auto"/>
            </w:pPr>
            <w:r>
              <w:rPr>
                <w:rFonts w:ascii="Calibri" w:hAnsi="Calibri"/>
                <w:b w:val="0"/>
                <w:i w:val="0"/>
                <w:color w:val="212121"/>
                <w:sz w:val="19"/>
              </w:rPr>
              <w:t>All AA patients</w:t>
            </w:r>
          </w:p>
        </w:tc>
        <w:tc>
          <w:tcPr>
            <w:tcW w:type="dxa" w:w="1512"/>
            <w:vAlign w:val="top"/>
          </w:tcPr>
          <w:p>
            <w:pPr>
              <w:spacing w:after="40" w:before="0" w:line="259" w:lineRule="auto"/>
            </w:pPr>
            <w:r>
              <w:rPr>
                <w:rFonts w:ascii="Calibri" w:hAnsi="Calibri"/>
                <w:b w:val="0"/>
                <w:i w:val="0"/>
                <w:color w:val="212121"/>
                <w:sz w:val="19"/>
              </w:rPr>
              <w:t>Low perceived stress; DLQI 0-1 (no QoL impact)</w:t>
            </w:r>
          </w:p>
        </w:tc>
        <w:tc>
          <w:tcPr>
            <w:tcW w:type="dxa" w:w="1512"/>
            <w:vAlign w:val="top"/>
          </w:tcPr>
          <w:p>
            <w:pPr>
              <w:spacing w:after="40" w:before="0" w:line="259" w:lineRule="auto"/>
            </w:pPr>
            <w:r>
              <w:rPr>
                <w:rFonts w:ascii="Calibri" w:hAnsi="Calibri"/>
                <w:b w:val="0"/>
                <w:i w:val="0"/>
                <w:color w:val="212121"/>
                <w:sz w:val="19"/>
              </w:rPr>
              <w:t>High stress; DLQI ≥ 6 (moderate-severe impact)</w:t>
            </w:r>
          </w:p>
        </w:tc>
        <w:tc>
          <w:tcPr>
            <w:tcW w:type="dxa" w:w="1468"/>
            <w:vAlign w:val="top"/>
          </w:tcPr>
          <w:p>
            <w:pPr>
              <w:spacing w:after="60" w:line="259" w:lineRule="auto"/>
            </w:pPr>
            <w:r>
              <w:rPr>
                <w:rFonts w:ascii="Calibri" w:hAnsi="Calibri"/>
                <w:b w:val="0"/>
                <w:i w:val="0"/>
                <w:color w:val="212121"/>
                <w:sz w:val="19"/>
              </w:rPr>
              <w:t>Screen at every visit; higher scores warrant psychological support</w:t>
            </w:r>
          </w:p>
          <w:p>
            <w:pPr>
              <w:spacing w:after="40" w:line="252" w:lineRule="auto"/>
            </w:pPr>
            <w:hyperlink r:id="rId12">
              <w:r>
                <w:rPr>
                  <w:rFonts w:ascii="Calibri" w:hAnsi="Calibri" w:cs="Calibri"/>
                  <w:sz w:val="18"/>
                  <w:color w:val="1155CC"/>
                  <w:u w:val="single"/>
                </w:rPr>
                <w:t xml:space="preserve">https://pubmed.ncbi.nlm.nih.gov/36523776/</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shift workers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Poor sleep raises cortisol/inflammatory tone that may aggravate autoimmunity</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All AA patients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Aids stress and inflammation control; adjunctive, not curative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TSH (mIU/L)</w:t>
            </w:r>
          </w:p>
        </w:tc>
        <w:tc>
          <w:tcPr>
            <w:tcW w:type="dxa" w:w="1655"/>
            <w:vAlign w:val="top"/>
          </w:tcPr>
          <w:p>
            <w:pPr>
              <w:spacing w:after="40" w:before="0" w:line="259" w:lineRule="auto"/>
            </w:pPr>
            <w:r>
              <w:rPr>
                <w:rFonts w:ascii="Calibri" w:hAnsi="Calibri"/>
                <w:b w:val="0"/>
                <w:i w:val="0"/>
                <w:color w:val="212121"/>
                <w:sz w:val="19"/>
              </w:rPr>
              <w:t>AA patients (screening for autoimmune thyroid disease)</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&lt; 0.4 or &gt; 4.0 mIU/L</w:t>
            </w:r>
          </w:p>
        </w:tc>
        <w:tc>
          <w:tcPr>
            <w:tcW w:type="dxa" w:w="1468"/>
            <w:vAlign w:val="top"/>
          </w:tcPr>
          <w:p>
            <w:pPr>
              <w:spacing w:after="60" w:line="259" w:lineRule="auto"/>
            </w:pPr>
            <w:r>
              <w:rPr>
                <w:rFonts w:ascii="Calibri" w:hAnsi="Calibri"/>
                <w:b w:val="0"/>
                <w:i w:val="0"/>
                <w:color w:val="212121"/>
                <w:sz w:val="19"/>
              </w:rPr>
              <w:t>Screen for coexisting thyroid disease; add anti-TPO if abnormal or extensive AA</w:t>
            </w:r>
          </w:p>
          <w:p>
            <w:pPr>
              <w:spacing w:after="40" w:line="252" w:lineRule="auto"/>
            </w:pPr>
            <w:hyperlink r:id="rId14">
              <w:r>
                <w:rPr>
                  <w:rFonts w:ascii="Calibri" w:hAnsi="Calibri" w:cs="Calibri"/>
                  <w:sz w:val="18"/>
                  <w:color w:val="1155CC"/>
                  <w:u w:val="single"/>
                </w:rPr>
                <w:t xml:space="preserve">https://www.frontiersin.org/journals/endocrinology/articles/10.3389/fendo.2024.1440941/full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SALT score (% scalp hair loss)</w:t>
            </w:r>
          </w:p>
        </w:tc>
        <w:tc>
          <w:tcPr>
            <w:tcW w:type="dxa" w:w="1655"/>
            <w:vAlign w:val="top"/>
          </w:tcPr>
          <w:p>
            <w:pPr>
              <w:spacing w:after="40" w:before="0" w:line="259" w:lineRule="auto"/>
            </w:pPr>
            <w:r>
              <w:rPr>
                <w:rFonts w:ascii="Calibri" w:hAnsi="Calibri"/>
                <w:b w:val="0"/>
                <w:i w:val="0"/>
                <w:color w:val="212121"/>
                <w:sz w:val="19"/>
              </w:rPr>
              <w:t>AA patients (severity staging)</w:t>
            </w:r>
          </w:p>
        </w:tc>
        <w:tc>
          <w:tcPr>
            <w:tcW w:type="dxa" w:w="1512"/>
            <w:vAlign w:val="top"/>
          </w:tcPr>
          <w:p>
            <w:pPr>
              <w:spacing w:after="40" w:before="0" w:line="259" w:lineRule="auto"/>
            </w:pPr>
            <w:r>
              <w:rPr>
                <w:rFonts w:ascii="Calibri" w:hAnsi="Calibri"/>
                <w:b w:val="0"/>
                <w:i w:val="0"/>
                <w:color w:val="212121"/>
                <w:sz w:val="19"/>
              </w:rPr>
              <w:t>0 (no loss)</w:t>
            </w:r>
          </w:p>
        </w:tc>
        <w:tc>
          <w:tcPr>
            <w:tcW w:type="dxa" w:w="1512"/>
            <w:vAlign w:val="top"/>
          </w:tcPr>
          <w:p>
            <w:pPr>
              <w:spacing w:after="40" w:before="0" w:line="259" w:lineRule="auto"/>
            </w:pPr>
            <w:r>
              <w:rPr>
                <w:rFonts w:ascii="Calibri" w:hAnsi="Calibri"/>
                <w:b w:val="0"/>
                <w:i w:val="0"/>
                <w:color w:val="212121"/>
                <w:sz w:val="19"/>
              </w:rPr>
              <w:t>&gt; 50 = severe; 100 = totalis</w:t>
            </w:r>
          </w:p>
        </w:tc>
        <w:tc>
          <w:tcPr>
            <w:tcW w:type="dxa" w:w="1468"/>
            <w:vAlign w:val="top"/>
          </w:tcPr>
          <w:p>
            <w:pPr>
              <w:spacing w:after="40" w:before="0" w:line="259" w:lineRule="auto"/>
            </w:pPr>
            <w:r>
              <w:rPr>
                <w:rFonts w:ascii="Calibri" w:hAnsi="Calibri"/>
                <w:b w:val="0"/>
                <w:i w:val="0"/>
                <w:color w:val="212121"/>
                <w:sz w:val="19"/>
              </w:rPr>
              <w:t>Objective severity/response tool guiding systemic and JAK-inhibitor therapy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smokers with AA</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Oxidative stress may aggravate autoimmune skin disease; cessation advised</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&lt; 0.4 or &gt; 4.0 mIU/L</w:t>
            </w:r>
          </w:p>
        </w:tc>
        <w:tc>
          <w:tcPr>
            <w:tcW w:type="dxa" w:w="1036"/>
            <w:vAlign w:val="top"/>
          </w:tcPr>
          <w:p>
            <w:pPr>
              <w:spacing w:after="40" w:before="0" w:line="259" w:lineRule="auto"/>
            </w:pPr>
            <w:r>
              <w:rPr>
                <w:rFonts w:ascii="Calibri" w:hAnsi="Calibri"/>
                <w:b w:val="0"/>
                <w:i w:val="0"/>
                <w:color w:val="212121"/>
                <w:sz w:val="16"/>
              </w:rPr>
              <w:t>Screens for coexisting autoimmune thyroid disease, common in AA</w:t>
            </w:r>
          </w:p>
        </w:tc>
        <w:tc>
          <w:tcPr>
            <w:tcW w:type="dxa" w:w="1036"/>
            <w:vAlign w:val="top"/>
          </w:tcPr>
          <w:p>
            <w:pPr>
              <w:spacing w:after="40" w:before="0" w:line="259" w:lineRule="auto"/>
            </w:pPr>
            <w:r>
              <w:rPr>
                <w:rFonts w:ascii="Calibri" w:hAnsi="Calibri"/>
                <w:b w:val="0"/>
                <w:i w:val="0"/>
                <w:color w:val="212121"/>
                <w:sz w:val="16"/>
              </w:rPr>
              <w:t>All AA patients, especially extensive/early-onset, family history of thyroid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First-line autoimmune screen in AA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Anti-thyroid peroxidase (anti-TPO) antibody</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&lt; 35 IU/mL (negative)</w:t>
            </w:r>
          </w:p>
        </w:tc>
        <w:tc>
          <w:tcPr>
            <w:tcW w:type="dxa" w:w="950"/>
            <w:vAlign w:val="top"/>
          </w:tcPr>
          <w:p>
            <w:pPr>
              <w:spacing w:after="40" w:before="0" w:line="259" w:lineRule="auto"/>
            </w:pPr>
            <w:r>
              <w:rPr>
                <w:rFonts w:ascii="Calibri" w:hAnsi="Calibri"/>
                <w:b w:val="0"/>
                <w:i w:val="0"/>
                <w:color w:val="212121"/>
                <w:sz w:val="16"/>
              </w:rPr>
              <w:t>≥ 35 IU/mL (positive)</w:t>
            </w:r>
          </w:p>
        </w:tc>
        <w:tc>
          <w:tcPr>
            <w:tcW w:type="dxa" w:w="1036"/>
            <w:vAlign w:val="top"/>
          </w:tcPr>
          <w:p>
            <w:pPr>
              <w:spacing w:after="40" w:before="0" w:line="259" w:lineRule="auto"/>
            </w:pPr>
            <w:r>
              <w:rPr>
                <w:rFonts w:ascii="Calibri" w:hAnsi="Calibri"/>
                <w:b w:val="0"/>
                <w:i w:val="0"/>
                <w:color w:val="212121"/>
                <w:sz w:val="16"/>
              </w:rPr>
              <w:t>Confirms autoimmune thyroiditis even when TSH is normal</w:t>
            </w:r>
          </w:p>
        </w:tc>
        <w:tc>
          <w:tcPr>
            <w:tcW w:type="dxa" w:w="1036"/>
            <w:vAlign w:val="top"/>
          </w:tcPr>
          <w:p>
            <w:pPr>
              <w:spacing w:after="40" w:before="0" w:line="259" w:lineRule="auto"/>
            </w:pPr>
            <w:r>
              <w:rPr>
                <w:rFonts w:ascii="Calibri" w:hAnsi="Calibri"/>
                <w:b w:val="0"/>
                <w:i w:val="0"/>
                <w:color w:val="212121"/>
                <w:sz w:val="16"/>
              </w:rPr>
              <w:t>AA with abnormal TSH, extensive disease, or thyroid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Add when TSH abnormal or disease extensive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Deficiency associated with AA presence and greater SALT severity</w:t>
            </w:r>
          </w:p>
        </w:tc>
        <w:tc>
          <w:tcPr>
            <w:tcW w:type="dxa" w:w="1036"/>
            <w:vAlign w:val="top"/>
          </w:tcPr>
          <w:p>
            <w:pPr>
              <w:spacing w:after="40" w:before="0" w:line="259" w:lineRule="auto"/>
            </w:pPr>
            <w:r>
              <w:rPr>
                <w:rFonts w:ascii="Calibri" w:hAnsi="Calibri"/>
                <w:b w:val="0"/>
                <w:i w:val="0"/>
                <w:color w:val="212121"/>
                <w:sz w:val="16"/>
              </w:rPr>
              <w:t>AA patients, indoor/veiled lifestyles, vegetarians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deficiency; inverse correlation with severity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&amp; serum ferritin</w:t>
            </w:r>
          </w:p>
        </w:tc>
        <w:tc>
          <w:tcPr>
            <w:tcW w:type="dxa" w:w="892"/>
            <w:vAlign w:val="top"/>
          </w:tcPr>
          <w:p>
            <w:pPr>
              <w:spacing w:after="40" w:before="0" w:line="259" w:lineRule="auto"/>
            </w:pPr>
            <w:r>
              <w:rPr>
                <w:rFonts w:ascii="Calibri" w:hAnsi="Calibri"/>
                <w:b w:val="0"/>
                <w:i w:val="0"/>
                <w:color w:val="212121"/>
                <w:sz w:val="16"/>
              </w:rPr>
              <w:t>CBC / iron studies</w:t>
            </w:r>
          </w:p>
        </w:tc>
        <w:tc>
          <w:tcPr>
            <w:tcW w:type="dxa" w:w="950"/>
            <w:vAlign w:val="top"/>
          </w:tcPr>
          <w:p>
            <w:pPr>
              <w:spacing w:after="40" w:before="0" w:line="259" w:lineRule="auto"/>
            </w:pPr>
            <w:r>
              <w:rPr>
                <w:rFonts w:ascii="Calibri" w:hAnsi="Calibri"/>
                <w:b w:val="0"/>
                <w:i w:val="0"/>
                <w:color w:val="212121"/>
                <w:sz w:val="16"/>
              </w:rPr>
              <w:t>Ferritin ≥ 30 ng/mL</w:t>
            </w:r>
          </w:p>
        </w:tc>
        <w:tc>
          <w:tcPr>
            <w:tcW w:type="dxa" w:w="950"/>
            <w:vAlign w:val="top"/>
          </w:tcPr>
          <w:p>
            <w:pPr>
              <w:spacing w:after="40" w:before="0" w:line="259" w:lineRule="auto"/>
            </w:pPr>
            <w:r>
              <w:rPr>
                <w:rFonts w:ascii="Calibri" w:hAnsi="Calibri"/>
                <w:b w:val="0"/>
                <w:i w:val="0"/>
                <w:color w:val="212121"/>
                <w:sz w:val="16"/>
              </w:rPr>
              <w:t>Ferritin &lt; 30 ng/mL</w:t>
            </w:r>
          </w:p>
        </w:tc>
        <w:tc>
          <w:tcPr>
            <w:tcW w:type="dxa" w:w="1036"/>
            <w:vAlign w:val="top"/>
          </w:tcPr>
          <w:p>
            <w:pPr>
              <w:spacing w:after="40" w:before="0" w:line="259" w:lineRule="auto"/>
            </w:pPr>
            <w:r>
              <w:rPr>
                <w:rFonts w:ascii="Calibri" w:hAnsi="Calibri"/>
                <w:b w:val="0"/>
                <w:i w:val="0"/>
                <w:color w:val="212121"/>
                <w:sz w:val="16"/>
              </w:rPr>
              <w:t>Detects iron-deficiency contribution to hair shedding</w:t>
            </w:r>
          </w:p>
        </w:tc>
        <w:tc>
          <w:tcPr>
            <w:tcW w:type="dxa" w:w="1036"/>
            <w:vAlign w:val="top"/>
          </w:tcPr>
          <w:p>
            <w:pPr>
              <w:spacing w:after="40" w:before="0" w:line="259" w:lineRule="auto"/>
            </w:pPr>
            <w:r>
              <w:rPr>
                <w:rFonts w:ascii="Calibri" w:hAnsi="Calibri"/>
                <w:b w:val="0"/>
                <w:i w:val="0"/>
                <w:color w:val="212121"/>
                <w:sz w:val="16"/>
              </w:rPr>
              <w:t>Menstruating women, vegetarians, extensive AA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low iron stores alongside AA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zinc</w:t>
            </w:r>
          </w:p>
        </w:tc>
        <w:tc>
          <w:tcPr>
            <w:tcW w:type="dxa" w:w="892"/>
            <w:vAlign w:val="top"/>
          </w:tcPr>
          <w:p>
            <w:pPr>
              <w:spacing w:after="40" w:before="0" w:line="259" w:lineRule="auto"/>
            </w:pPr>
            <w:r>
              <w:rPr>
                <w:rFonts w:ascii="Calibri" w:hAnsi="Calibri"/>
                <w:b w:val="0"/>
                <w:i w:val="0"/>
                <w:color w:val="212121"/>
                <w:sz w:val="16"/>
              </w:rPr>
              <w:t>Trace-element assay</w:t>
            </w:r>
          </w:p>
        </w:tc>
        <w:tc>
          <w:tcPr>
            <w:tcW w:type="dxa" w:w="950"/>
            <w:vAlign w:val="top"/>
          </w:tcPr>
          <w:p>
            <w:pPr>
              <w:spacing w:after="40" w:before="0" w:line="259" w:lineRule="auto"/>
            </w:pPr>
            <w:r>
              <w:rPr>
                <w:rFonts w:ascii="Calibri" w:hAnsi="Calibri"/>
                <w:b w:val="0"/>
                <w:i w:val="0"/>
                <w:color w:val="212121"/>
                <w:sz w:val="16"/>
              </w:rPr>
              <w:t>70-120 µg/dL</w:t>
            </w:r>
          </w:p>
        </w:tc>
        <w:tc>
          <w:tcPr>
            <w:tcW w:type="dxa" w:w="950"/>
            <w:vAlign w:val="top"/>
          </w:tcPr>
          <w:p>
            <w:pPr>
              <w:spacing w:after="40" w:before="0" w:line="259" w:lineRule="auto"/>
            </w:pPr>
            <w:r>
              <w:rPr>
                <w:rFonts w:ascii="Calibri" w:hAnsi="Calibri"/>
                <w:b w:val="0"/>
                <w:i w:val="0"/>
                <w:color w:val="212121"/>
                <w:sz w:val="16"/>
              </w:rPr>
              <w:t>&lt; 70 µg/dL</w:t>
            </w:r>
          </w:p>
        </w:tc>
        <w:tc>
          <w:tcPr>
            <w:tcW w:type="dxa" w:w="1036"/>
            <w:vAlign w:val="top"/>
          </w:tcPr>
          <w:p>
            <w:pPr>
              <w:spacing w:after="40" w:before="0" w:line="259" w:lineRule="auto"/>
            </w:pPr>
            <w:r>
              <w:rPr>
                <w:rFonts w:ascii="Calibri" w:hAnsi="Calibri"/>
                <w:b w:val="0"/>
                <w:i w:val="0"/>
                <w:color w:val="212121"/>
                <w:sz w:val="16"/>
              </w:rPr>
              <w:t>Deficiency may contribute to refractory or extensive disease</w:t>
            </w:r>
          </w:p>
        </w:tc>
        <w:tc>
          <w:tcPr>
            <w:tcW w:type="dxa" w:w="1036"/>
            <w:vAlign w:val="top"/>
          </w:tcPr>
          <w:p>
            <w:pPr>
              <w:spacing w:after="40" w:before="0" w:line="259" w:lineRule="auto"/>
            </w:pPr>
            <w:r>
              <w:rPr>
                <w:rFonts w:ascii="Calibri" w:hAnsi="Calibri"/>
                <w:b w:val="0"/>
                <w:i w:val="0"/>
                <w:color w:val="212121"/>
                <w:sz w:val="16"/>
              </w:rPr>
              <w:t>Refractory/extensive AA, poor dietary intake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Supplement if deficient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Antinuclear antibody (ANA) / autoimmune screen</w:t>
            </w:r>
          </w:p>
        </w:tc>
        <w:tc>
          <w:tcPr>
            <w:tcW w:type="dxa" w:w="892"/>
            <w:vAlign w:val="top"/>
          </w:tcPr>
          <w:p>
            <w:pPr>
              <w:spacing w:after="40" w:before="0" w:line="259" w:lineRule="auto"/>
            </w:pPr>
            <w:r>
              <w:rPr>
                <w:rFonts w:ascii="Calibri" w:hAnsi="Calibri"/>
                <w:b w:val="0"/>
                <w:i w:val="0"/>
                <w:color w:val="212121"/>
                <w:sz w:val="16"/>
              </w:rPr>
              <w:t>Autoantibody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titre</w:t>
            </w:r>
          </w:p>
        </w:tc>
        <w:tc>
          <w:tcPr>
            <w:tcW w:type="dxa" w:w="1036"/>
            <w:vAlign w:val="top"/>
          </w:tcPr>
          <w:p>
            <w:pPr>
              <w:spacing w:after="40" w:before="0" w:line="259" w:lineRule="auto"/>
            </w:pPr>
            <w:r>
              <w:rPr>
                <w:rFonts w:ascii="Calibri" w:hAnsi="Calibri"/>
                <w:b w:val="0"/>
                <w:i w:val="0"/>
                <w:color w:val="212121"/>
                <w:sz w:val="16"/>
              </w:rPr>
              <w:t>Screens for associated organ-/non-organ-specific autoimmunity in extensive disease</w:t>
            </w:r>
          </w:p>
        </w:tc>
        <w:tc>
          <w:tcPr>
            <w:tcW w:type="dxa" w:w="1036"/>
            <w:vAlign w:val="top"/>
          </w:tcPr>
          <w:p>
            <w:pPr>
              <w:spacing w:after="40" w:before="0" w:line="259" w:lineRule="auto"/>
            </w:pPr>
            <w:r>
              <w:rPr>
                <w:rFonts w:ascii="Calibri" w:hAnsi="Calibri"/>
                <w:b w:val="0"/>
                <w:i w:val="0"/>
                <w:color w:val="212121"/>
                <w:sz w:val="16"/>
              </w:rPr>
              <w:t>Extensive AA, alopecia totalis/universalis, features of connective-tissue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when clinically indicated, not routine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Screens for type 1 diabetes and other autoimmune endocrinopathy</w:t>
            </w:r>
          </w:p>
        </w:tc>
        <w:tc>
          <w:tcPr>
            <w:tcW w:type="dxa" w:w="1036"/>
            <w:vAlign w:val="top"/>
          </w:tcPr>
          <w:p>
            <w:pPr>
              <w:spacing w:after="40" w:before="0" w:line="259" w:lineRule="auto"/>
            </w:pPr>
            <w:r>
              <w:rPr>
                <w:rFonts w:ascii="Calibri" w:hAnsi="Calibri"/>
                <w:b w:val="0"/>
                <w:i w:val="0"/>
                <w:color w:val="212121"/>
                <w:sz w:val="16"/>
              </w:rPr>
              <w:t>AA with family history of autoimmunity, symptoms of diabetes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Consider in autoimmune-clustered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Scalp punch biopsy</w:t>
            </w:r>
          </w:p>
        </w:tc>
        <w:tc>
          <w:tcPr>
            <w:tcW w:type="dxa" w:w="892"/>
            <w:vAlign w:val="top"/>
          </w:tcPr>
          <w:p>
            <w:pPr>
              <w:spacing w:after="40" w:before="0" w:line="259" w:lineRule="auto"/>
            </w:pPr>
            <w:r>
              <w:rPr>
                <w:rFonts w:ascii="Calibri" w:hAnsi="Calibri"/>
                <w:b w:val="0"/>
                <w:i w:val="0"/>
                <w:color w:val="212121"/>
                <w:sz w:val="16"/>
              </w:rPr>
              <w:t>Histopathology (H&amp;E, horizontal sections)</w:t>
            </w:r>
          </w:p>
        </w:tc>
        <w:tc>
          <w:tcPr>
            <w:tcW w:type="dxa" w:w="950"/>
            <w:vAlign w:val="top"/>
          </w:tcPr>
          <w:p>
            <w:pPr>
              <w:spacing w:after="40" w:before="0" w:line="259" w:lineRule="auto"/>
            </w:pPr>
            <w:r>
              <w:rPr>
                <w:rFonts w:ascii="Calibri" w:hAnsi="Calibri"/>
                <w:b w:val="0"/>
                <w:i w:val="0"/>
                <w:color w:val="212121"/>
                <w:sz w:val="16"/>
              </w:rPr>
              <w:t>Normal anagen:telogen ratio, no peribulbar infiltrate</w:t>
            </w:r>
          </w:p>
        </w:tc>
        <w:tc>
          <w:tcPr>
            <w:tcW w:type="dxa" w:w="950"/>
            <w:vAlign w:val="top"/>
          </w:tcPr>
          <w:p>
            <w:pPr>
              <w:spacing w:after="40" w:before="0" w:line="259" w:lineRule="auto"/>
            </w:pPr>
            <w:r>
              <w:rPr>
                <w:rFonts w:ascii="Calibri" w:hAnsi="Calibri"/>
                <w:b w:val="0"/>
                <w:i w:val="0"/>
                <w:color w:val="212121"/>
                <w:sz w:val="16"/>
              </w:rPr>
              <w:t>Peribulbar lymphocytic infiltrate (“swarm of bees”), catagen/telogen shift, miniaturisation</w:t>
            </w:r>
          </w:p>
        </w:tc>
        <w:tc>
          <w:tcPr>
            <w:tcW w:type="dxa" w:w="1036"/>
            <w:vAlign w:val="top"/>
          </w:tcPr>
          <w:p>
            <w:pPr>
              <w:spacing w:after="40" w:before="0" w:line="259" w:lineRule="auto"/>
            </w:pPr>
            <w:r>
              <w:rPr>
                <w:rFonts w:ascii="Calibri" w:hAnsi="Calibri"/>
                <w:b w:val="0"/>
                <w:i w:val="0"/>
                <w:color w:val="212121"/>
                <w:sz w:val="16"/>
              </w:rPr>
              <w:t>Confirms AA in atypical or diffuse cases; excludes scarring alopecia and tinea</w:t>
            </w:r>
          </w:p>
        </w:tc>
        <w:tc>
          <w:tcPr>
            <w:tcW w:type="dxa" w:w="1036"/>
            <w:vAlign w:val="top"/>
          </w:tcPr>
          <w:p>
            <w:pPr>
              <w:spacing w:after="40" w:before="0" w:line="259" w:lineRule="auto"/>
            </w:pPr>
            <w:r>
              <w:rPr>
                <w:rFonts w:ascii="Calibri" w:hAnsi="Calibri"/>
                <w:b w:val="0"/>
                <w:i w:val="0"/>
                <w:color w:val="212121"/>
                <w:sz w:val="16"/>
              </w:rPr>
              <w:t>Diffuse AA, atypical presentation, 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(selective)</w:t>
            </w:r>
          </w:p>
        </w:tc>
        <w:tc>
          <w:tcPr>
            <w:tcW w:type="dxa" w:w="720"/>
            <w:vAlign w:val="top"/>
          </w:tcPr>
          <w:p>
            <w:pPr>
              <w:spacing w:after="40" w:before="0" w:line="259" w:lineRule="auto"/>
            </w:pPr>
            <w:r>
              <w:rPr>
                <w:rFonts w:ascii="Calibri" w:hAnsi="Calibri"/>
                <w:b w:val="0"/>
                <w:i w:val="0"/>
                <w:color w:val="212121"/>
                <w:sz w:val="16"/>
              </w:rPr>
              <w:t>Reserved for atypical/diffuse disease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Sudden patchy hair loss</w:t>
            </w:r>
          </w:p>
        </w:tc>
        <w:tc>
          <w:tcPr>
            <w:tcW w:type="dxa" w:w="950"/>
            <w:vAlign w:val="top"/>
          </w:tcPr>
          <w:p>
            <w:pPr>
              <w:spacing w:after="40" w:before="0" w:line="259" w:lineRule="auto"/>
            </w:pPr>
            <w:r>
              <w:rPr>
                <w:rFonts w:ascii="Calibri" w:hAnsi="Calibri"/>
                <w:b w:val="0"/>
                <w:i w:val="0"/>
                <w:color w:val="212121"/>
                <w:sz w:val="16"/>
              </w:rPr>
              <w:t>No hair loss</w:t>
            </w:r>
          </w:p>
        </w:tc>
        <w:tc>
          <w:tcPr>
            <w:tcW w:type="dxa" w:w="950"/>
            <w:vAlign w:val="top"/>
          </w:tcPr>
          <w:p>
            <w:pPr>
              <w:spacing w:after="40" w:before="0" w:line="259" w:lineRule="auto"/>
            </w:pPr>
            <w:r>
              <w:rPr>
                <w:rFonts w:ascii="Calibri" w:hAnsi="Calibri"/>
                <w:b w:val="0"/>
                <w:i w:val="0"/>
                <w:color w:val="212121"/>
                <w:sz w:val="16"/>
              </w:rPr>
              <w:t>One or more sudden, smooth bald patches</w:t>
            </w:r>
          </w:p>
        </w:tc>
        <w:tc>
          <w:tcPr>
            <w:tcW w:type="dxa" w:w="1036"/>
            <w:vAlign w:val="top"/>
          </w:tcPr>
          <w:p>
            <w:pPr>
              <w:spacing w:after="40" w:before="0" w:line="259" w:lineRule="auto"/>
            </w:pPr>
            <w:r>
              <w:rPr>
                <w:rFonts w:ascii="Calibri" w:hAnsi="Calibri"/>
                <w:b w:val="0"/>
                <w:i w:val="0"/>
                <w:color w:val="212121"/>
                <w:sz w:val="16"/>
              </w:rPr>
              <w:t>Classic history of rapid, painless, well-circumscribed hair loss</w:t>
            </w:r>
          </w:p>
        </w:tc>
        <w:tc>
          <w:tcPr>
            <w:tcW w:type="dxa" w:w="1036"/>
            <w:vAlign w:val="top"/>
          </w:tcPr>
          <w:p>
            <w:pPr>
              <w:spacing w:after="40" w:before="0" w:line="259" w:lineRule="auto"/>
            </w:pPr>
            <w:r>
              <w:rPr>
                <w:rFonts w:ascii="Calibri" w:hAnsi="Calibri"/>
                <w:b w:val="0"/>
                <w:i w:val="0"/>
                <w:color w:val="212121"/>
                <w:sz w:val="16"/>
              </w:rPr>
              <w:t>All AA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onset, speed and any trigger (stress/illness)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Distribution &amp; pattern</w:t>
            </w:r>
          </w:p>
        </w:tc>
        <w:tc>
          <w:tcPr>
            <w:tcW w:type="dxa" w:w="979"/>
            <w:vAlign w:val="top"/>
          </w:tcPr>
          <w:p>
            <w:pPr>
              <w:spacing w:after="40" w:before="0" w:line="259" w:lineRule="auto"/>
            </w:pPr>
            <w:r>
              <w:rPr>
                <w:rFonts w:ascii="Calibri" w:hAnsi="Calibri"/>
                <w:b w:val="0"/>
                <w:i w:val="0"/>
                <w:color w:val="212121"/>
                <w:sz w:val="16"/>
              </w:rPr>
              <w:t>Scalp, beard, eyebrows, eyelashes, body hair</w:t>
            </w:r>
          </w:p>
        </w:tc>
        <w:tc>
          <w:tcPr>
            <w:tcW w:type="dxa" w:w="950"/>
            <w:vAlign w:val="top"/>
          </w:tcPr>
          <w:p>
            <w:pPr>
              <w:spacing w:after="40" w:before="0" w:line="259" w:lineRule="auto"/>
            </w:pPr>
            <w:r>
              <w:rPr>
                <w:rFonts w:ascii="Calibri" w:hAnsi="Calibri"/>
                <w:b w:val="0"/>
                <w:i w:val="0"/>
                <w:color w:val="212121"/>
                <w:sz w:val="16"/>
              </w:rPr>
              <w:t>Uniform hair, no patches</w:t>
            </w:r>
          </w:p>
        </w:tc>
        <w:tc>
          <w:tcPr>
            <w:tcW w:type="dxa" w:w="950"/>
            <w:vAlign w:val="top"/>
          </w:tcPr>
          <w:p>
            <w:pPr>
              <w:spacing w:after="40" w:before="0" w:line="259" w:lineRule="auto"/>
            </w:pPr>
            <w:r>
              <w:rPr>
                <w:rFonts w:ascii="Calibri" w:hAnsi="Calibri"/>
                <w:b w:val="0"/>
                <w:i w:val="0"/>
                <w:color w:val="212121"/>
                <w:sz w:val="16"/>
              </w:rPr>
              <w:t>Patchy / ophiasis / totalis / universalis pattern</w:t>
            </w:r>
          </w:p>
        </w:tc>
        <w:tc>
          <w:tcPr>
            <w:tcW w:type="dxa" w:w="1036"/>
            <w:vAlign w:val="top"/>
          </w:tcPr>
          <w:p>
            <w:pPr>
              <w:spacing w:after="40" w:before="0" w:line="259" w:lineRule="auto"/>
            </w:pPr>
            <w:r>
              <w:rPr>
                <w:rFonts w:ascii="Calibri" w:hAnsi="Calibri"/>
                <w:b w:val="0"/>
                <w:i w:val="0"/>
                <w:color w:val="212121"/>
                <w:sz w:val="16"/>
              </w:rPr>
              <w:t>Defines subtype and extent; guides SALT scoring and prognosis</w:t>
            </w:r>
          </w:p>
        </w:tc>
        <w:tc>
          <w:tcPr>
            <w:tcW w:type="dxa" w:w="1036"/>
            <w:vAlign w:val="top"/>
          </w:tcPr>
          <w:p>
            <w:pPr>
              <w:spacing w:after="40" w:before="0" w:line="259" w:lineRule="auto"/>
            </w:pPr>
            <w:r>
              <w:rPr>
                <w:rFonts w:ascii="Calibri" w:hAnsi="Calibri"/>
                <w:b w:val="0"/>
                <w:i w:val="0"/>
                <w:color w:val="212121"/>
                <w:sz w:val="16"/>
              </w:rPr>
              <w:t>All AA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Map all hair-bearing sites; calculate SALT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Hair-pull test</w:t>
            </w:r>
          </w:p>
        </w:tc>
        <w:tc>
          <w:tcPr>
            <w:tcW w:type="dxa" w:w="979"/>
            <w:vAlign w:val="top"/>
          </w:tcPr>
          <w:p>
            <w:pPr>
              <w:spacing w:after="40" w:before="0" w:line="259" w:lineRule="auto"/>
            </w:pPr>
            <w:r>
              <w:rPr>
                <w:rFonts w:ascii="Calibri" w:hAnsi="Calibri"/>
                <w:b w:val="0"/>
                <w:i w:val="0"/>
                <w:color w:val="212121"/>
                <w:sz w:val="16"/>
              </w:rPr>
              <w:t>Traction at active patch margin</w:t>
            </w:r>
          </w:p>
        </w:tc>
        <w:tc>
          <w:tcPr>
            <w:tcW w:type="dxa" w:w="950"/>
            <w:vAlign w:val="top"/>
          </w:tcPr>
          <w:p>
            <w:pPr>
              <w:spacing w:after="40" w:before="0" w:line="259" w:lineRule="auto"/>
            </w:pPr>
            <w:r>
              <w:rPr>
                <w:rFonts w:ascii="Calibri" w:hAnsi="Calibri"/>
                <w:b w:val="0"/>
                <w:i w:val="0"/>
                <w:color w:val="212121"/>
                <w:sz w:val="16"/>
              </w:rPr>
              <w:t>&lt; 10% (few hairs) extracted</w:t>
            </w:r>
          </w:p>
        </w:tc>
        <w:tc>
          <w:tcPr>
            <w:tcW w:type="dxa" w:w="950"/>
            <w:vAlign w:val="top"/>
          </w:tcPr>
          <w:p>
            <w:pPr>
              <w:spacing w:after="40" w:before="0" w:line="259" w:lineRule="auto"/>
            </w:pPr>
            <w:r>
              <w:rPr>
                <w:rFonts w:ascii="Calibri" w:hAnsi="Calibri"/>
                <w:b w:val="0"/>
                <w:i w:val="0"/>
                <w:color w:val="212121"/>
                <w:sz w:val="16"/>
              </w:rPr>
              <w:t>≥ 6 telogen/dystrophic hairs extracted</w:t>
            </w:r>
          </w:p>
        </w:tc>
        <w:tc>
          <w:tcPr>
            <w:tcW w:type="dxa" w:w="1036"/>
            <w:vAlign w:val="top"/>
          </w:tcPr>
          <w:p>
            <w:pPr>
              <w:spacing w:after="40" w:before="0" w:line="259" w:lineRule="auto"/>
            </w:pPr>
            <w:r>
              <w:rPr>
                <w:rFonts w:ascii="Calibri" w:hAnsi="Calibri"/>
                <w:b w:val="0"/>
                <w:i w:val="0"/>
                <w:color w:val="212121"/>
                <w:sz w:val="16"/>
              </w:rPr>
              <w:t>Positive pull test at the margin indicates active, spreading disease</w:t>
            </w:r>
          </w:p>
        </w:tc>
        <w:tc>
          <w:tcPr>
            <w:tcW w:type="dxa" w:w="1036"/>
            <w:vAlign w:val="top"/>
          </w:tcPr>
          <w:p>
            <w:pPr>
              <w:spacing w:after="40" w:before="0" w:line="259" w:lineRule="auto"/>
            </w:pPr>
            <w:r>
              <w:rPr>
                <w:rFonts w:ascii="Calibri" w:hAnsi="Calibri"/>
                <w:b w:val="0"/>
                <w:i w:val="0"/>
                <w:color w:val="212121"/>
                <w:sz w:val="16"/>
              </w:rPr>
              <w:t>AA with expanding patches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disease activity and likely progression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950"/>
            <w:vAlign w:val="top"/>
          </w:tcPr>
          <w:p>
            <w:pPr>
              <w:spacing w:after="40" w:before="0" w:line="259" w:lineRule="auto"/>
            </w:pPr>
            <w:r>
              <w:rPr>
                <w:rFonts w:ascii="Calibri" w:hAnsi="Calibri"/>
                <w:b w:val="0"/>
                <w:i w:val="0"/>
                <w:color w:val="212121"/>
                <w:sz w:val="16"/>
              </w:rPr>
              <w:t>Trichoscopy</w:t>
            </w:r>
          </w:p>
        </w:tc>
        <w:tc>
          <w:tcPr>
            <w:tcW w:type="dxa" w:w="979"/>
            <w:vAlign w:val="top"/>
          </w:tcPr>
          <w:p>
            <w:pPr>
              <w:spacing w:after="40" w:before="0" w:line="259" w:lineRule="auto"/>
            </w:pPr>
            <w:r>
              <w:rPr>
                <w:rFonts w:ascii="Calibri" w:hAnsi="Calibri"/>
                <w:b w:val="0"/>
                <w:i w:val="0"/>
                <w:color w:val="212121"/>
                <w:sz w:val="16"/>
              </w:rPr>
              <w:t>Exclamation-mark hairs, yellow dots, black dots, short vellus hairs</w:t>
            </w:r>
          </w:p>
        </w:tc>
        <w:tc>
          <w:tcPr>
            <w:tcW w:type="dxa" w:w="950"/>
            <w:vAlign w:val="top"/>
          </w:tcPr>
          <w:p>
            <w:pPr>
              <w:spacing w:after="40" w:before="0" w:line="259" w:lineRule="auto"/>
            </w:pPr>
            <w:r>
              <w:rPr>
                <w:rFonts w:ascii="Calibri" w:hAnsi="Calibri"/>
                <w:b w:val="0"/>
                <w:i w:val="0"/>
                <w:color w:val="212121"/>
                <w:sz w:val="16"/>
              </w:rPr>
              <w:t>Normal follicular pattern</w:t>
            </w:r>
          </w:p>
        </w:tc>
        <w:tc>
          <w:tcPr>
            <w:tcW w:type="dxa" w:w="950"/>
            <w:vAlign w:val="top"/>
          </w:tcPr>
          <w:p>
            <w:pPr>
              <w:spacing w:after="40" w:before="0" w:line="259" w:lineRule="auto"/>
            </w:pPr>
            <w:r>
              <w:rPr>
                <w:rFonts w:ascii="Calibri" w:hAnsi="Calibri"/>
                <w:b w:val="0"/>
                <w:i w:val="0"/>
                <w:color w:val="212121"/>
                <w:sz w:val="16"/>
              </w:rPr>
              <w:t>Exclamation-mark &amp; broken hairs, yellow/black dots, tapering hairs</w:t>
            </w:r>
          </w:p>
        </w:tc>
        <w:tc>
          <w:tcPr>
            <w:tcW w:type="dxa" w:w="1036"/>
            <w:vAlign w:val="top"/>
          </w:tcPr>
          <w:p>
            <w:pPr>
              <w:spacing w:after="40" w:before="0" w:line="259" w:lineRule="auto"/>
            </w:pPr>
            <w:r>
              <w:rPr>
                <w:rFonts w:ascii="Calibri" w:hAnsi="Calibri"/>
                <w:b w:val="0"/>
                <w:i w:val="0"/>
                <w:color w:val="212121"/>
                <w:sz w:val="16"/>
              </w:rPr>
              <w:t>Non-invasive confirmation of AA and disease activity</w:t>
            </w:r>
          </w:p>
        </w:tc>
        <w:tc>
          <w:tcPr>
            <w:tcW w:type="dxa" w:w="1036"/>
            <w:vAlign w:val="top"/>
          </w:tcPr>
          <w:p>
            <w:pPr>
              <w:spacing w:after="40" w:before="0" w:line="259" w:lineRule="auto"/>
            </w:pPr>
            <w:r>
              <w:rPr>
                <w:rFonts w:ascii="Calibri" w:hAnsi="Calibri"/>
                <w:b w:val="0"/>
                <w:i w:val="0"/>
                <w:color w:val="212121"/>
                <w:sz w:val="16"/>
              </w:rPr>
              <w:t>All AA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(first-line)</w:t>
            </w:r>
          </w:p>
        </w:tc>
        <w:tc>
          <w:tcPr>
            <w:tcW w:type="dxa" w:w="720"/>
            <w:vAlign w:val="top"/>
          </w:tcPr>
          <w:p>
            <w:pPr>
              <w:spacing w:after="40" w:before="0" w:line="259" w:lineRule="auto"/>
            </w:pPr>
            <w:r>
              <w:rPr>
                <w:rFonts w:ascii="Calibri" w:hAnsi="Calibri"/>
                <w:b w:val="0"/>
                <w:i w:val="0"/>
                <w:color w:val="212121"/>
                <w:sz w:val="16"/>
              </w:rPr>
              <w:t>Replaces biopsy in most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Nail examination</w:t>
            </w:r>
          </w:p>
        </w:tc>
        <w:tc>
          <w:tcPr>
            <w:tcW w:type="dxa" w:w="979"/>
            <w:vAlign w:val="top"/>
          </w:tcPr>
          <w:p>
            <w:pPr>
              <w:spacing w:after="40" w:before="0" w:line="259" w:lineRule="auto"/>
            </w:pPr>
            <w:r>
              <w:rPr>
                <w:rFonts w:ascii="Calibri" w:hAnsi="Calibri"/>
                <w:b w:val="0"/>
                <w:i w:val="0"/>
                <w:color w:val="212121"/>
                <w:sz w:val="16"/>
              </w:rPr>
              <w:t>Pitting, trachyonychia, ridging</w:t>
            </w:r>
          </w:p>
        </w:tc>
        <w:tc>
          <w:tcPr>
            <w:tcW w:type="dxa" w:w="950"/>
            <w:vAlign w:val="top"/>
          </w:tcPr>
          <w:p>
            <w:pPr>
              <w:spacing w:after="40" w:before="0" w:line="259" w:lineRule="auto"/>
            </w:pPr>
            <w:r>
              <w:rPr>
                <w:rFonts w:ascii="Calibri" w:hAnsi="Calibri"/>
                <w:b w:val="0"/>
                <w:i w:val="0"/>
                <w:color w:val="212121"/>
                <w:sz w:val="16"/>
              </w:rPr>
              <w:t>Normal nails</w:t>
            </w:r>
          </w:p>
        </w:tc>
        <w:tc>
          <w:tcPr>
            <w:tcW w:type="dxa" w:w="950"/>
            <w:vAlign w:val="top"/>
          </w:tcPr>
          <w:p>
            <w:pPr>
              <w:spacing w:after="40" w:before="0" w:line="259" w:lineRule="auto"/>
            </w:pPr>
            <w:r>
              <w:rPr>
                <w:rFonts w:ascii="Calibri" w:hAnsi="Calibri"/>
                <w:b w:val="0"/>
                <w:i w:val="0"/>
                <w:color w:val="212121"/>
                <w:sz w:val="16"/>
              </w:rPr>
              <w:t>Fine regular pitting, roughening (trachyonychia)</w:t>
            </w:r>
          </w:p>
        </w:tc>
        <w:tc>
          <w:tcPr>
            <w:tcW w:type="dxa" w:w="1036"/>
            <w:vAlign w:val="top"/>
          </w:tcPr>
          <w:p>
            <w:pPr>
              <w:spacing w:after="40" w:before="0" w:line="259" w:lineRule="auto"/>
            </w:pPr>
            <w:r>
              <w:rPr>
                <w:rFonts w:ascii="Calibri" w:hAnsi="Calibri"/>
                <w:b w:val="0"/>
                <w:i w:val="0"/>
                <w:color w:val="212121"/>
                <w:sz w:val="16"/>
              </w:rPr>
              <w:t>Nail involvement marks more severe/active disease</w:t>
            </w:r>
          </w:p>
        </w:tc>
        <w:tc>
          <w:tcPr>
            <w:tcW w:type="dxa" w:w="1036"/>
            <w:vAlign w:val="top"/>
          </w:tcPr>
          <w:p>
            <w:pPr>
              <w:spacing w:after="40" w:before="0" w:line="259" w:lineRule="auto"/>
            </w:pPr>
            <w:r>
              <w:rPr>
                <w:rFonts w:ascii="Calibri" w:hAnsi="Calibri"/>
                <w:b w:val="0"/>
                <w:i w:val="0"/>
                <w:color w:val="212121"/>
                <w:sz w:val="16"/>
              </w:rPr>
              <w:t>Children and extensive AA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Nail changes in ~29% of adults and ~50% of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autoimmune history</w:t>
            </w:r>
          </w:p>
        </w:tc>
        <w:tc>
          <w:tcPr>
            <w:tcW w:type="dxa" w:w="979"/>
            <w:vAlign w:val="top"/>
          </w:tcPr>
          <w:p>
            <w:pPr>
              <w:spacing w:after="40" w:before="0" w:line="259" w:lineRule="auto"/>
            </w:pPr>
            <w:r>
              <w:rPr>
                <w:rFonts w:ascii="Calibri" w:hAnsi="Calibri"/>
                <w:b w:val="0"/>
                <w:i w:val="0"/>
                <w:color w:val="212121"/>
                <w:sz w:val="16"/>
              </w:rPr>
              <w:t>AA, thyroid disease, vitiligo, atopy, T1DM in relatives</w:t>
            </w:r>
          </w:p>
        </w:tc>
        <w:tc>
          <w:tcPr>
            <w:tcW w:type="dxa" w:w="950"/>
            <w:vAlign w:val="top"/>
          </w:tcPr>
          <w:p>
            <w:pPr>
              <w:spacing w:after="40" w:before="0" w:line="259" w:lineRule="auto"/>
            </w:pPr>
            <w:r>
              <w:rPr>
                <w:rFonts w:ascii="Calibri" w:hAnsi="Calibri"/>
                <w:b w:val="0"/>
                <w:i w:val="0"/>
                <w:color w:val="212121"/>
                <w:sz w:val="16"/>
              </w:rPr>
              <w:t>No relevant family history</w:t>
            </w:r>
          </w:p>
        </w:tc>
        <w:tc>
          <w:tcPr>
            <w:tcW w:type="dxa" w:w="950"/>
            <w:vAlign w:val="top"/>
          </w:tcPr>
          <w:p>
            <w:pPr>
              <w:spacing w:after="40" w:before="0" w:line="259" w:lineRule="auto"/>
            </w:pPr>
            <w:r>
              <w:rPr>
                <w:rFonts w:ascii="Calibri" w:hAnsi="Calibri"/>
                <w:b w:val="0"/>
                <w:i w:val="0"/>
                <w:color w:val="212121"/>
                <w:sz w:val="16"/>
              </w:rPr>
              <w:t>Positive family/personal autoimmune history</w:t>
            </w:r>
          </w:p>
        </w:tc>
        <w:tc>
          <w:tcPr>
            <w:tcW w:type="dxa" w:w="1036"/>
            <w:vAlign w:val="top"/>
          </w:tcPr>
          <w:p>
            <w:pPr>
              <w:spacing w:after="40" w:before="0" w:line="259" w:lineRule="auto"/>
            </w:pPr>
            <w:r>
              <w:rPr>
                <w:rFonts w:ascii="Calibri" w:hAnsi="Calibri"/>
                <w:b w:val="0"/>
                <w:i w:val="0"/>
                <w:color w:val="212121"/>
                <w:sz w:val="16"/>
              </w:rPr>
              <w:t>Predicts earlier onset and directs autoimmune screening</w:t>
            </w:r>
          </w:p>
        </w:tc>
        <w:tc>
          <w:tcPr>
            <w:tcW w:type="dxa" w:w="1036"/>
            <w:vAlign w:val="top"/>
          </w:tcPr>
          <w:p>
            <w:pPr>
              <w:spacing w:after="40" w:before="0" w:line="259" w:lineRule="auto"/>
            </w:pPr>
            <w:r>
              <w:rPr>
                <w:rFonts w:ascii="Calibri" w:hAnsi="Calibri"/>
                <w:b w:val="0"/>
                <w:i w:val="0"/>
                <w:color w:val="212121"/>
                <w:sz w:val="16"/>
              </w:rPr>
              <w:t>AA with family clustering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Family history of AA in ~8.7-20% of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 mental-health screen</w:t>
            </w:r>
          </w:p>
        </w:tc>
        <w:tc>
          <w:tcPr>
            <w:tcW w:type="dxa" w:w="979"/>
            <w:vAlign w:val="top"/>
          </w:tcPr>
          <w:p>
            <w:pPr>
              <w:spacing w:after="40" w:before="0" w:line="259" w:lineRule="auto"/>
            </w:pPr>
            <w:r>
              <w:rPr>
                <w:rFonts w:ascii="Calibri" w:hAnsi="Calibri"/>
                <w:b w:val="0"/>
                <w:i w:val="0"/>
                <w:color w:val="212121"/>
                <w:sz w:val="16"/>
              </w:rPr>
              <w:t>Stress, anxiety, depression, quality of life (DLQI)</w:t>
            </w:r>
          </w:p>
        </w:tc>
        <w:tc>
          <w:tcPr>
            <w:tcW w:type="dxa" w:w="950"/>
            <w:vAlign w:val="top"/>
          </w:tcPr>
          <w:p>
            <w:pPr>
              <w:spacing w:after="40" w:before="0" w:line="259" w:lineRule="auto"/>
            </w:pPr>
            <w:r>
              <w:rPr>
                <w:rFonts w:ascii="Calibri" w:hAnsi="Calibri"/>
                <w:b w:val="0"/>
                <w:i w:val="0"/>
                <w:color w:val="212121"/>
                <w:sz w:val="16"/>
              </w:rPr>
              <w:t>No distress, DLQI 0-1</w:t>
            </w:r>
          </w:p>
        </w:tc>
        <w:tc>
          <w:tcPr>
            <w:tcW w:type="dxa" w:w="950"/>
            <w:vAlign w:val="top"/>
          </w:tcPr>
          <w:p>
            <w:pPr>
              <w:spacing w:after="40" w:before="0" w:line="259" w:lineRule="auto"/>
            </w:pPr>
            <w:r>
              <w:rPr>
                <w:rFonts w:ascii="Calibri" w:hAnsi="Calibri"/>
                <w:b w:val="0"/>
                <w:i w:val="0"/>
                <w:color w:val="212121"/>
                <w:sz w:val="16"/>
              </w:rPr>
              <w:t>Significant stress/anxiety/depression, DLQI ≥ 6</w:t>
            </w:r>
          </w:p>
        </w:tc>
        <w:tc>
          <w:tcPr>
            <w:tcW w:type="dxa" w:w="1036"/>
            <w:vAlign w:val="top"/>
          </w:tcPr>
          <w:p>
            <w:pPr>
              <w:spacing w:after="40" w:before="0" w:line="259" w:lineRule="auto"/>
            </w:pPr>
            <w:r>
              <w:rPr>
                <w:rFonts w:ascii="Calibri" w:hAnsi="Calibri"/>
                <w:b w:val="0"/>
                <w:i w:val="0"/>
                <w:color w:val="212121"/>
                <w:sz w:val="16"/>
              </w:rPr>
              <w:t>Identifies psychological trigger and disease burden requiring support</w:t>
            </w:r>
          </w:p>
        </w:tc>
        <w:tc>
          <w:tcPr>
            <w:tcW w:type="dxa" w:w="1036"/>
            <w:vAlign w:val="top"/>
          </w:tcPr>
          <w:p>
            <w:pPr>
              <w:spacing w:after="40" w:before="0" w:line="259" w:lineRule="auto"/>
            </w:pPr>
            <w:r>
              <w:rPr>
                <w:rFonts w:ascii="Calibri" w:hAnsi="Calibri"/>
                <w:b w:val="0"/>
                <w:i w:val="0"/>
                <w:color w:val="212121"/>
                <w:sz w:val="16"/>
              </w:rPr>
              <w:t>All AA patients, especially visible/extensive disease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Bidirectional; screen and refer as needed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Sudden, smooth round or oval bald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Painless, well-demarcated loss of scalp hair developing over days to weeks.</w:t>
            </w:r>
          </w:p>
        </w:tc>
      </w:tr>
      <w:tr>
        <w:trPr>
          <w:cantSplit/>
        </w:trPr>
        <w:tc>
          <w:tcPr>
            <w:tcW w:type="dxa" w:w="2304"/>
            <w:vAlign w:val="top"/>
          </w:tcPr>
          <w:p>
            <w:pPr>
              <w:spacing w:after="40" w:before="0" w:line="259" w:lineRule="auto"/>
            </w:pPr>
            <w:r>
              <w:rPr>
                <w:rFonts w:ascii="Calibri" w:hAnsi="Calibri"/>
                <w:b/>
                <w:i w:val="0"/>
                <w:color w:val="212121"/>
                <w:sz w:val="19"/>
              </w:rPr>
              <w:t>Loss of beard, eyebrow or eyelash hair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Patchy loss at non-scalp sites; eyelash/eyebrow loss reduces protection of the eye.</w:t>
            </w:r>
          </w:p>
        </w:tc>
      </w:tr>
      <w:tr>
        <w:trPr>
          <w:cantSplit/>
        </w:trPr>
        <w:tc>
          <w:tcPr>
            <w:tcW w:type="dxa" w:w="2304"/>
            <w:vAlign w:val="top"/>
          </w:tcPr>
          <w:p>
            <w:pPr>
              <w:spacing w:after="40" w:before="0" w:line="259" w:lineRule="auto"/>
            </w:pPr>
            <w:r>
              <w:rPr>
                <w:rFonts w:ascii="Calibri" w:hAnsi="Calibri"/>
                <w:b/>
                <w:i w:val="0"/>
                <w:color w:val="212121"/>
                <w:sz w:val="19"/>
              </w:rPr>
              <w:t>Widening or new patches (spreading disease)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Existing patches enlarge or fresh ones appear, indicating active disease.</w:t>
            </w:r>
          </w:p>
        </w:tc>
      </w:tr>
      <w:tr>
        <w:trPr>
          <w:cantSplit/>
        </w:trPr>
        <w:tc>
          <w:tcPr>
            <w:tcW w:type="dxa" w:w="2304"/>
            <w:vAlign w:val="top"/>
          </w:tcPr>
          <w:p>
            <w:pPr>
              <w:spacing w:after="40" w:before="0" w:line="259" w:lineRule="auto"/>
            </w:pPr>
            <w:r>
              <w:rPr>
                <w:rFonts w:ascii="Calibri" w:hAnsi="Calibri"/>
                <w:b/>
                <w:i w:val="0"/>
                <w:color w:val="212121"/>
                <w:sz w:val="19"/>
              </w:rPr>
              <w:t>Tingling, itching or burning before hair loss (trichodynia)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Local dysaesthesia can precede or accompany a new patch.</w:t>
            </w:r>
          </w:p>
        </w:tc>
      </w:tr>
      <w:tr>
        <w:trPr>
          <w:cantSplit/>
        </w:trPr>
        <w:tc>
          <w:tcPr>
            <w:tcW w:type="dxa" w:w="2304"/>
            <w:vAlign w:val="top"/>
          </w:tcPr>
          <w:p>
            <w:pPr>
              <w:spacing w:after="40" w:before="0" w:line="259" w:lineRule="auto"/>
            </w:pPr>
            <w:r>
              <w:rPr>
                <w:rFonts w:ascii="Calibri" w:hAnsi="Calibri"/>
                <w:b/>
                <w:i w:val="0"/>
                <w:color w:val="212121"/>
                <w:sz w:val="19"/>
              </w:rPr>
              <w:t>Diffuse thinning without discrete patches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Alopecia areata incognita mimics telogen effluvium with rapid, widespread shedding.</w:t>
            </w:r>
          </w:p>
        </w:tc>
      </w:tr>
      <w:tr>
        <w:trPr>
          <w:cantSplit/>
        </w:trPr>
        <w:tc>
          <w:tcPr>
            <w:tcW w:type="dxa" w:w="2304"/>
            <w:vAlign w:val="top"/>
          </w:tcPr>
          <w:p>
            <w:pPr>
              <w:spacing w:after="40" w:before="0" w:line="259" w:lineRule="auto"/>
            </w:pPr>
            <w:r>
              <w:rPr>
                <w:rFonts w:ascii="Calibri" w:hAnsi="Calibri"/>
                <w:b/>
                <w:i w:val="0"/>
                <w:color w:val="212121"/>
                <w:sz w:val="19"/>
              </w:rPr>
              <w:t>Complete loss of scalp hair (totalis)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Progression of patchy disease to full scalp involvement.</w:t>
            </w:r>
          </w:p>
        </w:tc>
      </w:tr>
      <w:tr>
        <w:trPr>
          <w:cantSplit/>
        </w:trPr>
        <w:tc>
          <w:tcPr>
            <w:tcW w:type="dxa" w:w="2304"/>
            <w:vAlign w:val="top"/>
          </w:tcPr>
          <w:p>
            <w:pPr>
              <w:spacing w:after="40" w:before="0" w:line="259" w:lineRule="auto"/>
            </w:pPr>
            <w:r>
              <w:rPr>
                <w:rFonts w:ascii="Calibri" w:hAnsi="Calibri"/>
                <w:b/>
                <w:i w:val="0"/>
                <w:color w:val="212121"/>
                <w:sz w:val="19"/>
              </w:rPr>
              <w:t>Loss of all body hair (universalis)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Most extensive form with loss of scalp, facial and body hair; poorest prognosis.</w:t>
            </w:r>
          </w:p>
        </w:tc>
      </w:tr>
      <w:tr>
        <w:trPr>
          <w:cantSplit/>
        </w:trPr>
        <w:tc>
          <w:tcPr>
            <w:tcW w:type="dxa" w:w="2304"/>
            <w:vAlign w:val="top"/>
          </w:tcPr>
          <w:p>
            <w:pPr>
              <w:spacing w:after="40" w:before="0" w:line="259" w:lineRule="auto"/>
            </w:pPr>
            <w:r>
              <w:rPr>
                <w:rFonts w:ascii="Calibri" w:hAnsi="Calibri"/>
                <w:b/>
                <w:i w:val="0"/>
                <w:color w:val="212121"/>
                <w:sz w:val="19"/>
              </w:rPr>
              <w:t>Nail roughness, pitting or brittleness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Nail changes accompany more active or severe disease, especially in children.</w:t>
            </w:r>
          </w:p>
        </w:tc>
      </w:tr>
      <w:tr>
        <w:trPr>
          <w:cantSplit/>
        </w:trPr>
        <w:tc>
          <w:tcPr>
            <w:tcW w:type="dxa" w:w="2304"/>
            <w:vAlign w:val="top"/>
          </w:tcPr>
          <w:p>
            <w:pPr>
              <w:spacing w:after="40" w:before="0" w:line="259" w:lineRule="auto"/>
            </w:pPr>
            <w:r>
              <w:rPr>
                <w:rFonts w:ascii="Calibri" w:hAnsi="Calibri"/>
                <w:b/>
                <w:i w:val="0"/>
                <w:color w:val="212121"/>
                <w:sz w:val="19"/>
              </w:rPr>
              <w:t>Regrowth of white or fine (vellus) hair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Initial regrowth is often depigmented or downy before normal colour returns.</w:t>
            </w:r>
          </w:p>
        </w:tc>
      </w:tr>
      <w:tr>
        <w:trPr>
          <w:cantSplit/>
        </w:trPr>
        <w:tc>
          <w:tcPr>
            <w:tcW w:type="dxa" w:w="2304"/>
            <w:vAlign w:val="top"/>
          </w:tcPr>
          <w:p>
            <w:pPr>
              <w:spacing w:after="40" w:before="0" w:line="259" w:lineRule="auto"/>
            </w:pPr>
            <w:r>
              <w:rPr>
                <w:rFonts w:ascii="Calibri" w:hAnsi="Calibri"/>
                <w:b/>
                <w:i w:val="0"/>
                <w:color w:val="212121"/>
                <w:sz w:val="19"/>
              </w:rPr>
              <w:t>Psychological distress, low self-esteem, social withdrawal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unpredictable hair loss commonly causes anxiety, embarrassment and low mood.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Well-demarcated, non-scarring bald patch with preserved follicular ostia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skin with visible follicular openings distinguishes AA from scarring alopecia.</w:t>
            </w:r>
          </w:p>
        </w:tc>
      </w:tr>
      <w:tr>
        <w:trPr>
          <w:cantSplit/>
        </w:trPr>
        <w:tc>
          <w:tcPr>
            <w:tcW w:type="dxa" w:w="3456"/>
            <w:vAlign w:val="top"/>
          </w:tcPr>
          <w:p>
            <w:pPr>
              <w:spacing w:after="40" w:before="0" w:line="259" w:lineRule="auto"/>
            </w:pPr>
            <w:r>
              <w:rPr>
                <w:rFonts w:ascii="Calibri" w:hAnsi="Calibri"/>
                <w:b/>
                <w:i w:val="0"/>
                <w:color w:val="212121"/>
                <w:sz w:val="19"/>
              </w:rPr>
              <w:t>Exclamation-mark (tapered) hairs at patch margins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Short hairs narrow toward the scalp — a hallmark of active AA.</w:t>
            </w:r>
          </w:p>
        </w:tc>
      </w:tr>
      <w:tr>
        <w:trPr>
          <w:cantSplit/>
        </w:trPr>
        <w:tc>
          <w:tcPr>
            <w:tcW w:type="dxa" w:w="3456"/>
            <w:vAlign w:val="top"/>
          </w:tcPr>
          <w:p>
            <w:pPr>
              <w:spacing w:after="40" w:before="0" w:line="259" w:lineRule="auto"/>
            </w:pPr>
            <w:r>
              <w:rPr>
                <w:rFonts w:ascii="Calibri" w:hAnsi="Calibri"/>
                <w:b/>
                <w:i w:val="0"/>
                <w:color w:val="212121"/>
                <w:sz w:val="19"/>
              </w:rPr>
              <w:t>Positive hair-pull test at active margin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Easy extraction of telogen/dystrophic hairs indicates spreading disease.</w:t>
            </w:r>
          </w:p>
        </w:tc>
      </w:tr>
      <w:tr>
        <w:trPr>
          <w:cantSplit/>
        </w:trPr>
        <w:tc>
          <w:tcPr>
            <w:tcW w:type="dxa" w:w="3456"/>
            <w:vAlign w:val="top"/>
          </w:tcPr>
          <w:p>
            <w:pPr>
              <w:spacing w:after="40" w:before="0" w:line="259" w:lineRule="auto"/>
            </w:pPr>
            <w:r>
              <w:rPr>
                <w:rFonts w:ascii="Calibri" w:hAnsi="Calibri"/>
                <w:b/>
                <w:i w:val="0"/>
                <w:color w:val="212121"/>
                <w:sz w:val="19"/>
              </w:rPr>
              <w:t>Yellow dots, black dots and short vellus hairs on trichoscopy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dermoscopic features confirming AA and its activity.</w:t>
            </w:r>
          </w:p>
        </w:tc>
      </w:tr>
      <w:tr>
        <w:trPr>
          <w:cantSplit/>
        </w:trPr>
        <w:tc>
          <w:tcPr>
            <w:tcW w:type="dxa" w:w="3456"/>
            <w:vAlign w:val="top"/>
          </w:tcPr>
          <w:p>
            <w:pPr>
              <w:spacing w:after="40" w:before="0" w:line="259" w:lineRule="auto"/>
            </w:pPr>
            <w:r>
              <w:rPr>
                <w:rFonts w:ascii="Calibri" w:hAnsi="Calibri"/>
                <w:b/>
                <w:i w:val="0"/>
                <w:color w:val="212121"/>
                <w:sz w:val="19"/>
              </w:rPr>
              <w:t>Nail pitting / trachyonychia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Fine regular pitting or rough sandpaper nails; more frequent in children and severe disease.</w:t>
            </w:r>
          </w:p>
        </w:tc>
      </w:tr>
      <w:tr>
        <w:trPr>
          <w:cantSplit/>
        </w:trPr>
        <w:tc>
          <w:tcPr>
            <w:tcW w:type="dxa" w:w="3456"/>
            <w:vAlign w:val="top"/>
          </w:tcPr>
          <w:p>
            <w:pPr>
              <w:spacing w:after="40" w:before="0" w:line="259" w:lineRule="auto"/>
            </w:pPr>
            <w:r>
              <w:rPr>
                <w:rFonts w:ascii="Calibri" w:hAnsi="Calibri"/>
                <w:b/>
                <w:i w:val="0"/>
                <w:color w:val="212121"/>
                <w:sz w:val="19"/>
              </w:rPr>
              <w:t>Ophiasis pattern (band-like occipito-temporal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treatment-resistant distribution along the scalp margin.</w:t>
            </w:r>
          </w:p>
        </w:tc>
      </w:tr>
      <w:tr>
        <w:trPr>
          <w:cantSplit/>
        </w:trPr>
        <w:tc>
          <w:tcPr>
            <w:tcW w:type="dxa" w:w="3456"/>
            <w:vAlign w:val="top"/>
          </w:tcPr>
          <w:p>
            <w:pPr>
              <w:spacing w:after="40" w:before="0" w:line="259" w:lineRule="auto"/>
            </w:pPr>
            <w:r>
              <w:rPr>
                <w:rFonts w:ascii="Calibri" w:hAnsi="Calibri"/>
                <w:b/>
                <w:i w:val="0"/>
                <w:color w:val="212121"/>
                <w:sz w:val="19"/>
              </w:rPr>
              <w:t>Alopecia totalis / universalis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Complete scalp (totalis) or whole-body (universalis) hair loss on examination.</w:t>
            </w:r>
          </w:p>
        </w:tc>
      </w:tr>
      <w:tr>
        <w:trPr>
          <w:cantSplit/>
        </w:trPr>
        <w:tc>
          <w:tcPr>
            <w:tcW w:type="dxa" w:w="3456"/>
            <w:vAlign w:val="top"/>
          </w:tcPr>
          <w:p>
            <w:pPr>
              <w:spacing w:after="40" w:before="0" w:line="259" w:lineRule="auto"/>
            </w:pPr>
            <w:r>
              <w:rPr>
                <w:rFonts w:ascii="Calibri" w:hAnsi="Calibri"/>
                <w:b/>
                <w:i w:val="0"/>
                <w:color w:val="212121"/>
                <w:sz w:val="19"/>
              </w:rPr>
              <w:t>Depigmented (white) regrowing hairs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New hair often grows in white or grey before repigmenting.</w:t>
            </w:r>
          </w:p>
        </w:tc>
      </w:tr>
      <w:tr>
        <w:trPr>
          <w:cantSplit/>
        </w:trPr>
        <w:tc>
          <w:tcPr>
            <w:tcW w:type="dxa" w:w="3456"/>
            <w:vAlign w:val="top"/>
          </w:tcPr>
          <w:p>
            <w:pPr>
              <w:spacing w:after="40" w:before="0" w:line="259" w:lineRule="auto"/>
            </w:pPr>
            <w:r>
              <w:rPr>
                <w:rFonts w:ascii="Calibri" w:hAnsi="Calibri"/>
                <w:b/>
                <w:i w:val="0"/>
                <w:color w:val="212121"/>
                <w:sz w:val="19"/>
              </w:rPr>
              <w:t>Coexisting vitiligo patches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Depigmented macules signalling shared autoimmune diathesis.</w:t>
            </w:r>
          </w:p>
        </w:tc>
      </w:tr>
      <w:tr>
        <w:trPr>
          <w:cantSplit/>
        </w:trPr>
        <w:tc>
          <w:tcPr>
            <w:tcW w:type="dxa" w:w="3456"/>
            <w:vAlign w:val="top"/>
          </w:tcPr>
          <w:p>
            <w:pPr>
              <w:spacing w:after="40" w:before="0" w:line="259" w:lineRule="auto"/>
            </w:pPr>
            <w:r>
              <w:rPr>
                <w:rFonts w:ascii="Calibri" w:hAnsi="Calibri"/>
                <w:b/>
                <w:i w:val="0"/>
                <w:color w:val="212121"/>
                <w:sz w:val="19"/>
              </w:rPr>
              <w:t>Sisaipho (ophiasis inversus) pattern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Central scalp loss sparing the margins; refractory variant.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Extension of patches with progression to alopecia totalis (whole scalp)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Alopecia universalis (loss of all body hair)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eyebrows and eyelashes with reduced eye protection (dust, sweat, light)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Ophiasis / diffuse (incognita) variants that are harder to treat</w:t>
            </w:r>
          </w:p>
        </w:tc>
        <w:tc>
          <w:tcPr>
            <w:tcW w:type="dxa" w:w="2980"/>
            <w:vAlign w:val="top"/>
          </w:tcPr>
          <w:p>
            <w:pPr>
              <w:spacing w:after="40" w:before="0" w:line="259" w:lineRule="auto"/>
            </w:pPr>
            <w:r>
              <w:rPr>
                <w:rFonts w:ascii="Calibri" w:hAnsi="Calibri"/>
                <w:b w:val="0"/>
                <w:i w:val="0"/>
                <w:color w:val="212121"/>
                <w:sz w:val="19"/>
              </w:rPr>
              <w:t>Direct extension and severe patterns of the autoimmune hair loss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morbidity: anxiety, depression, social phobia and low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quality of life and work/school performance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 autoimmune disease (thyroiditis, vitiligo, type 1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Sunburn and actinic damage of the unprotected bald scalp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ocular exposure/irritation from eyelash loss</w:t>
            </w:r>
          </w:p>
        </w:tc>
        <w:tc>
          <w:tcPr>
            <w:tcW w:type="dxa" w:w="2980"/>
            <w:vAlign w:val="top"/>
          </w:tcPr>
          <w:p>
            <w:pPr>
              <w:spacing w:after="40" w:before="0" w:line="259" w:lineRule="auto"/>
            </w:pPr>
            <w:r>
              <w:rPr>
                <w:rFonts w:ascii="Calibri" w:hAnsi="Calibri"/>
                <w:b w:val="0"/>
                <w:i w:val="0"/>
                <w:color w:val="212121"/>
                <w:sz w:val="19"/>
              </w:rPr>
              <w:t>Psychosocial and systemic consequences of visible, chronic hair loss and shared autoimmunity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relapsing-remitting course with treatment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depressive disorder and suicidal ideation in severe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dependence on immunosuppressants/JAK inhibitors with monitoring needs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Financial burden of prolonged therapy, camouflage and wigs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occupational and social disability in refractory totalis/universalis</w:t>
            </w:r>
          </w:p>
        </w:tc>
        <w:tc>
          <w:tcPr>
            <w:tcW w:type="dxa" w:w="2980"/>
            <w:vAlign w:val="top"/>
          </w:tcPr>
          <w:p>
            <w:pPr>
              <w:spacing w:after="40" w:before="0" w:line="259" w:lineRule="auto"/>
            </w:pPr>
            <w:r>
              <w:rPr>
                <w:rFonts w:ascii="Calibri" w:hAnsi="Calibri"/>
                <w:b w:val="0"/>
                <w:i w:val="0"/>
                <w:color w:val="212121"/>
                <w:sz w:val="19"/>
              </w:rPr>
              <w:t>Irreversible or disabling outcomes of longstanding, refractory or severe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(Hashimoto thyroiditis / 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T-cell-mediated autoimmunity and HLA haplotypes with AA; routine thyroid screening is advised.</w:t>
            </w:r>
          </w:p>
          <w:p>
            <w:pPr>
              <w:spacing w:after="40" w:before="0" w:line="259" w:lineRule="auto"/>
            </w:pPr>
            <w:r>
              <w:rPr>
                <w:rFonts w:ascii="Calibri" w:hAnsi="Calibri"/>
                <w:b/>
                <w:i w:val="0"/>
                <w:color w:val="212121"/>
                <w:sz w:val="19"/>
              </w:rPr>
              <w:t>~13-28%</w:t>
            </w:r>
          </w:p>
        </w:tc>
      </w:tr>
      <w:tr>
        <w:trPr>
          <w:cantSplit/>
        </w:trPr>
        <w:tc>
          <w:tcPr>
            <w:tcW w:type="dxa" w:w="2232"/>
            <w:vAlign w:val="top"/>
          </w:tcPr>
          <w:p>
            <w:pPr>
              <w:spacing w:after="40" w:before="0" w:line="259" w:lineRule="auto"/>
            </w:pPr>
            <w:r>
              <w:rPr>
                <w:rFonts w:ascii="Calibri" w:hAnsi="Calibri"/>
                <w:b/>
                <w:i w:val="0"/>
                <w:color w:val="212121"/>
                <w:sz w:val="19"/>
              </w:rPr>
              <w:t>Atopic dermatitis / atopy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Atopic background predicts earlier onset, more extensive and more chronic disease.</w:t>
            </w:r>
          </w:p>
          <w:p>
            <w:pPr>
              <w:spacing w:after="40" w:before="0" w:line="259" w:lineRule="auto"/>
            </w:pPr>
            <w:r>
              <w:rPr>
                <w:rFonts w:ascii="Calibri" w:hAnsi="Calibri"/>
                <w:b/>
                <w:i w:val="0"/>
                <w:color w:val="212121"/>
                <w:sz w:val="19"/>
              </w:rPr>
              <w:t>~10-22%</w:t>
            </w:r>
          </w:p>
        </w:tc>
      </w:tr>
      <w:tr>
        <w:trPr>
          <w:cantSplit/>
        </w:trPr>
        <w:tc>
          <w:tcPr>
            <w:tcW w:type="dxa" w:w="2232"/>
            <w:vAlign w:val="top"/>
          </w:tcPr>
          <w:p>
            <w:pPr>
              <w:spacing w:after="40" w:before="0" w:line="259" w:lineRule="auto"/>
            </w:pPr>
            <w:r>
              <w:rPr>
                <w:rFonts w:ascii="Calibri" w:hAnsi="Calibri"/>
                <w:b/>
                <w:i w:val="0"/>
                <w:color w:val="212121"/>
                <w:sz w:val="19"/>
              </w:rPr>
              <w:t>Vitiligo</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Coexisting organ-specific autoimmunity targeting melanocyte-associated antigens.</w:t>
            </w:r>
          </w:p>
          <w:p>
            <w:pPr>
              <w:spacing w:after="40" w:before="0" w:line="259" w:lineRule="auto"/>
            </w:pPr>
            <w:r>
              <w:rPr>
                <w:rFonts w:ascii="Calibri" w:hAnsi="Calibri"/>
                <w:b/>
                <w:i w:val="0"/>
                <w:color w:val="212121"/>
                <w:sz w:val="19"/>
              </w:rPr>
              <w:t>~5%</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25-OH-D is common in AA and correlates inversely with SALT severity; correction is supportive.</w:t>
            </w:r>
          </w:p>
          <w:p>
            <w:pPr>
              <w:spacing w:after="40" w:before="0" w:line="259" w:lineRule="auto"/>
            </w:pPr>
            <w:r>
              <w:rPr>
                <w:rFonts w:ascii="Calibri" w:hAnsi="Calibri"/>
                <w:b/>
                <w:i w:val="0"/>
                <w:color w:val="212121"/>
                <w:sz w:val="19"/>
              </w:rPr>
              <w:t>Up to 64%</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hair loss provokes low mood, and psychological stress can trigger or extend AA.</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Significantly more common in AA; distress of visible loss and fear of progression drive symptoms.</w:t>
            </w:r>
          </w:p>
        </w:tc>
      </w:tr>
      <w:tr>
        <w:trPr>
          <w:cantSplit/>
        </w:trPr>
        <w:tc>
          <w:tcPr>
            <w:tcW w:type="dxa" w:w="2232"/>
            <w:vAlign w:val="top"/>
          </w:tcPr>
          <w:p>
            <w:pPr>
              <w:spacing w:after="40" w:before="0" w:line="259" w:lineRule="auto"/>
            </w:pPr>
            <w:r>
              <w:rPr>
                <w:rFonts w:ascii="Calibri" w:hAnsi="Calibri"/>
                <w:b/>
                <w:i w:val="0"/>
                <w:color w:val="212121"/>
                <w:sz w:val="19"/>
              </w:rPr>
              <w:t>Down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Trisomy-21 immune dysregulation (AIRE locus) greatly increases AA frequency.</w:t>
            </w:r>
          </w:p>
        </w:tc>
      </w:tr>
      <w:tr>
        <w:trPr>
          <w:cantSplit/>
        </w:trPr>
        <w:tc>
          <w:tcPr>
            <w:tcW w:type="dxa" w:w="2232"/>
            <w:vAlign w:val="top"/>
          </w:tcPr>
          <w:p>
            <w:pPr>
              <w:spacing w:after="40" w:before="0" w:line="259" w:lineRule="auto"/>
            </w:pPr>
            <w:r>
              <w:rPr>
                <w:rFonts w:ascii="Calibri" w:hAnsi="Calibri"/>
                <w:b/>
                <w:i w:val="0"/>
                <w:color w:val="212121"/>
                <w:sz w:val="19"/>
              </w:rPr>
              <w:t>Type 1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Shared organ-specific autoimmune diathesis; screen when autoimmune clustering is present.</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 / connective-tissue autoimmunity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Occurs more often with extensive AA; may prompt an autoimmune (ANA) screen.</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iron stores may aggravate hair shedding and refractoriness; correct alongside AA therapy.</w:t>
            </w:r>
          </w:p>
        </w:tc>
      </w:tr>
      <w:tr>
        <w:trPr>
          <w:cantSplit/>
        </w:trPr>
        <w:tc>
          <w:tcPr>
            <w:tcW w:type="dxa" w:w="2232"/>
            <w:vAlign w:val="top"/>
          </w:tcPr>
          <w:p>
            <w:pPr>
              <w:spacing w:after="40" w:before="0" w:line="259" w:lineRule="auto"/>
            </w:pPr>
            <w:r>
              <w:rPr>
                <w:rFonts w:ascii="Calibri" w:hAnsi="Calibri"/>
                <w:b/>
                <w:i w:val="0"/>
                <w:color w:val="212121"/>
                <w:sz w:val="19"/>
              </w:rPr>
              <w:t>Celiac disease / pernicious anaemia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Part of the wider autoimmune polyglandular tendency associated with AA.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alopecia areata is an autoimmune condition, not an infection, and is not contagious.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patchy hair loss is often self-limiting: 50-80% of patchy cases regrow within a year, though relapse is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early signs of spread (new/widening patches, exclamation-mark hairs) and seek timely dermatology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extensive/early-onset disease and nail involvement predict a more guarded prognosis and need specialist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of associated autoimmune conditions (thyroid, vitiligo, atopy) and the value of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about treatment, including newer oral JAK inhibitors for severe disease, and the need for monitoring.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extensive disease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patient for anxiety, depression and quality-of-life impact (e.g., DLQI) and refer for counselling when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stress-reduction techniques (mindfulness, relaxation, yoga, breathing exercises) as psychological stress can trigger and worsen AA.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access to support groups and patient organisations to reduce isolation and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camouflage options (wigs, hairpieces, scalp micropigmentation, eyebrow tattoo) to support self-image.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Escalate to psychiatric care for severe depression or suicidal ideation, particularly in totalis/universalis.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visible/extensive AA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mood or anxiety symptoms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deficiency (very common in India) with sunlight exposure and supplementation guided by serum 25-OH-D.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iron intake and correct low ferritin, especially in menstruating women and 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zinc and protein intake to support keratinocyte and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anti-inflammatory diet rich in vegetables, fruit, whole grains and pulses.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fad crash diets and unproven supplements marketed as hair-loss cures.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AA patients with micronutrient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Indoor/veiled lifestyles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≥150 minutes/week of moderate activity to reduce stress and systemic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regular exercise, walking or yoga as part of overall stress and mood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adequate sleep and relaxation to lower cortisol-driven triggers.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and high-stress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nightly to keep cortisol and inflammatory tone in check.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sleep-wake timing; address shift-work and insomnia which raise autoimmune-aggravating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(limit late-night screens, caffeine and stimulants).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tobacco; smoking-related oxidative stress may aggravate autoimmune skin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nicotine-replacement and cessation support to smokers with AA.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particularly for affected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 with AA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affected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can worsen sleep, mood and nutritional status that influence the disease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especially when on systemic immunosuppressants or JAK inhibitors.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AA on systemic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structured activity during flares as adjunct stress management alongside medical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bald scalp from sun during outdoor exercise with a hat or broad-spectrum sunscreen.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under active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extensive scalp involvement</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dvl.com/alopecia-areata-an-update/" TargetMode="External"/><Relationship Id="rId10" Type="http://schemas.openxmlformats.org/officeDocument/2006/relationships/hyperlink" Target="https://www.ijord.com/index.php/ijord/article/view/422" TargetMode="External"/><Relationship Id="rId11" Type="http://schemas.openxmlformats.org/officeDocument/2006/relationships/hyperlink" Target="https://pubmed.ncbi.nlm.nih.gov/8838924/" TargetMode="External"/><Relationship Id="rId12" Type="http://schemas.openxmlformats.org/officeDocument/2006/relationships/hyperlink" Target="https://pubmed.ncbi.nlm.nih.gov/36523776/" TargetMode="External"/><Relationship Id="rId13" Type="http://schemas.openxmlformats.org/officeDocument/2006/relationships/hyperlink" Target="https://pubmed.ncbi.nlm.nih.gov/30775298/" TargetMode="External"/><Relationship Id="rId14" Type="http://schemas.openxmlformats.org/officeDocument/2006/relationships/hyperlink" Target="https://www.frontiersin.org/journals/endocrinology/articles/10.3389/fendo.2024.1440941/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