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Telogen Effluvium</w:t>
      </w:r>
    </w:p>
    <w:p>
      <w:pPr>
        <w:spacing w:before="0" w:after="160"/>
      </w:pPr>
      <w:r>
        <w:rPr>
          <w:rFonts w:ascii="Calibri" w:hAnsi="Calibri"/>
          <w:b/>
          <w:i w:val="0"/>
          <w:color w:val="212121"/>
          <w:sz w:val="22"/>
        </w:rPr>
        <w:t xml:space="preserve">AKA </w:t>
      </w:r>
      <w:r>
        <w:rPr>
          <w:rFonts w:ascii="Calibri" w:hAnsi="Calibri"/>
          <w:b w:val="0"/>
          <w:i w:val="0"/>
          <w:color w:val="212121"/>
          <w:sz w:val="22"/>
        </w:rPr>
        <w:t>i.e., TE, Diffuse hair shedding, Stress hair loss, Postpartum hair fall (telogen gravidarum)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Telogen effluvium is a common, non-scarring and usually reversible form of diffuse hair loss in which a physical, hormonal, nutritional or emotional stressor prematurely pushes a large proportion of scalp follicles out of the growing (anagen) phase and into the resting (telogen) phase. About 2 to 3 months later these resting hairs are shed as club hairs, so daily loss rises from the normal 50 to 100 hairs up to 300 or more. Normally only about 10 to 15% of scalp hairs are in telogen; in TE this can rise to 30% or beyond. It is typically self-limiting once the trigger is removed, though a chronic fluctuating form persisting beyond 6 months also exists.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Telogen effluvium is one of the commonest causes of diffuse hair loss presenting to Indian dermatology and trichology clinics, particularly among women of reproductive age. In an Indian hospital series of 135 women presenting with hair loss, TE was the single most common diagnosis (62.2%). Its high burden in India is amplified by widespread anaemia (about 53% of women aged 15 to 49), predominantly cereal-based low-iron vegetarian diets, and common thyroid and vitamin deficiencies. Exact community prevalence is unknown because most cases are self-limiting and under-reported.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Telogen effluvium is primarily a clinical diagnosis based on a compatible history and examination, supported by simple bedside tests and a targeted laboratory search for the underlying trigger.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History of a triggering event (febrile illness, surgery, childbirth, crash dieting, new drug or acute psychological stress) typically 2 to 3 months before the onset of shedding;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Diffuse, non-patchy thinning over the whole scalp with a preserved frontal hairline and a normal part width, and no scarring, erythema, scaling or follicular plugging;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Positive hair pull test - gentle traction on a bunch of hairs extracts 4 or more hairs, predominantly telogen (club) hairs with white/depigmented bulbs;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Trichogram / trichoscopy showing more than 25% telogen hairs with short upright regrowing hairs and, importantly, no follicular miniaturisation;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Modified wash test / 60-second hair count - collection of more than 100 shed hairs in 24 hours supports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Scalp biopsy (reserved for chronic or atypical cases) - a telogen count of 25 to 50% (normal below 15%) with a terminal-to-vellus ratio above 8:1 confirms chronic TE and distinguishes it from androgenetic alopecia;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Laboratory work-up to identify the cause: complete blood count and serum ferritin (iron stores), thyroid-stimulating hormone, serum 25-hydroxy vitamin D, and, where indicated, serum zinc, ANA and syphilis serology.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Telogen effluvium is classified clinically by duration (acute versus chronic) and mechanistically by Headington's five functional patterns of altered hair cycling:</w:t>
      </w:r>
    </w:p>
    <w:p>
      <w:pPr>
        <w:spacing w:before="0" w:after="80"/>
      </w:pPr>
      <w:r>
        <w:rPr>
          <w:rFonts w:ascii="Calibri" w:hAnsi="Calibri"/>
          <w:b w:val="0"/>
          <w:i w:val="0"/>
          <w:color w:val="212121"/>
          <w:sz w:val="21"/>
        </w:rPr>
        <w:t>(1) Acute telogen effluvium - abrupt, diffuse shedding lasting less than 6 months that follows an identifiable trigger roughly 2 to 3 months earlier; around 95% of cases resolve spontaneously once the cause is removed;</w:t>
      </w:r>
    </w:p>
    <w:p>
      <w:pPr>
        <w:spacing w:before="0" w:after="80"/>
      </w:pPr>
      <w:r>
        <w:rPr>
          <w:rFonts w:ascii="Calibri" w:hAnsi="Calibri"/>
          <w:b w:val="0"/>
          <w:i w:val="0"/>
          <w:color w:val="212121"/>
          <w:sz w:val="21"/>
        </w:rPr>
        <w:t>(2) Chronic telogen effluvium (CTE) - fluctuating diffuse shedding persisting beyond 6 months, often idiopathic, seen predominantly in women aged 30 to 60 with previously thick hair, and which must be carefully distinguished from early androgenetic alopecia;</w:t>
      </w:r>
    </w:p>
    <w:p>
      <w:pPr>
        <w:spacing w:before="0" w:after="80"/>
      </w:pPr>
      <w:r>
        <w:rPr>
          <w:rFonts w:ascii="Calibri" w:hAnsi="Calibri"/>
          <w:b w:val="0"/>
          <w:i w:val="0"/>
          <w:color w:val="212121"/>
          <w:sz w:val="21"/>
        </w:rPr>
        <w:t>(3) Immediate anagen release (Headington) - the commonest mechanism, in which follicles prematurely leave anagen for telogen after fever, severe illness, surgery or psychological stress, producing shedding 2 to 3 months later;</w:t>
      </w:r>
    </w:p>
    <w:p>
      <w:pPr>
        <w:spacing w:before="0" w:after="80"/>
      </w:pPr>
      <w:r>
        <w:rPr>
          <w:rFonts w:ascii="Calibri" w:hAnsi="Calibri"/>
          <w:b w:val="0"/>
          <w:i w:val="0"/>
          <w:color w:val="212121"/>
          <w:sz w:val="21"/>
        </w:rPr>
        <w:t>(4) Delayed anagen release - anagen is prolonged and then synchronously released into telogen, classically causing postpartum telogen gravidarum after the fall in oestrogen; delayed telogen release similarly explains seasonal shedding (increased July to October);</w:t>
      </w:r>
    </w:p>
    <w:p>
      <w:pPr>
        <w:spacing w:before="0" w:after="80"/>
      </w:pPr>
      <w:r>
        <w:rPr>
          <w:rFonts w:ascii="Calibri" w:hAnsi="Calibri"/>
          <w:b w:val="0"/>
          <w:i w:val="0"/>
          <w:color w:val="212121"/>
          <w:sz w:val="21"/>
        </w:rPr>
        <w:t>(5) Immediate telogen release and short anagen syndrome - shortening of the telogen phase with premature anagen re-entry (as seen when starting minoxidil), and idiopathic shortening of anagen leading to persistent low-grade telogen shedding.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Physiologic / metabolic stress: High fever, severe systemic infection (including COVID-19 and dengue), major surgery, anaesthesia, trauma and haemorrhage synchronise follicles into telogen (immediate anagen release).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Hormonal shifts: Postpartum oestrogen withdrawal (telogen gravidarum), stopping oral contraceptives, and thyroid dysfunction (both hypo- and hyperthyroidism) disrupt normal hair cycling.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Nutritional deficiency: Iron deficiency and low serum ferritin, protein-energy malnutrition, crash dieting, and zinc or vitamin D deficiency are leading and highly relevant causes in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Drug-induced: Retinoids, beta-blockers, anticoagulants, antithyroid drugs, anticonvulsants (carbamazepine), heavy-metal exposure and excess vitamin A can precipitate shedding.</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Psychological stress: Severe emotional or psychological stress precipitates acute shedding through neuroendocrine effects on the follicle and is often accompanied by trichodynia.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Chronic systemic illness: Malignancy, autoimmune disease (e.g., SLE), chronic renal or hepatic disease, malabsorption and syphilis/HIV can drive chronic diffuse telogen shedding.</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(reproductive-age)</w:t>
            </w:r>
          </w:p>
        </w:tc>
        <w:tc>
          <w:tcPr>
            <w:tcW w:type="dxa" w:w="4276"/>
            <w:vAlign w:val="top"/>
          </w:tcPr>
          <w:p>
            <w:pPr>
              <w:spacing w:after="60" w:line="259" w:lineRule="auto"/>
            </w:pPr>
            <w:r>
              <w:rPr>
                <w:rFonts w:ascii="Calibri" w:hAnsi="Calibri"/>
                <w:b w:val="0"/>
                <w:i w:val="0"/>
                <w:color w:val="212121"/>
                <w:sz w:val="19"/>
              </w:rPr>
              <w:t>Working-age adults, especially women, accumulate the classic triggers of TE - pregnancy and delivery, dieting for weight loss, menstrual iron loss, febrile illnesses and occupational/psychological stress - so a large share of shedding presents in this group.</w:t>
            </w:r>
          </w:p>
          <w:p>
            <w:pPr>
              <w:spacing w:after="40" w:before="60" w:line="259" w:lineRule="auto"/>
            </w:pPr>
            <w:r>
              <w:rPr>
                <w:rFonts w:ascii="Calibri" w:hAnsi="Calibri"/>
                <w:b w:val="0"/>
                <w:i w:val="0"/>
                <w:color w:val="212121"/>
                <w:sz w:val="19"/>
              </w:rPr>
              <w:t>In an Indian series of women with hair loss (TE the commonest diagnosis) the mean age was about 31 years (30.96 +/- 8.5), spanning 15 to 60 years.</w:t>
            </w:r>
          </w:p>
          <w:p>
            <w:pPr>
              <w:spacing w:after="40" w:line="252" w:lineRule="auto"/>
            </w:pPr>
            <w:hyperlink r:id="rId9">
              <w:r>
                <w:rPr>
                  <w:rFonts w:ascii="Calibri" w:hAnsi="Calibri" w:cs="Calibri"/>
                  <w:sz w:val="18"/>
                  <w:color w:val="1155CC"/>
                  <w:u w:val="single"/>
                </w:rPr>
                <w:t xml:space="preserve">hindawi.com/journals/drp/2016/6279108 - Deo et al (India)</w:t>
              </w:r>
            </w:hyperlink>
          </w:p>
          <w:p>
            <w:pPr>
              <w:spacing w:before="60" w:after="40"/>
            </w:pPr>
            <w:r>
              <w:rPr>
                <w:rFonts w:ascii="Calibri" w:hAnsi="Calibri"/>
                <w:b w:val="0"/>
                <w:i w:val="0"/>
                <w:color w:val="5A5A5A"/>
                <w:sz w:val="18"/>
              </w:rPr>
              <w:t>#telogeneffluvium  #reproductiveage  #hairshedding  #womenshealth</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Senescent hair cycling, polypharmacy (beta-blockers, anticoagulants, thyroid drugs), reduced dietary protein and micronutrient intake, and a higher load of thyroid and systemic disease make the elderly prone to chronic diffuse telogen shedding with slower regrowth.</w:t>
            </w:r>
          </w:p>
          <w:p>
            <w:pPr>
              <w:spacing w:after="40" w:before="60" w:line="259" w:lineRule="auto"/>
            </w:pPr>
            <w:r>
              <w:rPr>
                <w:rFonts w:ascii="Calibri" w:hAnsi="Calibri"/>
                <w:b w:val="0"/>
                <w:i w:val="0"/>
                <w:color w:val="212121"/>
                <w:sz w:val="19"/>
              </w:rPr>
              <w:t>Chronic telogen effluvium predominantly affects middle-aged and older adults; regrowth can take up to 6 months or longer to become visible.</w:t>
            </w:r>
          </w:p>
          <w:p>
            <w:pPr>
              <w:spacing w:after="40" w:line="252" w:lineRule="auto"/>
            </w:pPr>
            <w:hyperlink r:id="rId10">
              <w:r>
                <w:rPr>
                  <w:rFonts w:ascii="Calibri" w:hAnsi="Calibri" w:cs="Calibri"/>
                  <w:sz w:val="18"/>
                  <w:color w:val="1155CC"/>
                  <w:u w:val="single"/>
                </w:rPr>
                <w:t xml:space="preserve">ncbi.nlm.nih.gov/books/NBK430848 - StatPearls</w:t>
              </w:r>
            </w:hyperlink>
          </w:p>
          <w:p>
            <w:pPr>
              <w:spacing w:before="60" w:after="40"/>
            </w:pPr>
            <w:r>
              <w:rPr>
                <w:rFonts w:ascii="Calibri" w:hAnsi="Calibri"/>
                <w:b w:val="0"/>
                <w:i w:val="0"/>
                <w:color w:val="5A5A5A"/>
                <w:sz w:val="18"/>
              </w:rPr>
              <w:t>#ageing  #polypharmacy  #chronicTE  #slowregrowth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far more susceptible and present more often because of postpartum oestrogen withdrawal, oral-contraceptive changes, menstrual iron loss, higher rates of dieting, and greater cosmetic concern prompting care-seeking.</w:t>
            </w:r>
          </w:p>
          <w:p>
            <w:pPr>
              <w:spacing w:after="40" w:before="60" w:line="259" w:lineRule="auto"/>
            </w:pPr>
            <w:r>
              <w:rPr>
                <w:rFonts w:ascii="Calibri" w:hAnsi="Calibri"/>
                <w:b w:val="0"/>
                <w:i w:val="0"/>
                <w:color w:val="212121"/>
                <w:sz w:val="19"/>
              </w:rPr>
              <w:t>Telogen effluvium accounted for 62.2% of 135 Indian women presenting with hair loss - the single most common diagnosis.</w:t>
            </w:r>
          </w:p>
          <w:p>
            <w:pPr>
              <w:spacing w:after="40" w:line="252" w:lineRule="auto"/>
            </w:pPr>
            <w:hyperlink r:id="rId9">
              <w:r>
                <w:rPr>
                  <w:rFonts w:ascii="Calibri" w:hAnsi="Calibri" w:cs="Calibri"/>
                  <w:sz w:val="18"/>
                  <w:color w:val="1155CC"/>
                  <w:u w:val="single"/>
                </w:rPr>
                <w:t xml:space="preserve">hindawi.com/journals/drp/2016/6279108 - Deo et al (India)</w:t>
              </w:r>
            </w:hyperlink>
          </w:p>
          <w:p>
            <w:pPr>
              <w:spacing w:before="60" w:after="40"/>
            </w:pPr>
            <w:r>
              <w:rPr>
                <w:rFonts w:ascii="Calibri" w:hAnsi="Calibri"/>
                <w:b w:val="0"/>
                <w:i w:val="0"/>
                <w:color w:val="5A5A5A"/>
                <w:sz w:val="18"/>
              </w:rPr>
              <w:t>#women  #postpartum  #ironloss  #telogengravidarum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 undernourished</w:t>
            </w:r>
          </w:p>
        </w:tc>
        <w:tc>
          <w:tcPr>
            <w:tcW w:type="dxa" w:w="4276"/>
            <w:vAlign w:val="top"/>
          </w:tcPr>
          <w:p>
            <w:pPr>
              <w:spacing w:after="60" w:line="259" w:lineRule="auto"/>
            </w:pPr>
            <w:r>
              <w:rPr>
                <w:rFonts w:ascii="Calibri" w:hAnsi="Calibri"/>
                <w:b w:val="0"/>
                <w:i w:val="0"/>
                <w:color w:val="212121"/>
                <w:sz w:val="19"/>
              </w:rPr>
              <w:t>Food insecurity, cereal-dominant low-protein diets and untreated anaemia are commoner at lower socioeconomic levels, providing the nutritional substrate for chronic diffuse telogen shedding.</w:t>
            </w:r>
          </w:p>
          <w:p>
            <w:pPr>
              <w:spacing w:after="40" w:before="60" w:line="259" w:lineRule="auto"/>
            </w:pPr>
            <w:r>
              <w:rPr>
                <w:rFonts w:ascii="Calibri" w:hAnsi="Calibri"/>
                <w:b w:val="0"/>
                <w:i w:val="0"/>
                <w:color w:val="212121"/>
                <w:sz w:val="19"/>
              </w:rPr>
              <w:t>Among Indian women presenting with hair loss, 73.4% were anaemic (haemoglobin below 12 g/dL), underscoring the nutritional burden.</w:t>
            </w:r>
          </w:p>
          <w:p>
            <w:pPr>
              <w:spacing w:after="40" w:line="252" w:lineRule="auto"/>
            </w:pPr>
            <w:hyperlink r:id="rId9">
              <w:r>
                <w:rPr>
                  <w:rFonts w:ascii="Calibri" w:hAnsi="Calibri" w:cs="Calibri"/>
                  <w:sz w:val="18"/>
                  <w:color w:val="1155CC"/>
                  <w:u w:val="single"/>
                </w:rPr>
                <w:t xml:space="preserve">hindawi.com/journals/drp/2016/6279108 - Deo et al (India)</w:t>
              </w:r>
            </w:hyperlink>
          </w:p>
          <w:p>
            <w:pPr>
              <w:spacing w:before="60" w:after="40"/>
            </w:pPr>
            <w:r>
              <w:rPr>
                <w:rFonts w:ascii="Calibri" w:hAnsi="Calibri"/>
                <w:b w:val="0"/>
                <w:i w:val="0"/>
                <w:color w:val="5A5A5A"/>
                <w:sz w:val="18"/>
              </w:rPr>
              <w:t>#undernutrition  #anaemia  #foodinsecurity  #lowSES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women (subcontinental)</w:t>
            </w:r>
          </w:p>
        </w:tc>
        <w:tc>
          <w:tcPr>
            <w:tcW w:type="dxa" w:w="4276"/>
            <w:vAlign w:val="top"/>
          </w:tcPr>
          <w:p>
            <w:pPr>
              <w:spacing w:after="60" w:line="259" w:lineRule="auto"/>
            </w:pPr>
            <w:r>
              <w:rPr>
                <w:rFonts w:ascii="Calibri" w:hAnsi="Calibri"/>
                <w:b w:val="0"/>
                <w:i w:val="0"/>
                <w:color w:val="212121"/>
                <w:sz w:val="19"/>
              </w:rPr>
              <w:t>Predominantly vegetarian, cereal-based diets provide poorly bioavailable non-heme iron, and background anaemia is high, so iron-deficiency-driven telogen shedding is especially frequent in Indian women.</w:t>
            </w:r>
          </w:p>
          <w:p>
            <w:pPr>
              <w:spacing w:after="40" w:before="60" w:line="259" w:lineRule="auto"/>
            </w:pPr>
            <w:r>
              <w:rPr>
                <w:rFonts w:ascii="Calibri" w:hAnsi="Calibri"/>
                <w:b w:val="0"/>
                <w:i w:val="0"/>
                <w:color w:val="212121"/>
                <w:sz w:val="19"/>
              </w:rPr>
              <w:t>About 53% of Indian women aged 15 to 49 are anaemic (WHO/Global Nutrition Report estimate), a leading nutritional driver of diffuse hair loss.</w:t>
            </w:r>
          </w:p>
          <w:p>
            <w:pPr>
              <w:spacing w:after="40" w:line="252" w:lineRule="auto"/>
            </w:pPr>
            <w:hyperlink r:id="rId11">
              <w:r>
                <w:rPr>
                  <w:rFonts w:ascii="Calibri" w:hAnsi="Calibri" w:cs="Calibri"/>
                  <w:sz w:val="18"/>
                  <w:color w:val="1155CC"/>
                  <w:u w:val="single"/>
                </w:rPr>
                <w:t xml:space="preserve">globalnutritionreport.org - India profile (WHO GHO)</w:t>
              </w:r>
            </w:hyperlink>
          </w:p>
          <w:p>
            <w:pPr>
              <w:spacing w:before="60" w:after="40"/>
            </w:pPr>
            <w:r>
              <w:rPr>
                <w:rFonts w:ascii="Calibri" w:hAnsi="Calibri"/>
                <w:b w:val="0"/>
                <w:i w:val="0"/>
                <w:color w:val="5A5A5A"/>
                <w:sz w:val="18"/>
              </w:rPr>
              <w:t>#india  #vegetariandiet  #nonhemeiron  #anaemia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Seasonality</w:t>
            </w:r>
          </w:p>
        </w:tc>
        <w:tc>
          <w:tcPr>
            <w:tcW w:type="dxa" w:w="2160"/>
            <w:vAlign w:val="top"/>
          </w:tcPr>
          <w:p>
            <w:pPr>
              <w:spacing w:after="40" w:before="0" w:line="259" w:lineRule="auto"/>
            </w:pPr>
            <w:r>
              <w:rPr>
                <w:rFonts w:ascii="Calibri" w:hAnsi="Calibri"/>
                <w:b w:val="0"/>
                <w:i w:val="0"/>
                <w:color w:val="212121"/>
                <w:sz w:val="19"/>
              </w:rPr>
              <w:t>Populations with marked seasonal shedding</w:t>
            </w:r>
          </w:p>
        </w:tc>
        <w:tc>
          <w:tcPr>
            <w:tcW w:type="dxa" w:w="4276"/>
            <w:vAlign w:val="top"/>
          </w:tcPr>
          <w:p>
            <w:pPr>
              <w:spacing w:after="60" w:line="259" w:lineRule="auto"/>
            </w:pPr>
            <w:r>
              <w:rPr>
                <w:rFonts w:ascii="Calibri" w:hAnsi="Calibri"/>
                <w:b w:val="0"/>
                <w:i w:val="0"/>
                <w:color w:val="212121"/>
                <w:sz w:val="19"/>
              </w:rPr>
              <w:t>A physiological synchronisation of telogen (delayed telogen release) produces a seasonal peak in shedding, so complaints of increased hair fall cluster in the late-monsoon to autumn months.</w:t>
            </w:r>
          </w:p>
          <w:p>
            <w:pPr>
              <w:spacing w:after="40" w:before="60" w:line="259" w:lineRule="auto"/>
            </w:pPr>
            <w:r>
              <w:rPr>
                <w:rFonts w:ascii="Calibri" w:hAnsi="Calibri"/>
                <w:b w:val="0"/>
                <w:i w:val="0"/>
                <w:color w:val="212121"/>
                <w:sz w:val="19"/>
              </w:rPr>
              <w:t>Seasonal telogen hair shedding is well described, with a noted increase from around July to October.</w:t>
            </w:r>
          </w:p>
          <w:p>
            <w:pPr>
              <w:spacing w:after="40" w:line="252" w:lineRule="auto"/>
            </w:pPr>
            <w:hyperlink r:id="rId12">
              <w:r>
                <w:rPr>
                  <w:rFonts w:ascii="Calibri" w:hAnsi="Calibri" w:cs="Calibri"/>
                  <w:sz w:val="18"/>
                  <w:color w:val="1155CC"/>
                  <w:u w:val="single"/>
                </w:rPr>
                <w:t xml:space="preserve">ijdvl.com/telogen-effluvium - Grover &amp; Khurana</w:t>
              </w:r>
            </w:hyperlink>
          </w:p>
          <w:p>
            <w:pPr>
              <w:spacing w:before="60" w:after="40"/>
            </w:pPr>
            <w:r>
              <w:rPr>
                <w:rFonts w:ascii="Calibri" w:hAnsi="Calibri"/>
                <w:b w:val="0"/>
                <w:i w:val="0"/>
                <w:color w:val="5A5A5A"/>
                <w:sz w:val="18"/>
              </w:rPr>
              <w:t>#seasonalshedding  #delayedtelogenrelease  #monsoon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Crash / fad dieting</w:t>
            </w:r>
          </w:p>
        </w:tc>
        <w:tc>
          <w:tcPr>
            <w:tcW w:type="dxa" w:w="2160"/>
            <w:vAlign w:val="top"/>
          </w:tcPr>
          <w:p>
            <w:pPr>
              <w:spacing w:after="40" w:before="0" w:line="259" w:lineRule="auto"/>
            </w:pPr>
            <w:r>
              <w:rPr>
                <w:rFonts w:ascii="Calibri" w:hAnsi="Calibri"/>
                <w:b w:val="0"/>
                <w:i w:val="0"/>
                <w:color w:val="212121"/>
                <w:sz w:val="19"/>
              </w:rPr>
              <w:t>Rapid weight-loss and fad-diet followers</w:t>
            </w:r>
          </w:p>
        </w:tc>
        <w:tc>
          <w:tcPr>
            <w:tcW w:type="dxa" w:w="4276"/>
            <w:vAlign w:val="top"/>
          </w:tcPr>
          <w:p>
            <w:pPr>
              <w:spacing w:after="60" w:line="259" w:lineRule="auto"/>
            </w:pPr>
            <w:r>
              <w:rPr>
                <w:rFonts w:ascii="Calibri" w:hAnsi="Calibri"/>
                <w:b w:val="0"/>
                <w:i w:val="0"/>
                <w:color w:val="212121"/>
                <w:sz w:val="19"/>
              </w:rPr>
              <w:t>Sudden severe energy and protein restriction shifts follicles into telogen, so aggressive weight-loss regimens and eating disorders frequently precipitate TE 2 to 3 months later.</w:t>
            </w:r>
          </w:p>
          <w:p>
            <w:pPr>
              <w:spacing w:after="40" w:before="60" w:line="259" w:lineRule="auto"/>
            </w:pPr>
            <w:r>
              <w:rPr>
                <w:rFonts w:ascii="Calibri" w:hAnsi="Calibri"/>
                <w:b w:val="0"/>
                <w:i w:val="0"/>
                <w:color w:val="212121"/>
                <w:sz w:val="19"/>
              </w:rPr>
              <w:t>Crash dieting with protein intake below 0.8 g/kg or under about 1200 kcal/day is a recognised trigger of telogen effluvium.</w:t>
            </w:r>
          </w:p>
          <w:p>
            <w:pPr>
              <w:spacing w:after="40" w:line="252" w:lineRule="auto"/>
            </w:pPr>
            <w:hyperlink r:id="rId12">
              <w:r>
                <w:rPr>
                  <w:rFonts w:ascii="Calibri" w:hAnsi="Calibri" w:cs="Calibri"/>
                  <w:sz w:val="18"/>
                  <w:color w:val="1155CC"/>
                  <w:u w:val="single"/>
                </w:rPr>
                <w:t xml:space="preserve">ijdvl.com/telogen-effluvium - Grover &amp; Khurana</w:t>
              </w:r>
            </w:hyperlink>
          </w:p>
          <w:p>
            <w:pPr>
              <w:spacing w:before="60" w:after="40"/>
            </w:pPr>
            <w:r>
              <w:rPr>
                <w:rFonts w:ascii="Calibri" w:hAnsi="Calibri"/>
                <w:b w:val="0"/>
                <w:i w:val="0"/>
                <w:color w:val="5A5A5A"/>
                <w:sz w:val="18"/>
              </w:rPr>
              <w:t>#crashdiet  #rapidweightloss  #proteindeficiency  #fad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Tobacco generates oxidative stress and impairs follicular microcirculation; the association is strongest for androgenetic alopecia and premature greying, with weaker direct evidence for telogen effluvium.</w:t>
            </w:r>
          </w:p>
          <w:p>
            <w:pPr>
              <w:spacing w:after="40" w:before="60" w:line="259" w:lineRule="auto"/>
            </w:pPr>
            <w:r>
              <w:rPr>
                <w:rFonts w:ascii="Calibri" w:hAnsi="Calibri"/>
                <w:b w:val="0"/>
                <w:i w:val="0"/>
                <w:color w:val="212121"/>
                <w:sz w:val="19"/>
              </w:rPr>
              <w:t>Smoking is an established contributor to hair damage and androgenetic alopecia; a direct causal link to TE is plausible but less firmly established.</w:t>
            </w:r>
          </w:p>
          <w:p>
            <w:pPr>
              <w:spacing w:before="60" w:after="40"/>
            </w:pPr>
            <w:r>
              <w:rPr>
                <w:rFonts w:ascii="Calibri" w:hAnsi="Calibri"/>
                <w:b w:val="0"/>
                <w:i w:val="0"/>
                <w:color w:val="5A5A5A"/>
                <w:sz w:val="18"/>
              </w:rPr>
              <w:t>#smoking  #oxidativestress  #microcirculation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Sustained heavy alcohol use promotes protein, zinc and micronutrient depletion and liver dysfunction, indirectly favouring chronic diffuse telogen shedding.</w:t>
            </w:r>
          </w:p>
          <w:p>
            <w:pPr>
              <w:spacing w:after="40" w:before="60" w:line="259" w:lineRule="auto"/>
            </w:pPr>
            <w:r>
              <w:rPr>
                <w:rFonts w:ascii="Calibri" w:hAnsi="Calibri"/>
                <w:b w:val="0"/>
                <w:i w:val="0"/>
                <w:color w:val="212121"/>
                <w:sz w:val="19"/>
              </w:rPr>
              <w:t>No direct causal link at moderate intake; harm is mediated through nutritional deficiency and systemic illness.</w:t>
            </w:r>
          </w:p>
          <w:p>
            <w:pPr>
              <w:spacing w:before="60" w:after="40"/>
            </w:pPr>
            <w:r>
              <w:rPr>
                <w:rFonts w:ascii="Calibri" w:hAnsi="Calibri"/>
                <w:b w:val="0"/>
                <w:i w:val="0"/>
                <w:color w:val="5A5A5A"/>
                <w:sz w:val="18"/>
              </w:rPr>
              <w:t>#alcohol  #malnutrition  #zincdeficiency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Psychological stress</w:t>
            </w:r>
          </w:p>
        </w:tc>
        <w:tc>
          <w:tcPr>
            <w:tcW w:type="dxa" w:w="2160"/>
            <w:vAlign w:val="top"/>
          </w:tcPr>
          <w:p>
            <w:pPr>
              <w:spacing w:after="40" w:before="0" w:line="259" w:lineRule="auto"/>
            </w:pPr>
            <w:r>
              <w:rPr>
                <w:rFonts w:ascii="Calibri" w:hAnsi="Calibri"/>
                <w:b w:val="0"/>
                <w:i w:val="0"/>
                <w:color w:val="212121"/>
                <w:sz w:val="19"/>
              </w:rPr>
              <w:t>High-stress individuals</w:t>
            </w:r>
          </w:p>
        </w:tc>
        <w:tc>
          <w:tcPr>
            <w:tcW w:type="dxa" w:w="4276"/>
            <w:vAlign w:val="top"/>
          </w:tcPr>
          <w:p>
            <w:pPr>
              <w:spacing w:after="60" w:line="259" w:lineRule="auto"/>
            </w:pPr>
            <w:r>
              <w:rPr>
                <w:rFonts w:ascii="Calibri" w:hAnsi="Calibri"/>
                <w:b w:val="0"/>
                <w:i w:val="0"/>
                <w:color w:val="212121"/>
                <w:sz w:val="19"/>
              </w:rPr>
              <w:t>Acute severe emotional stress precipitates synchronised anagen release, and scalp dysaesthesia (trichodynia) frequently accompanies stress-related shedding.</w:t>
            </w:r>
          </w:p>
          <w:p>
            <w:pPr>
              <w:spacing w:after="40" w:before="60" w:line="259" w:lineRule="auto"/>
            </w:pPr>
            <w:r>
              <w:rPr>
                <w:rFonts w:ascii="Calibri" w:hAnsi="Calibri"/>
                <w:b w:val="0"/>
                <w:i w:val="0"/>
                <w:color w:val="212121"/>
                <w:sz w:val="19"/>
              </w:rPr>
              <w:t>Trichodynia was reported in 29% of patients with hair loss versus 3.3% of controls (p&lt;0.0001), and is more frequent in TE than androgenetic alopecia.</w:t>
            </w:r>
          </w:p>
          <w:p>
            <w:pPr>
              <w:spacing w:after="40" w:line="252" w:lineRule="auto"/>
            </w:pPr>
            <w:hyperlink r:id="rId12">
              <w:r>
                <w:rPr>
                  <w:rFonts w:ascii="Calibri" w:hAnsi="Calibri" w:cs="Calibri"/>
                  <w:sz w:val="18"/>
                  <w:color w:val="1155CC"/>
                  <w:u w:val="single"/>
                </w:rPr>
                <w:t xml:space="preserve">ijdvl.com/telogen-effluvium - Grover &amp; Khurana</w:t>
              </w:r>
            </w:hyperlink>
          </w:p>
          <w:p>
            <w:pPr>
              <w:spacing w:before="60" w:after="40"/>
            </w:pPr>
            <w:r>
              <w:rPr>
                <w:rFonts w:ascii="Calibri" w:hAnsi="Calibri"/>
                <w:b w:val="0"/>
                <w:i w:val="0"/>
                <w:color w:val="5A5A5A"/>
                <w:sz w:val="18"/>
              </w:rPr>
              <w:t>#stress  #trichodynia  #anagenrelease  #mentalhealth</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Vegetarian / vegan diets</w:t>
            </w:r>
          </w:p>
        </w:tc>
        <w:tc>
          <w:tcPr>
            <w:tcW w:type="dxa" w:w="4276"/>
            <w:vAlign w:val="top"/>
          </w:tcPr>
          <w:p>
            <w:pPr>
              <w:spacing w:after="60" w:line="259" w:lineRule="auto"/>
            </w:pPr>
            <w:r>
              <w:rPr>
                <w:rFonts w:ascii="Calibri" w:hAnsi="Calibri"/>
                <w:b w:val="0"/>
                <w:i w:val="0"/>
                <w:color w:val="212121"/>
                <w:sz w:val="19"/>
              </w:rPr>
              <w:t>Plant-based diets provide mainly non-heme iron with lower bioavailability and may be low in vitamin B12, protein and zinc, increasing the risk of deficiency-related telogen shedding - highly relevant given India's large vegetarian population.</w:t>
            </w:r>
          </w:p>
          <w:p>
            <w:pPr>
              <w:spacing w:after="40" w:before="60" w:line="259" w:lineRule="auto"/>
            </w:pPr>
            <w:r>
              <w:rPr>
                <w:rFonts w:ascii="Calibri" w:hAnsi="Calibri"/>
                <w:b w:val="0"/>
                <w:i w:val="0"/>
                <w:color w:val="212121"/>
                <w:sz w:val="19"/>
              </w:rPr>
              <w:t>Iron deficiency anaemia is among the most common nutritional deficiencies worldwide and a leading cause of chronic diffuse telogen hair loss.</w:t>
            </w:r>
          </w:p>
          <w:p>
            <w:pPr>
              <w:spacing w:after="40" w:line="252" w:lineRule="auto"/>
            </w:pPr>
            <w:hyperlink r:id="rId12">
              <w:r>
                <w:rPr>
                  <w:rFonts w:ascii="Calibri" w:hAnsi="Calibri" w:cs="Calibri"/>
                  <w:sz w:val="18"/>
                  <w:color w:val="1155CC"/>
                  <w:u w:val="single"/>
                </w:rPr>
                <w:t xml:space="preserve">ijdvl.com/telogen-effluvium - Grover &amp; Khurana</w:t>
              </w:r>
            </w:hyperlink>
          </w:p>
          <w:p>
            <w:pPr>
              <w:spacing w:before="60" w:after="40"/>
            </w:pPr>
            <w:r>
              <w:rPr>
                <w:rFonts w:ascii="Calibri" w:hAnsi="Calibri"/>
                <w:b w:val="0"/>
                <w:i w:val="0"/>
                <w:color w:val="5A5A5A"/>
                <w:sz w:val="18"/>
              </w:rPr>
              <w:t>#vegetarian  #nonhemeiron  #B12  #zinc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Restrictive intake</w:t>
            </w:r>
          </w:p>
        </w:tc>
        <w:tc>
          <w:tcPr>
            <w:tcW w:type="dxa" w:w="2160"/>
            <w:vAlign w:val="top"/>
          </w:tcPr>
          <w:p>
            <w:pPr>
              <w:spacing w:after="40" w:before="0" w:line="259" w:lineRule="auto"/>
            </w:pPr>
            <w:r>
              <w:rPr>
                <w:rFonts w:ascii="Calibri" w:hAnsi="Calibri"/>
                <w:b w:val="0"/>
                <w:i w:val="0"/>
                <w:color w:val="212121"/>
                <w:sz w:val="19"/>
              </w:rPr>
              <w:t>Very-low-calorie / post-bariatric</w:t>
            </w:r>
          </w:p>
        </w:tc>
        <w:tc>
          <w:tcPr>
            <w:tcW w:type="dxa" w:w="4276"/>
            <w:vAlign w:val="top"/>
          </w:tcPr>
          <w:p>
            <w:pPr>
              <w:spacing w:after="60" w:line="259" w:lineRule="auto"/>
            </w:pPr>
            <w:r>
              <w:rPr>
                <w:rFonts w:ascii="Calibri" w:hAnsi="Calibri"/>
                <w:b w:val="0"/>
                <w:i w:val="0"/>
                <w:color w:val="212121"/>
                <w:sz w:val="19"/>
              </w:rPr>
              <w:t>Very-low-calorie diets and rapid post-bariatric weight loss cause protein-energy and micronutrient malnutrition, a well-recognised precipitant of telogen effluvium.</w:t>
            </w:r>
          </w:p>
          <w:p>
            <w:pPr>
              <w:spacing w:after="40" w:before="60" w:line="259" w:lineRule="auto"/>
            </w:pPr>
            <w:r>
              <w:rPr>
                <w:rFonts w:ascii="Calibri" w:hAnsi="Calibri"/>
                <w:b w:val="0"/>
                <w:i w:val="0"/>
                <w:color w:val="212121"/>
                <w:sz w:val="19"/>
              </w:rPr>
              <w:t>Malnutrition, malabsorption and essential fatty-acid or zinc deficiency are documented causes of chronic diffuse telogen hair loss.</w:t>
            </w:r>
          </w:p>
          <w:p>
            <w:pPr>
              <w:spacing w:after="40" w:line="252" w:lineRule="auto"/>
            </w:pPr>
            <w:hyperlink r:id="rId12">
              <w:r>
                <w:rPr>
                  <w:rFonts w:ascii="Calibri" w:hAnsi="Calibri" w:cs="Calibri"/>
                  <w:sz w:val="18"/>
                  <w:color w:val="1155CC"/>
                  <w:u w:val="single"/>
                </w:rPr>
                <w:t xml:space="preserve">ijdvl.com/telogen-effluvium - Grover &amp; Khurana</w:t>
              </w:r>
            </w:hyperlink>
          </w:p>
          <w:p>
            <w:pPr>
              <w:spacing w:before="60" w:after="40"/>
            </w:pPr>
            <w:r>
              <w:rPr>
                <w:rFonts w:ascii="Calibri" w:hAnsi="Calibri"/>
                <w:b w:val="0"/>
                <w:i w:val="0"/>
                <w:color w:val="5A5A5A"/>
                <w:sz w:val="18"/>
              </w:rPr>
              <w:t>#bariatric  #lowcalorie  #malnutrition  #PEM</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Familial androgenetic alopecia</w:t>
            </w:r>
          </w:p>
        </w:tc>
        <w:tc>
          <w:tcPr>
            <w:tcW w:type="dxa" w:w="4276"/>
            <w:vAlign w:val="top"/>
          </w:tcPr>
          <w:p>
            <w:pPr>
              <w:spacing w:after="60" w:line="259" w:lineRule="auto"/>
            </w:pPr>
            <w:r>
              <w:rPr>
                <w:rFonts w:ascii="Calibri" w:hAnsi="Calibri"/>
                <w:b w:val="0"/>
                <w:i w:val="0"/>
                <w:color w:val="212121"/>
                <w:sz w:val="19"/>
              </w:rPr>
              <w:t>In people genetically predisposed to androgenetic alopecia, chronic telogen shedding often overlaps with and unmasks underlying miniaturisation, complicating diagnosis and prognosis.</w:t>
            </w:r>
          </w:p>
          <w:p>
            <w:pPr>
              <w:spacing w:after="40" w:before="60" w:line="259" w:lineRule="auto"/>
            </w:pPr>
            <w:r>
              <w:rPr>
                <w:rFonts w:ascii="Calibri" w:hAnsi="Calibri"/>
                <w:b w:val="0"/>
                <w:i w:val="0"/>
                <w:color w:val="212121"/>
                <w:sz w:val="19"/>
              </w:rPr>
              <w:t>In women with chronic diffuse telogen shedding, up to 60% showed hair miniaturisation consistent with androgenetic alopecia on scalp biopsy.</w:t>
            </w:r>
          </w:p>
          <w:p>
            <w:pPr>
              <w:spacing w:after="40" w:line="252" w:lineRule="auto"/>
            </w:pPr>
            <w:hyperlink r:id="rId12">
              <w:r>
                <w:rPr>
                  <w:rFonts w:ascii="Calibri" w:hAnsi="Calibri" w:cs="Calibri"/>
                  <w:sz w:val="18"/>
                  <w:color w:val="1155CC"/>
                  <w:u w:val="single"/>
                </w:rPr>
                <w:t xml:space="preserve">ijdvl.com/telogen-effluvium - Grover &amp; Khurana</w:t>
              </w:r>
            </w:hyperlink>
          </w:p>
          <w:p>
            <w:pPr>
              <w:spacing w:before="60" w:after="40"/>
            </w:pPr>
            <w:r>
              <w:rPr>
                <w:rFonts w:ascii="Calibri" w:hAnsi="Calibri"/>
                <w:b w:val="0"/>
                <w:i w:val="0"/>
                <w:color w:val="5A5A5A"/>
                <w:sz w:val="18"/>
              </w:rPr>
              <w:t>#familyhistory  #androgeneticalopecia  #miniaturisation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Short anagen syndrome</w:t>
            </w:r>
          </w:p>
        </w:tc>
        <w:tc>
          <w:tcPr>
            <w:tcW w:type="dxa" w:w="2160"/>
            <w:vAlign w:val="top"/>
          </w:tcPr>
          <w:p>
            <w:pPr>
              <w:spacing w:after="40" w:before="0" w:line="259" w:lineRule="auto"/>
            </w:pPr>
            <w:r>
              <w:rPr>
                <w:rFonts w:ascii="Calibri" w:hAnsi="Calibri"/>
                <w:b w:val="0"/>
                <w:i w:val="0"/>
                <w:color w:val="212121"/>
                <w:sz w:val="19"/>
              </w:rPr>
              <w:t>Individuals with idiopathic short anagen</w:t>
            </w:r>
          </w:p>
        </w:tc>
        <w:tc>
          <w:tcPr>
            <w:tcW w:type="dxa" w:w="4276"/>
            <w:vAlign w:val="top"/>
          </w:tcPr>
          <w:p>
            <w:pPr>
              <w:spacing w:after="60" w:line="259" w:lineRule="auto"/>
            </w:pPr>
            <w:r>
              <w:rPr>
                <w:rFonts w:ascii="Calibri" w:hAnsi="Calibri"/>
                <w:b w:val="0"/>
                <w:i w:val="0"/>
                <w:color w:val="212121"/>
                <w:sz w:val="19"/>
              </w:rPr>
              <w:t>An idiopathic shortening of the anagen phase increases the resting fraction, producing persistent low-grade telogen shedding and an inability to grow long hair, sometimes from childhood.</w:t>
            </w:r>
          </w:p>
          <w:p>
            <w:pPr>
              <w:spacing w:after="40" w:before="60" w:line="259" w:lineRule="auto"/>
            </w:pPr>
            <w:r>
              <w:rPr>
                <w:rFonts w:ascii="Calibri" w:hAnsi="Calibri"/>
                <w:b w:val="0"/>
                <w:i w:val="0"/>
                <w:color w:val="212121"/>
                <w:sz w:val="19"/>
              </w:rPr>
              <w:t>Telogen effluvium accounts for only a minority of paediatric hair loss (about 2.7% of cases).</w:t>
            </w:r>
          </w:p>
          <w:p>
            <w:pPr>
              <w:spacing w:after="40" w:line="252" w:lineRule="auto"/>
            </w:pPr>
            <w:hyperlink r:id="rId12">
              <w:r>
                <w:rPr>
                  <w:rFonts w:ascii="Calibri" w:hAnsi="Calibri" w:cs="Calibri"/>
                  <w:sz w:val="18"/>
                  <w:color w:val="1155CC"/>
                  <w:u w:val="single"/>
                </w:rPr>
                <w:t xml:space="preserve">ijdvl.com/telogen-effluvium - Grover &amp; Khurana</w:t>
              </w:r>
            </w:hyperlink>
          </w:p>
          <w:p>
            <w:pPr>
              <w:spacing w:before="60" w:after="40"/>
            </w:pPr>
            <w:r>
              <w:rPr>
                <w:rFonts w:ascii="Calibri" w:hAnsi="Calibri"/>
                <w:b w:val="0"/>
                <w:i w:val="0"/>
                <w:color w:val="5A5A5A"/>
                <w:sz w:val="18"/>
              </w:rPr>
              <w:t>#shortanagen  #idiopathic  #paediatric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Iron deficiency anaemia</w:t>
            </w:r>
          </w:p>
        </w:tc>
        <w:tc>
          <w:tcPr>
            <w:tcW w:type="dxa" w:w="2160"/>
            <w:vAlign w:val="top"/>
          </w:tcPr>
          <w:p>
            <w:pPr>
              <w:spacing w:after="40" w:before="0" w:line="259" w:lineRule="auto"/>
            </w:pPr>
            <w:r>
              <w:rPr>
                <w:rFonts w:ascii="Calibri" w:hAnsi="Calibri"/>
                <w:b w:val="0"/>
                <w:i w:val="0"/>
                <w:color w:val="212121"/>
                <w:sz w:val="19"/>
              </w:rPr>
              <w:t>Patients with low ferritin / IDA</w:t>
            </w:r>
          </w:p>
        </w:tc>
        <w:tc>
          <w:tcPr>
            <w:tcW w:type="dxa" w:w="4276"/>
            <w:vAlign w:val="top"/>
          </w:tcPr>
          <w:p>
            <w:pPr>
              <w:spacing w:after="60" w:line="259" w:lineRule="auto"/>
            </w:pPr>
            <w:r>
              <w:rPr>
                <w:rFonts w:ascii="Calibri" w:hAnsi="Calibri"/>
                <w:b w:val="0"/>
                <w:i w:val="0"/>
                <w:color w:val="212121"/>
                <w:sz w:val="19"/>
              </w:rPr>
              <w:t>Depleted iron stores impair the highly proliferative hair matrix, and profound iron-deficiency anaemia is one of the most common correctable causes of chronic diffuse telogen shedding, especially in menstruating and pregnant women.</w:t>
            </w:r>
          </w:p>
          <w:p>
            <w:pPr>
              <w:spacing w:after="40" w:before="60" w:line="259" w:lineRule="auto"/>
            </w:pPr>
            <w:r>
              <w:rPr>
                <w:rFonts w:ascii="Calibri" w:hAnsi="Calibri"/>
                <w:b w:val="0"/>
                <w:i w:val="0"/>
                <w:color w:val="212121"/>
                <w:sz w:val="19"/>
              </w:rPr>
              <w:t>73.4% of Indian women presenting with hair loss were anaemic; a serum ferritin cut-off of 41 ng/mL gave 98% sensitivity and 98% specificity for hair loss in one analysis.</w:t>
            </w:r>
          </w:p>
          <w:p>
            <w:pPr>
              <w:spacing w:after="40" w:line="252" w:lineRule="auto"/>
            </w:pPr>
            <w:hyperlink r:id="rId9">
              <w:r>
                <w:rPr>
                  <w:rFonts w:ascii="Calibri" w:hAnsi="Calibri" w:cs="Calibri"/>
                  <w:sz w:val="18"/>
                  <w:color w:val="1155CC"/>
                  <w:u w:val="single"/>
                </w:rPr>
                <w:t xml:space="preserve">hindawi.com/journals/drp/2016/6279108 - Deo et al (India)</w:t>
              </w:r>
            </w:hyperlink>
          </w:p>
          <w:p>
            <w:pPr>
              <w:spacing w:before="60" w:after="40"/>
            </w:pPr>
            <w:r>
              <w:rPr>
                <w:rFonts w:ascii="Calibri" w:hAnsi="Calibri"/>
                <w:b w:val="0"/>
                <w:i w:val="0"/>
                <w:color w:val="5A5A5A"/>
                <w:sz w:val="18"/>
              </w:rPr>
              <w:t>#irondeficiency  #ferritin  #anaemia  #IDA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dysfunction</w:t>
            </w:r>
          </w:p>
        </w:tc>
        <w:tc>
          <w:tcPr>
            <w:tcW w:type="dxa" w:w="2160"/>
            <w:vAlign w:val="top"/>
          </w:tcPr>
          <w:p>
            <w:pPr>
              <w:spacing w:after="40" w:before="0" w:line="259" w:lineRule="auto"/>
            </w:pPr>
            <w:r>
              <w:rPr>
                <w:rFonts w:ascii="Calibri" w:hAnsi="Calibri"/>
                <w:b w:val="0"/>
                <w:i w:val="0"/>
                <w:color w:val="212121"/>
                <w:sz w:val="19"/>
              </w:rPr>
              <w:t>Hypo- or hyperthyroid patients</w:t>
            </w:r>
          </w:p>
        </w:tc>
        <w:tc>
          <w:tcPr>
            <w:tcW w:type="dxa" w:w="4276"/>
            <w:vAlign w:val="top"/>
          </w:tcPr>
          <w:p>
            <w:pPr>
              <w:spacing w:after="60" w:line="259" w:lineRule="auto"/>
            </w:pPr>
            <w:r>
              <w:rPr>
                <w:rFonts w:ascii="Calibri" w:hAnsi="Calibri"/>
                <w:b w:val="0"/>
                <w:i w:val="0"/>
                <w:color w:val="212121"/>
                <w:sz w:val="19"/>
              </w:rPr>
              <w:t>Both hypothyroidism and hyperthyroidism disturb follicular cycling and are important, easily screened and reversible causes of diffuse telogen shedding.</w:t>
            </w:r>
          </w:p>
          <w:p>
            <w:pPr>
              <w:spacing w:after="40" w:before="60" w:line="259" w:lineRule="auto"/>
            </w:pPr>
            <w:r>
              <w:rPr>
                <w:rFonts w:ascii="Calibri" w:hAnsi="Calibri"/>
                <w:b w:val="0"/>
                <w:i w:val="0"/>
                <w:color w:val="212121"/>
                <w:sz w:val="19"/>
              </w:rPr>
              <w:t>Thyroid disorders were found in 17% of Indian women presenting with hair loss (including newly diagnosed cases).</w:t>
            </w:r>
          </w:p>
          <w:p>
            <w:pPr>
              <w:spacing w:after="40" w:line="252" w:lineRule="auto"/>
            </w:pPr>
            <w:hyperlink r:id="rId9">
              <w:r>
                <w:rPr>
                  <w:rFonts w:ascii="Calibri" w:hAnsi="Calibri" w:cs="Calibri"/>
                  <w:sz w:val="18"/>
                  <w:color w:val="1155CC"/>
                  <w:u w:val="single"/>
                </w:rPr>
                <w:t xml:space="preserve">hindawi.com/journals/drp/2016/6279108 - Deo et al (India)</w:t>
              </w:r>
            </w:hyperlink>
          </w:p>
          <w:p>
            <w:pPr>
              <w:spacing w:before="60" w:after="40"/>
            </w:pPr>
            <w:r>
              <w:rPr>
                <w:rFonts w:ascii="Calibri" w:hAnsi="Calibri"/>
                <w:b w:val="0"/>
                <w:i w:val="0"/>
                <w:color w:val="5A5A5A"/>
                <w:sz w:val="18"/>
              </w:rPr>
              <w:t>#thyroid  #hypothyroidism  #TSH  #reversiblecause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Postpartum state</w:t>
            </w:r>
          </w:p>
        </w:tc>
        <w:tc>
          <w:tcPr>
            <w:tcW w:type="dxa" w:w="2160"/>
            <w:vAlign w:val="top"/>
          </w:tcPr>
          <w:p>
            <w:pPr>
              <w:spacing w:after="40" w:before="0" w:line="259" w:lineRule="auto"/>
            </w:pPr>
            <w:r>
              <w:rPr>
                <w:rFonts w:ascii="Calibri" w:hAnsi="Calibri"/>
                <w:b w:val="0"/>
                <w:i w:val="0"/>
                <w:color w:val="212121"/>
                <w:sz w:val="19"/>
              </w:rPr>
              <w:t>Recently delivered women (telogen gravidarum)</w:t>
            </w:r>
          </w:p>
        </w:tc>
        <w:tc>
          <w:tcPr>
            <w:tcW w:type="dxa" w:w="4276"/>
            <w:vAlign w:val="top"/>
          </w:tcPr>
          <w:p>
            <w:pPr>
              <w:spacing w:after="60" w:line="259" w:lineRule="auto"/>
            </w:pPr>
            <w:r>
              <w:rPr>
                <w:rFonts w:ascii="Calibri" w:hAnsi="Calibri"/>
                <w:b w:val="0"/>
                <w:i w:val="0"/>
                <w:color w:val="212121"/>
                <w:sz w:val="19"/>
              </w:rPr>
              <w:t>The sharp fall in oestrogen after delivery synchronously releases follicles held in prolonged anagen during pregnancy, causing a characteristic burst of shedding around 2 to 4 months postpartum.</w:t>
            </w:r>
          </w:p>
          <w:p>
            <w:pPr>
              <w:spacing w:after="40" w:before="60" w:line="259" w:lineRule="auto"/>
            </w:pPr>
            <w:r>
              <w:rPr>
                <w:rFonts w:ascii="Calibri" w:hAnsi="Calibri"/>
                <w:b w:val="0"/>
                <w:i w:val="0"/>
                <w:color w:val="212121"/>
                <w:sz w:val="19"/>
              </w:rPr>
              <w:t>Telogen gravidarum affects roughly one-third to one-half of women following childbirth.</w:t>
            </w:r>
          </w:p>
          <w:p>
            <w:pPr>
              <w:spacing w:after="40" w:line="252" w:lineRule="auto"/>
            </w:pPr>
            <w:hyperlink r:id="rId12">
              <w:r>
                <w:rPr>
                  <w:rFonts w:ascii="Calibri" w:hAnsi="Calibri" w:cs="Calibri"/>
                  <w:sz w:val="18"/>
                  <w:color w:val="1155CC"/>
                  <w:u w:val="single"/>
                </w:rPr>
                <w:t xml:space="preserve">ijdvl.com/telogen-effluvium - Grover &amp; Khurana</w:t>
              </w:r>
            </w:hyperlink>
          </w:p>
          <w:p>
            <w:pPr>
              <w:spacing w:before="60" w:after="40"/>
            </w:pPr>
            <w:r>
              <w:rPr>
                <w:rFonts w:ascii="Calibri" w:hAnsi="Calibri"/>
                <w:b w:val="0"/>
                <w:i w:val="0"/>
                <w:color w:val="5A5A5A"/>
                <w:sz w:val="18"/>
              </w:rPr>
              <w:t>#postpartum  #telogengravidarum  #oestrogen  #childbirth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Recent febrile illness / surgery</w:t>
            </w:r>
          </w:p>
        </w:tc>
        <w:tc>
          <w:tcPr>
            <w:tcW w:type="dxa" w:w="2160"/>
            <w:vAlign w:val="top"/>
          </w:tcPr>
          <w:p>
            <w:pPr>
              <w:spacing w:after="40" w:before="0" w:line="259" w:lineRule="auto"/>
            </w:pPr>
            <w:r>
              <w:rPr>
                <w:rFonts w:ascii="Calibri" w:hAnsi="Calibri"/>
                <w:b w:val="0"/>
                <w:i w:val="0"/>
                <w:color w:val="212121"/>
                <w:sz w:val="19"/>
              </w:rPr>
              <w:t>Post-illness and post-operative patients</w:t>
            </w:r>
          </w:p>
        </w:tc>
        <w:tc>
          <w:tcPr>
            <w:tcW w:type="dxa" w:w="4276"/>
            <w:vAlign w:val="top"/>
          </w:tcPr>
          <w:p>
            <w:pPr>
              <w:spacing w:after="60" w:line="259" w:lineRule="auto"/>
            </w:pPr>
            <w:r>
              <w:rPr>
                <w:rFonts w:ascii="Calibri" w:hAnsi="Calibri"/>
                <w:b w:val="0"/>
                <w:i w:val="0"/>
                <w:color w:val="212121"/>
                <w:sz w:val="19"/>
              </w:rPr>
              <w:t>High fever, severe infection (including COVID-19 and dengue), major surgery and significant blood loss precipitate immediate anagen release, with shedding characteristically appearing about 2 to 3 months after the event.</w:t>
            </w:r>
          </w:p>
          <w:p>
            <w:pPr>
              <w:spacing w:after="40" w:before="60" w:line="259" w:lineRule="auto"/>
            </w:pPr>
            <w:r>
              <w:rPr>
                <w:rFonts w:ascii="Calibri" w:hAnsi="Calibri"/>
                <w:b w:val="0"/>
                <w:i w:val="0"/>
                <w:color w:val="212121"/>
                <w:sz w:val="19"/>
              </w:rPr>
              <w:t>The causative event typically precedes shedding by about 3 months (range 1 to 6 months).</w:t>
            </w:r>
          </w:p>
          <w:p>
            <w:pPr>
              <w:spacing w:after="40" w:line="252" w:lineRule="auto"/>
            </w:pPr>
            <w:hyperlink r:id="rId10">
              <w:r>
                <w:rPr>
                  <w:rFonts w:ascii="Calibri" w:hAnsi="Calibri" w:cs="Calibri"/>
                  <w:sz w:val="18"/>
                  <w:color w:val="1155CC"/>
                  <w:u w:val="single"/>
                </w:rPr>
                <w:t xml:space="preserve">ncbi.nlm.nih.gov/books/NBK430848 - StatPearls</w:t>
              </w:r>
            </w:hyperlink>
          </w:p>
          <w:p>
            <w:pPr>
              <w:spacing w:before="60" w:after="40"/>
            </w:pPr>
            <w:r>
              <w:rPr>
                <w:rFonts w:ascii="Calibri" w:hAnsi="Calibri"/>
                <w:b w:val="0"/>
                <w:i w:val="0"/>
                <w:color w:val="5A5A5A"/>
                <w:sz w:val="18"/>
              </w:rPr>
              <w:t>#postillness  #fever  #postCOVID  #postsurgery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Vitamin D deficiency</w:t>
            </w:r>
          </w:p>
        </w:tc>
        <w:tc>
          <w:tcPr>
            <w:tcW w:type="dxa" w:w="2160"/>
            <w:vAlign w:val="top"/>
          </w:tcPr>
          <w:p>
            <w:pPr>
              <w:spacing w:after="40" w:before="0" w:line="259" w:lineRule="auto"/>
            </w:pPr>
            <w:r>
              <w:rPr>
                <w:rFonts w:ascii="Calibri" w:hAnsi="Calibri"/>
                <w:b w:val="0"/>
                <w:i w:val="0"/>
                <w:color w:val="212121"/>
                <w:sz w:val="19"/>
              </w:rPr>
              <w:t>Patients with low 25-OH vitamin D</w:t>
            </w:r>
          </w:p>
        </w:tc>
        <w:tc>
          <w:tcPr>
            <w:tcW w:type="dxa" w:w="4276"/>
            <w:vAlign w:val="top"/>
          </w:tcPr>
          <w:p>
            <w:pPr>
              <w:spacing w:after="60" w:line="259" w:lineRule="auto"/>
            </w:pPr>
            <w:r>
              <w:rPr>
                <w:rFonts w:ascii="Calibri" w:hAnsi="Calibri"/>
                <w:b w:val="0"/>
                <w:i w:val="0"/>
                <w:color w:val="212121"/>
                <w:sz w:val="19"/>
              </w:rPr>
              <w:t>Vitamin D receptors are important in follicular cycling, and low serum vitamin D is associated with several forms of hair loss; deficiency is extremely common across India.</w:t>
            </w:r>
          </w:p>
          <w:p>
            <w:pPr>
              <w:spacing w:after="40" w:before="60" w:line="259" w:lineRule="auto"/>
            </w:pPr>
            <w:r>
              <w:rPr>
                <w:rFonts w:ascii="Calibri" w:hAnsi="Calibri"/>
                <w:b w:val="0"/>
                <w:i w:val="0"/>
                <w:color w:val="212121"/>
                <w:sz w:val="19"/>
              </w:rPr>
              <w:t>In a case-control study, 80% of female pattern hair loss patients had serum vitamin D below 20 ng/mL (mean 13.5 vs 17.2 ng/mL in controls, p=0.04).</w:t>
            </w:r>
          </w:p>
          <w:p>
            <w:pPr>
              <w:spacing w:after="40" w:line="252" w:lineRule="auto"/>
            </w:pPr>
            <w:hyperlink r:id="rId13">
              <w:r>
                <w:rPr>
                  <w:rFonts w:ascii="Calibri" w:hAnsi="Calibri" w:cs="Calibri"/>
                  <w:sz w:val="18"/>
                  <w:color w:val="1155CC"/>
                  <w:u w:val="single"/>
                </w:rPr>
                <w:t xml:space="preserve">pmc.ncbi.nlm.nih.gov/articles/PMC5007917 - Banihashemi et al</w:t>
              </w:r>
            </w:hyperlink>
          </w:p>
          <w:p>
            <w:pPr>
              <w:spacing w:before="60" w:after="40"/>
            </w:pPr>
            <w:r>
              <w:rPr>
                <w:rFonts w:ascii="Calibri" w:hAnsi="Calibri"/>
                <w:b w:val="0"/>
                <w:i w:val="0"/>
                <w:color w:val="5A5A5A"/>
                <w:sz w:val="18"/>
              </w:rPr>
              <w:t>#vitaminD  #hairloss  #deficiency  #follicle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Routine moderate activity has no established causal role in TE; however, the rapid, severe energy deficit that can accompany extreme exercise plus crash-dieting regimens is a recognised trigger of shedding.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Nutrition is central: iron deficiency/low ferritin, protein-energy malnutrition, crash dieting and zinc or vitamin D deficiency are among the leading modifiable causes of chronic diffuse telogen shedding, especially in India.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sleep deprivation contributes to physiological stress that can perturb the hair cycle, but direct evidence linking poor sleep specifically to TE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generates oxidative stress and impairs follicular microcirculation and is strongly linked to androgenetic alopecia and premature greying; a direct causal link to telogen effluvium is weaker.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heavy alcohol use contributes indirectly through protein, zinc and micronutrient depletion and liver disease; moderate intake has no established direct link to TE.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Severe emotional or psychological stress precipitates acute TE via neuroendocrine effects on hair cycling; trichodynia (scalp pain/paraesthesia) was reported in 29% of hair-loss patients versus 3.3% of controls.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role of hydration status in the pathogenesis or prevention of telogen effluvium.</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systemic link between caffeine intake and TE; topical caffeine has been studied only in the context of androgenetic alopecia.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Hair-washing frequency and normal hygiene do not cause TE, but harsh traction, tight styling and vigorous grooming increase mechanical breakage and the perception of excessive shedding.</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TE is fundamentally a reaction pattern to provoking events - febrile illness, surgery/anaesthesia, childbirth, sudden weight loss, new medications, thyroid dysfunction and acute stress - typically 2 to 3 months before shedding begins.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ferritin (ng/mL)</w:t>
            </w:r>
          </w:p>
        </w:tc>
        <w:tc>
          <w:tcPr>
            <w:tcW w:type="dxa" w:w="1655"/>
            <w:vAlign w:val="top"/>
          </w:tcPr>
          <w:p>
            <w:pPr>
              <w:spacing w:after="40" w:before="0" w:line="259" w:lineRule="auto"/>
            </w:pPr>
            <w:r>
              <w:rPr>
                <w:rFonts w:ascii="Calibri" w:hAnsi="Calibri"/>
                <w:b w:val="0"/>
                <w:i w:val="0"/>
                <w:color w:val="212121"/>
                <w:sz w:val="19"/>
              </w:rPr>
              <w:t>Women, menstruating adults, vegetarians</w:t>
            </w:r>
          </w:p>
        </w:tc>
        <w:tc>
          <w:tcPr>
            <w:tcW w:type="dxa" w:w="1512"/>
            <w:vAlign w:val="top"/>
          </w:tcPr>
          <w:p>
            <w:pPr>
              <w:spacing w:after="40" w:before="0" w:line="259" w:lineRule="auto"/>
            </w:pPr>
            <w:r>
              <w:rPr>
                <w:rFonts w:ascii="Calibri" w:hAnsi="Calibri"/>
                <w:b w:val="0"/>
                <w:i w:val="0"/>
                <w:color w:val="212121"/>
                <w:sz w:val="19"/>
              </w:rPr>
              <w:t>&gt;= 40-70 ng/mL</w:t>
            </w:r>
          </w:p>
        </w:tc>
        <w:tc>
          <w:tcPr>
            <w:tcW w:type="dxa" w:w="1512"/>
            <w:vAlign w:val="top"/>
          </w:tcPr>
          <w:p>
            <w:pPr>
              <w:spacing w:after="40" w:before="0" w:line="259" w:lineRule="auto"/>
            </w:pPr>
            <w:r>
              <w:rPr>
                <w:rFonts w:ascii="Calibri" w:hAnsi="Calibri"/>
                <w:b w:val="0"/>
                <w:i w:val="0"/>
                <w:color w:val="212121"/>
                <w:sz w:val="19"/>
              </w:rPr>
              <w:t>&lt; 30 ng/mL (borderline &lt; 41)</w:t>
            </w:r>
          </w:p>
        </w:tc>
        <w:tc>
          <w:tcPr>
            <w:tcW w:type="dxa" w:w="1468"/>
            <w:vAlign w:val="top"/>
          </w:tcPr>
          <w:p>
            <w:pPr>
              <w:spacing w:after="60" w:line="259" w:lineRule="auto"/>
            </w:pPr>
            <w:r>
              <w:rPr>
                <w:rFonts w:ascii="Calibri" w:hAnsi="Calibri"/>
                <w:b w:val="0"/>
                <w:i w:val="0"/>
                <w:color w:val="212121"/>
                <w:sz w:val="19"/>
              </w:rPr>
              <w:t>Depleted iron stores drive chronic telogen shedding; a ferritin &gt;70 ng/mL is a common therapeutic target.</w:t>
            </w:r>
          </w:p>
          <w:p>
            <w:pPr>
              <w:spacing w:after="40" w:line="252" w:lineRule="auto"/>
            </w:pPr>
            <w:hyperlink r:id="rId12">
              <w:r>
                <w:rPr>
                  <w:rFonts w:ascii="Calibri" w:hAnsi="Calibri" w:cs="Calibri"/>
                  <w:sz w:val="18"/>
                  <w:color w:val="1155CC"/>
                  <w:u w:val="single"/>
                </w:rPr>
                <w:t xml:space="preserve">https://ijdvl.com/telogen-effluvium/</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Women of reproductive age, pregnant women</w:t>
            </w:r>
          </w:p>
        </w:tc>
        <w:tc>
          <w:tcPr>
            <w:tcW w:type="dxa" w:w="1512"/>
            <w:vAlign w:val="top"/>
          </w:tcPr>
          <w:p>
            <w:pPr>
              <w:spacing w:after="40" w:before="0" w:line="259" w:lineRule="auto"/>
            </w:pPr>
            <w:r>
              <w:rPr>
                <w:rFonts w:ascii="Calibri" w:hAnsi="Calibri"/>
                <w:b w:val="0"/>
                <w:i w:val="0"/>
                <w:color w:val="212121"/>
                <w:sz w:val="19"/>
              </w:rPr>
              <w:t>&gt;= 12 (F) / &gt;= 13 (M)</w:t>
            </w:r>
          </w:p>
        </w:tc>
        <w:tc>
          <w:tcPr>
            <w:tcW w:type="dxa" w:w="1512"/>
            <w:vAlign w:val="top"/>
          </w:tcPr>
          <w:p>
            <w:pPr>
              <w:spacing w:after="40" w:before="0" w:line="259" w:lineRule="auto"/>
            </w:pPr>
            <w:r>
              <w:rPr>
                <w:rFonts w:ascii="Calibri" w:hAnsi="Calibri"/>
                <w:b w:val="0"/>
                <w:i w:val="0"/>
                <w:color w:val="212121"/>
                <w:sz w:val="19"/>
              </w:rPr>
              <w:t>&lt; 12 g/dL (female)</w:t>
            </w:r>
          </w:p>
        </w:tc>
        <w:tc>
          <w:tcPr>
            <w:tcW w:type="dxa" w:w="1468"/>
            <w:vAlign w:val="top"/>
          </w:tcPr>
          <w:p>
            <w:pPr>
              <w:spacing w:after="60" w:line="259" w:lineRule="auto"/>
            </w:pPr>
            <w:r>
              <w:rPr>
                <w:rFonts w:ascii="Calibri" w:hAnsi="Calibri"/>
                <w:b w:val="0"/>
                <w:i w:val="0"/>
                <w:color w:val="212121"/>
                <w:sz w:val="19"/>
              </w:rPr>
              <w:t>Anaemia is highly prevalent in Indian women and a leading nutritional driver of diffuse hair loss.</w:t>
            </w:r>
          </w:p>
          <w:p>
            <w:pPr>
              <w:spacing w:after="40" w:line="252" w:lineRule="auto"/>
            </w:pPr>
            <w:hyperlink r:id="rId11">
              <w:r>
                <w:rPr>
                  <w:rFonts w:ascii="Calibri" w:hAnsi="Calibri" w:cs="Calibri"/>
                  <w:sz w:val="18"/>
                  <w:color w:val="1155CC"/>
                  <w:u w:val="single"/>
                </w:rPr>
                <w:t xml:space="preserve">https://globalnutritionreport.org/resources/nutrition-profiles/asia/southern-asia/india/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25-hydroxy vitamin D (ng/mL)</w:t>
            </w:r>
          </w:p>
        </w:tc>
        <w:tc>
          <w:tcPr>
            <w:tcW w:type="dxa" w:w="1655"/>
            <w:vAlign w:val="top"/>
          </w:tcPr>
          <w:p>
            <w:pPr>
              <w:spacing w:after="40" w:before="0" w:line="259" w:lineRule="auto"/>
            </w:pPr>
            <w:r>
              <w:rPr>
                <w:rFonts w:ascii="Calibri" w:hAnsi="Calibri"/>
                <w:b w:val="0"/>
                <w:i w:val="0"/>
                <w:color w:val="212121"/>
                <w:sz w:val="19"/>
              </w:rPr>
              <w:t>Indoor workers, veiled/low-sun-exposure adults</w:t>
            </w:r>
          </w:p>
        </w:tc>
        <w:tc>
          <w:tcPr>
            <w:tcW w:type="dxa" w:w="1512"/>
            <w:vAlign w:val="top"/>
          </w:tcPr>
          <w:p>
            <w:pPr>
              <w:spacing w:after="40" w:before="0" w:line="259" w:lineRule="auto"/>
            </w:pPr>
            <w:r>
              <w:rPr>
                <w:rFonts w:ascii="Calibri" w:hAnsi="Calibri"/>
                <w:b w:val="0"/>
                <w:i w:val="0"/>
                <w:color w:val="212121"/>
                <w:sz w:val="19"/>
              </w:rPr>
              <w:t>&gt;= 30 ng/mL</w:t>
            </w:r>
          </w:p>
        </w:tc>
        <w:tc>
          <w:tcPr>
            <w:tcW w:type="dxa" w:w="1512"/>
            <w:vAlign w:val="top"/>
          </w:tcPr>
          <w:p>
            <w:pPr>
              <w:spacing w:after="40" w:before="0" w:line="259" w:lineRule="auto"/>
            </w:pPr>
            <w:r>
              <w:rPr>
                <w:rFonts w:ascii="Calibri" w:hAnsi="Calibri"/>
                <w:b w:val="0"/>
                <w:i w:val="0"/>
                <w:color w:val="212121"/>
                <w:sz w:val="19"/>
              </w:rPr>
              <w:t>&lt; 20 ng/mL</w:t>
            </w:r>
          </w:p>
        </w:tc>
        <w:tc>
          <w:tcPr>
            <w:tcW w:type="dxa" w:w="1468"/>
            <w:vAlign w:val="top"/>
          </w:tcPr>
          <w:p>
            <w:pPr>
              <w:spacing w:after="60" w:line="259" w:lineRule="auto"/>
            </w:pPr>
            <w:r>
              <w:rPr>
                <w:rFonts w:ascii="Calibri" w:hAnsi="Calibri"/>
                <w:b w:val="0"/>
                <w:i w:val="0"/>
                <w:color w:val="212121"/>
                <w:sz w:val="19"/>
              </w:rPr>
              <w:t>Low vitamin D is associated with several forms of hair loss and is very common in India.</w:t>
            </w:r>
          </w:p>
          <w:p>
            <w:pPr>
              <w:spacing w:after="40" w:line="252" w:lineRule="auto"/>
            </w:pPr>
            <w:hyperlink r:id="rId13">
              <w:r>
                <w:rPr>
                  <w:rFonts w:ascii="Calibri" w:hAnsi="Calibri" w:cs="Calibri"/>
                  <w:sz w:val="18"/>
                  <w:color w:val="1155CC"/>
                  <w:u w:val="single"/>
                </w:rPr>
                <w:t xml:space="preserve">https://pmc.ncbi.nlm.nih.gov/articles/PMC5007917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protein intake (g/kg/day)</w:t>
            </w:r>
          </w:p>
        </w:tc>
        <w:tc>
          <w:tcPr>
            <w:tcW w:type="dxa" w:w="1655"/>
            <w:vAlign w:val="top"/>
          </w:tcPr>
          <w:p>
            <w:pPr>
              <w:spacing w:after="40" w:before="0" w:line="259" w:lineRule="auto"/>
            </w:pPr>
            <w:r>
              <w:rPr>
                <w:rFonts w:ascii="Calibri" w:hAnsi="Calibri"/>
                <w:b w:val="0"/>
                <w:i w:val="0"/>
                <w:color w:val="212121"/>
                <w:sz w:val="19"/>
              </w:rPr>
              <w:t>Fad-diet followers, elderly, post-bariatric</w:t>
            </w:r>
          </w:p>
        </w:tc>
        <w:tc>
          <w:tcPr>
            <w:tcW w:type="dxa" w:w="1512"/>
            <w:vAlign w:val="top"/>
          </w:tcPr>
          <w:p>
            <w:pPr>
              <w:spacing w:after="40" w:before="0" w:line="259" w:lineRule="auto"/>
            </w:pPr>
            <w:r>
              <w:rPr>
                <w:rFonts w:ascii="Calibri" w:hAnsi="Calibri"/>
                <w:b w:val="0"/>
                <w:i w:val="0"/>
                <w:color w:val="212121"/>
                <w:sz w:val="19"/>
              </w:rPr>
              <w:t>&gt;= 0.8-1.0 g/kg/day</w:t>
            </w:r>
          </w:p>
        </w:tc>
        <w:tc>
          <w:tcPr>
            <w:tcW w:type="dxa" w:w="1512"/>
            <w:vAlign w:val="top"/>
          </w:tcPr>
          <w:p>
            <w:pPr>
              <w:spacing w:after="40" w:before="0" w:line="259" w:lineRule="auto"/>
            </w:pPr>
            <w:r>
              <w:rPr>
                <w:rFonts w:ascii="Calibri" w:hAnsi="Calibri"/>
                <w:b w:val="0"/>
                <w:i w:val="0"/>
                <w:color w:val="212121"/>
                <w:sz w:val="19"/>
              </w:rPr>
              <w:t>&lt; 0.8 g/kg/day</w:t>
            </w:r>
          </w:p>
        </w:tc>
        <w:tc>
          <w:tcPr>
            <w:tcW w:type="dxa" w:w="1468"/>
            <w:vAlign w:val="top"/>
          </w:tcPr>
          <w:p>
            <w:pPr>
              <w:spacing w:after="60" w:line="259" w:lineRule="auto"/>
            </w:pPr>
            <w:r>
              <w:rPr>
                <w:rFonts w:ascii="Calibri" w:hAnsi="Calibri"/>
                <w:b w:val="0"/>
                <w:i w:val="0"/>
                <w:color w:val="212121"/>
                <w:sz w:val="19"/>
              </w:rPr>
              <w:t>Protein restriction shifts follicles into telogen; a classic precipitant of TE.</w:t>
            </w:r>
          </w:p>
          <w:p>
            <w:pPr>
              <w:spacing w:after="40" w:line="252" w:lineRule="auto"/>
            </w:pPr>
            <w:hyperlink r:id="rId12">
              <w:r>
                <w:rPr>
                  <w:rFonts w:ascii="Calibri" w:hAnsi="Calibri" w:cs="Calibri"/>
                  <w:sz w:val="18"/>
                  <w:color w:val="1155CC"/>
                  <w:u w:val="single"/>
                </w:rPr>
                <w:t xml:space="preserve">https://ijdvl.com/telogen-effluvium/</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Caloric intake during weight reduction (kcal/day)</w:t>
            </w:r>
          </w:p>
        </w:tc>
        <w:tc>
          <w:tcPr>
            <w:tcW w:type="dxa" w:w="1655"/>
            <w:vAlign w:val="top"/>
          </w:tcPr>
          <w:p>
            <w:pPr>
              <w:spacing w:after="40" w:before="0" w:line="259" w:lineRule="auto"/>
            </w:pPr>
            <w:r>
              <w:rPr>
                <w:rFonts w:ascii="Calibri" w:hAnsi="Calibri"/>
                <w:b w:val="0"/>
                <w:i w:val="0"/>
                <w:color w:val="212121"/>
                <w:sz w:val="19"/>
              </w:rPr>
              <w:t>Crash dieters, eating-disorder patients</w:t>
            </w:r>
          </w:p>
        </w:tc>
        <w:tc>
          <w:tcPr>
            <w:tcW w:type="dxa" w:w="1512"/>
            <w:vAlign w:val="top"/>
          </w:tcPr>
          <w:p>
            <w:pPr>
              <w:spacing w:after="40" w:before="0" w:line="259" w:lineRule="auto"/>
            </w:pPr>
            <w:r>
              <w:rPr>
                <w:rFonts w:ascii="Calibri" w:hAnsi="Calibri"/>
                <w:b w:val="0"/>
                <w:i w:val="0"/>
                <w:color w:val="212121"/>
                <w:sz w:val="19"/>
              </w:rPr>
              <w:t>&gt;= 1200 kcal/day</w:t>
            </w:r>
          </w:p>
        </w:tc>
        <w:tc>
          <w:tcPr>
            <w:tcW w:type="dxa" w:w="1512"/>
            <w:vAlign w:val="top"/>
          </w:tcPr>
          <w:p>
            <w:pPr>
              <w:spacing w:after="40" w:before="0" w:line="259" w:lineRule="auto"/>
            </w:pPr>
            <w:r>
              <w:rPr>
                <w:rFonts w:ascii="Calibri" w:hAnsi="Calibri"/>
                <w:b w:val="0"/>
                <w:i w:val="0"/>
                <w:color w:val="212121"/>
                <w:sz w:val="19"/>
              </w:rPr>
              <w:t>&lt; 1200 kcal/day</w:t>
            </w:r>
          </w:p>
        </w:tc>
        <w:tc>
          <w:tcPr>
            <w:tcW w:type="dxa" w:w="1468"/>
            <w:vAlign w:val="top"/>
          </w:tcPr>
          <w:p>
            <w:pPr>
              <w:spacing w:after="60" w:line="259" w:lineRule="auto"/>
            </w:pPr>
            <w:r>
              <w:rPr>
                <w:rFonts w:ascii="Calibri" w:hAnsi="Calibri"/>
                <w:b w:val="0"/>
                <w:i w:val="0"/>
                <w:color w:val="212121"/>
                <w:sz w:val="19"/>
              </w:rPr>
              <w:t>Severe energy restriction is a recognised trigger of shedding 2-3 months later.</w:t>
            </w:r>
          </w:p>
          <w:p>
            <w:pPr>
              <w:spacing w:after="40" w:line="252" w:lineRule="auto"/>
            </w:pPr>
            <w:hyperlink r:id="rId12">
              <w:r>
                <w:rPr>
                  <w:rFonts w:ascii="Calibri" w:hAnsi="Calibri" w:cs="Calibri"/>
                  <w:sz w:val="18"/>
                  <w:color w:val="1155CC"/>
                  <w:u w:val="single"/>
                </w:rPr>
                <w:t xml:space="preserve">https://ijdvl.com/telogen-effluvium/</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Rate of weight loss</w:t>
            </w:r>
          </w:p>
        </w:tc>
        <w:tc>
          <w:tcPr>
            <w:tcW w:type="dxa" w:w="1655"/>
            <w:vAlign w:val="top"/>
          </w:tcPr>
          <w:p>
            <w:pPr>
              <w:spacing w:after="40" w:before="0" w:line="259" w:lineRule="auto"/>
            </w:pPr>
            <w:r>
              <w:rPr>
                <w:rFonts w:ascii="Calibri" w:hAnsi="Calibri"/>
                <w:b w:val="0"/>
                <w:i w:val="0"/>
                <w:color w:val="212121"/>
                <w:sz w:val="19"/>
              </w:rPr>
              <w:t>Aggressive dieters, athletes cutting weight</w:t>
            </w:r>
          </w:p>
        </w:tc>
        <w:tc>
          <w:tcPr>
            <w:tcW w:type="dxa" w:w="1512"/>
            <w:vAlign w:val="top"/>
          </w:tcPr>
          <w:p>
            <w:pPr>
              <w:spacing w:after="40" w:before="0" w:line="259" w:lineRule="auto"/>
            </w:pPr>
            <w:r>
              <w:rPr>
                <w:rFonts w:ascii="Calibri" w:hAnsi="Calibri"/>
                <w:b w:val="0"/>
                <w:i w:val="0"/>
                <w:color w:val="212121"/>
                <w:sz w:val="19"/>
              </w:rPr>
              <w:t>&lt; 0.5-1 kg/week</w:t>
            </w:r>
          </w:p>
        </w:tc>
        <w:tc>
          <w:tcPr>
            <w:tcW w:type="dxa" w:w="1512"/>
            <w:vAlign w:val="top"/>
          </w:tcPr>
          <w:p>
            <w:pPr>
              <w:spacing w:after="40" w:before="0" w:line="259" w:lineRule="auto"/>
            </w:pPr>
            <w:r>
              <w:rPr>
                <w:rFonts w:ascii="Calibri" w:hAnsi="Calibri"/>
                <w:b w:val="0"/>
                <w:i w:val="0"/>
                <w:color w:val="212121"/>
                <w:sz w:val="19"/>
              </w:rPr>
              <w:t>Rapid loss (e.g., &gt; 10% body weight)</w:t>
            </w:r>
          </w:p>
        </w:tc>
        <w:tc>
          <w:tcPr>
            <w:tcW w:type="dxa" w:w="1468"/>
            <w:vAlign w:val="top"/>
          </w:tcPr>
          <w:p>
            <w:pPr>
              <w:spacing w:after="40" w:before="0" w:line="259" w:lineRule="auto"/>
            </w:pPr>
            <w:r>
              <w:rPr>
                <w:rFonts w:ascii="Calibri" w:hAnsi="Calibri"/>
                <w:b w:val="0"/>
                <w:i w:val="0"/>
                <w:color w:val="212121"/>
                <w:sz w:val="19"/>
              </w:rPr>
              <w:t>Sudden large weight loss synchronises follicles into telogen.</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Recent major stressor / trichodynia</w:t>
            </w:r>
          </w:p>
        </w:tc>
        <w:tc>
          <w:tcPr>
            <w:tcW w:type="dxa" w:w="1655"/>
            <w:vAlign w:val="top"/>
          </w:tcPr>
          <w:p>
            <w:pPr>
              <w:spacing w:after="40" w:before="0" w:line="259" w:lineRule="auto"/>
            </w:pPr>
            <w:r>
              <w:rPr>
                <w:rFonts w:ascii="Calibri" w:hAnsi="Calibri"/>
                <w:b w:val="0"/>
                <w:i w:val="0"/>
                <w:color w:val="212121"/>
                <w:sz w:val="19"/>
              </w:rPr>
              <w:t>High-stress adults</w:t>
            </w:r>
          </w:p>
        </w:tc>
        <w:tc>
          <w:tcPr>
            <w:tcW w:type="dxa" w:w="1512"/>
            <w:vAlign w:val="top"/>
          </w:tcPr>
          <w:p>
            <w:pPr>
              <w:spacing w:after="40" w:before="0" w:line="259" w:lineRule="auto"/>
            </w:pPr>
            <w:r>
              <w:rPr>
                <w:rFonts w:ascii="Calibri" w:hAnsi="Calibri"/>
                <w:b w:val="0"/>
                <w:i w:val="0"/>
                <w:color w:val="212121"/>
                <w:sz w:val="19"/>
              </w:rPr>
              <w:t>No major stressor; no scalp dysaesthesia</w:t>
            </w:r>
          </w:p>
        </w:tc>
        <w:tc>
          <w:tcPr>
            <w:tcW w:type="dxa" w:w="1512"/>
            <w:vAlign w:val="top"/>
          </w:tcPr>
          <w:p>
            <w:pPr>
              <w:spacing w:after="40" w:before="0" w:line="259" w:lineRule="auto"/>
            </w:pPr>
            <w:r>
              <w:rPr>
                <w:rFonts w:ascii="Calibri" w:hAnsi="Calibri"/>
                <w:b w:val="0"/>
                <w:i w:val="0"/>
                <w:color w:val="212121"/>
                <w:sz w:val="19"/>
              </w:rPr>
              <w:t>Major stressor 2-3 months prior; scalp pain/tingling</w:t>
            </w:r>
          </w:p>
        </w:tc>
        <w:tc>
          <w:tcPr>
            <w:tcW w:type="dxa" w:w="1468"/>
            <w:vAlign w:val="top"/>
          </w:tcPr>
          <w:p>
            <w:pPr>
              <w:spacing w:after="60" w:line="259" w:lineRule="auto"/>
            </w:pPr>
            <w:r>
              <w:rPr>
                <w:rFonts w:ascii="Calibri" w:hAnsi="Calibri"/>
                <w:b w:val="0"/>
                <w:i w:val="0"/>
                <w:color w:val="212121"/>
                <w:sz w:val="19"/>
              </w:rPr>
              <w:t>Trichodynia reported in 29% of hair-loss patients vs 3.3% controls.</w:t>
            </w:r>
          </w:p>
          <w:p>
            <w:pPr>
              <w:spacing w:after="40" w:line="252" w:lineRule="auto"/>
            </w:pPr>
            <w:hyperlink r:id="rId12">
              <w:r>
                <w:rPr>
                  <w:rFonts w:ascii="Calibri" w:hAnsi="Calibri" w:cs="Calibri"/>
                  <w:sz w:val="18"/>
                  <w:color w:val="1155CC"/>
                  <w:u w:val="single"/>
                </w:rPr>
                <w:t xml:space="preserve">https://ijdvl.com/telogen-effluvium/</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Daily hair shed count (hairs/24 h)</w:t>
            </w:r>
          </w:p>
        </w:tc>
        <w:tc>
          <w:tcPr>
            <w:tcW w:type="dxa" w:w="1655"/>
            <w:vAlign w:val="top"/>
          </w:tcPr>
          <w:p>
            <w:pPr>
              <w:spacing w:after="40" w:before="0" w:line="259" w:lineRule="auto"/>
            </w:pPr>
            <w:r>
              <w:rPr>
                <w:rFonts w:ascii="Calibri" w:hAnsi="Calibri"/>
                <w:b w:val="0"/>
                <w:i w:val="0"/>
                <w:color w:val="212121"/>
                <w:sz w:val="19"/>
              </w:rPr>
              <w:t>All patients with new shedding</w:t>
            </w:r>
          </w:p>
        </w:tc>
        <w:tc>
          <w:tcPr>
            <w:tcW w:type="dxa" w:w="1512"/>
            <w:vAlign w:val="top"/>
          </w:tcPr>
          <w:p>
            <w:pPr>
              <w:spacing w:after="40" w:before="0" w:line="259" w:lineRule="auto"/>
            </w:pPr>
            <w:r>
              <w:rPr>
                <w:rFonts w:ascii="Calibri" w:hAnsi="Calibri"/>
                <w:b w:val="0"/>
                <w:i w:val="0"/>
                <w:color w:val="212121"/>
                <w:sz w:val="19"/>
              </w:rPr>
              <w:t>50-100 hairs/day</w:t>
            </w:r>
          </w:p>
        </w:tc>
        <w:tc>
          <w:tcPr>
            <w:tcW w:type="dxa" w:w="1512"/>
            <w:vAlign w:val="top"/>
          </w:tcPr>
          <w:p>
            <w:pPr>
              <w:spacing w:after="40" w:before="0" w:line="259" w:lineRule="auto"/>
            </w:pPr>
            <w:r>
              <w:rPr>
                <w:rFonts w:ascii="Calibri" w:hAnsi="Calibri"/>
                <w:b w:val="0"/>
                <w:i w:val="0"/>
                <w:color w:val="212121"/>
                <w:sz w:val="19"/>
              </w:rPr>
              <w:t>&gt; 100 (up to ~300) hairs/day</w:t>
            </w:r>
          </w:p>
        </w:tc>
        <w:tc>
          <w:tcPr>
            <w:tcW w:type="dxa" w:w="1468"/>
            <w:vAlign w:val="top"/>
          </w:tcPr>
          <w:p>
            <w:pPr>
              <w:spacing w:after="60" w:line="259" w:lineRule="auto"/>
            </w:pPr>
            <w:r>
              <w:rPr>
                <w:rFonts w:ascii="Calibri" w:hAnsi="Calibri"/>
                <w:b w:val="0"/>
                <w:i w:val="0"/>
                <w:color w:val="212121"/>
                <w:sz w:val="19"/>
              </w:rPr>
              <w:t>A modified wash test collecting &gt;100 hairs in 24 h supports the diagnosis.</w:t>
            </w:r>
          </w:p>
          <w:p>
            <w:pPr>
              <w:spacing w:after="40" w:line="252" w:lineRule="auto"/>
            </w:pPr>
            <w:hyperlink r:id="rId14">
              <w:r>
                <w:rPr>
                  <w:rFonts w:ascii="Calibri" w:hAnsi="Calibri" w:cs="Calibri"/>
                  <w:sz w:val="18"/>
                  <w:color w:val="1155CC"/>
                  <w:u w:val="single"/>
                </w:rPr>
                <w:t xml:space="preserve">https://www.aad.org/public/diseases/hair-loss/insider/shedding</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Hair pull test (telogen hairs per pull)</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&lt; 3 hairs (mostly anagen)</w:t>
            </w:r>
          </w:p>
        </w:tc>
        <w:tc>
          <w:tcPr>
            <w:tcW w:type="dxa" w:w="1512"/>
            <w:vAlign w:val="top"/>
          </w:tcPr>
          <w:p>
            <w:pPr>
              <w:spacing w:after="40" w:before="0" w:line="259" w:lineRule="auto"/>
            </w:pPr>
            <w:r>
              <w:rPr>
                <w:rFonts w:ascii="Calibri" w:hAnsi="Calibri"/>
                <w:b w:val="0"/>
                <w:i w:val="0"/>
                <w:color w:val="212121"/>
                <w:sz w:val="19"/>
              </w:rPr>
              <w:t>&gt;= 4-6 telogen club hairs</w:t>
            </w:r>
          </w:p>
        </w:tc>
        <w:tc>
          <w:tcPr>
            <w:tcW w:type="dxa" w:w="1468"/>
            <w:vAlign w:val="top"/>
          </w:tcPr>
          <w:p>
            <w:pPr>
              <w:spacing w:after="60" w:line="259" w:lineRule="auto"/>
            </w:pPr>
            <w:r>
              <w:rPr>
                <w:rFonts w:ascii="Calibri" w:hAnsi="Calibri"/>
                <w:b w:val="0"/>
                <w:i w:val="0"/>
                <w:color w:val="212121"/>
                <w:sz w:val="19"/>
              </w:rPr>
              <w:t>A positive pull test in the acute phase yields several telogen hairs with white bulbs.</w:t>
            </w:r>
          </w:p>
          <w:p>
            <w:pPr>
              <w:spacing w:after="40" w:line="252" w:lineRule="auto"/>
            </w:pPr>
            <w:hyperlink r:id="rId10">
              <w:r>
                <w:rPr>
                  <w:rFonts w:ascii="Calibri" w:hAnsi="Calibri" w:cs="Calibri"/>
                  <w:sz w:val="18"/>
                  <w:color w:val="1155CC"/>
                  <w:u w:val="single"/>
                </w:rPr>
                <w:t xml:space="preserve">https://www.ncbi.nlm.nih.gov/books/NBK430848/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Trichogram / trichoscopy telogen (%)</w:t>
            </w:r>
          </w:p>
        </w:tc>
        <w:tc>
          <w:tcPr>
            <w:tcW w:type="dxa" w:w="1655"/>
            <w:vAlign w:val="top"/>
          </w:tcPr>
          <w:p>
            <w:pPr>
              <w:spacing w:after="40" w:before="0" w:line="259" w:lineRule="auto"/>
            </w:pPr>
            <w:r>
              <w:rPr>
                <w:rFonts w:ascii="Calibri" w:hAnsi="Calibri"/>
                <w:b w:val="0"/>
                <w:i w:val="0"/>
                <w:color w:val="212121"/>
                <w:sz w:val="19"/>
              </w:rPr>
              <w:t>Patients with diffuse thinning</w:t>
            </w:r>
          </w:p>
        </w:tc>
        <w:tc>
          <w:tcPr>
            <w:tcW w:type="dxa" w:w="1512"/>
            <w:vAlign w:val="top"/>
          </w:tcPr>
          <w:p>
            <w:pPr>
              <w:spacing w:after="40" w:before="0" w:line="259" w:lineRule="auto"/>
            </w:pPr>
            <w:r>
              <w:rPr>
                <w:rFonts w:ascii="Calibri" w:hAnsi="Calibri"/>
                <w:b w:val="0"/>
                <w:i w:val="0"/>
                <w:color w:val="212121"/>
                <w:sz w:val="19"/>
              </w:rPr>
              <w:t>&lt; 15-20% telogen</w:t>
            </w:r>
          </w:p>
        </w:tc>
        <w:tc>
          <w:tcPr>
            <w:tcW w:type="dxa" w:w="1512"/>
            <w:vAlign w:val="top"/>
          </w:tcPr>
          <w:p>
            <w:pPr>
              <w:spacing w:after="40" w:before="0" w:line="259" w:lineRule="auto"/>
            </w:pPr>
            <w:r>
              <w:rPr>
                <w:rFonts w:ascii="Calibri" w:hAnsi="Calibri"/>
                <w:b w:val="0"/>
                <w:i w:val="0"/>
                <w:color w:val="212121"/>
                <w:sz w:val="19"/>
              </w:rPr>
              <w:t>&gt; 25% telogen hairs</w:t>
            </w:r>
          </w:p>
        </w:tc>
        <w:tc>
          <w:tcPr>
            <w:tcW w:type="dxa" w:w="1468"/>
            <w:vAlign w:val="top"/>
          </w:tcPr>
          <w:p>
            <w:pPr>
              <w:spacing w:after="60" w:line="259" w:lineRule="auto"/>
            </w:pPr>
            <w:r>
              <w:rPr>
                <w:rFonts w:ascii="Calibri" w:hAnsi="Calibri"/>
                <w:b w:val="0"/>
                <w:i w:val="0"/>
                <w:color w:val="212121"/>
                <w:sz w:val="19"/>
              </w:rPr>
              <w:t>Increased telogen fraction without miniaturisation supports TE over androgenetic alopecia.</w:t>
            </w:r>
          </w:p>
          <w:p>
            <w:pPr>
              <w:spacing w:after="40" w:line="252" w:lineRule="auto"/>
            </w:pPr>
            <w:hyperlink r:id="rId12">
              <w:r>
                <w:rPr>
                  <w:rFonts w:ascii="Calibri" w:hAnsi="Calibri" w:cs="Calibri"/>
                  <w:sz w:val="18"/>
                  <w:color w:val="1155CC"/>
                  <w:u w:val="single"/>
                </w:rPr>
                <w:t xml:space="preserve">https://ijdvl.com/telogen-effluvium/</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Thyroid-stimulating hormone (mIU/L)</w:t>
            </w:r>
          </w:p>
        </w:tc>
        <w:tc>
          <w:tcPr>
            <w:tcW w:type="dxa" w:w="1655"/>
            <w:vAlign w:val="top"/>
          </w:tcPr>
          <w:p>
            <w:pPr>
              <w:spacing w:after="40" w:before="0" w:line="259" w:lineRule="auto"/>
            </w:pPr>
            <w:r>
              <w:rPr>
                <w:rFonts w:ascii="Calibri" w:hAnsi="Calibri"/>
                <w:b w:val="0"/>
                <w:i w:val="0"/>
                <w:color w:val="212121"/>
                <w:sz w:val="19"/>
              </w:rPr>
              <w:t>Adults with diffuse shedding</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Abnormally high or low (hypo-/hyperthyroid)</w:t>
            </w:r>
          </w:p>
        </w:tc>
        <w:tc>
          <w:tcPr>
            <w:tcW w:type="dxa" w:w="1468"/>
            <w:vAlign w:val="top"/>
          </w:tcPr>
          <w:p>
            <w:pPr>
              <w:spacing w:after="60" w:line="259" w:lineRule="auto"/>
            </w:pPr>
            <w:r>
              <w:rPr>
                <w:rFonts w:ascii="Calibri" w:hAnsi="Calibri"/>
                <w:b w:val="0"/>
                <w:i w:val="0"/>
                <w:color w:val="212121"/>
                <w:sz w:val="19"/>
              </w:rPr>
              <w:t>Thyroid disorders found in 17% of Indian women with hair loss; readily screened and reversible.</w:t>
            </w:r>
          </w:p>
          <w:p>
            <w:pPr>
              <w:spacing w:after="40" w:line="252" w:lineRule="auto"/>
            </w:pPr>
            <w:hyperlink r:id="rId9">
              <w:r>
                <w:rPr>
                  <w:rFonts w:ascii="Calibri" w:hAnsi="Calibri" w:cs="Calibri"/>
                  <w:sz w:val="18"/>
                  <w:color w:val="1155CC"/>
                  <w:u w:val="single"/>
                </w:rPr>
                <w:t xml:space="preserve">https://www.hindawi.com/journals/drp/2016/6279108/</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 Haemoglobin</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Hb &gt;= 12 g/dL (F); &gt;= 13 g/dL (M)</w:t>
            </w:r>
          </w:p>
        </w:tc>
        <w:tc>
          <w:tcPr>
            <w:tcW w:type="dxa" w:w="950"/>
            <w:vAlign w:val="top"/>
          </w:tcPr>
          <w:p>
            <w:pPr>
              <w:spacing w:after="40" w:before="0" w:line="259" w:lineRule="auto"/>
            </w:pPr>
            <w:r>
              <w:rPr>
                <w:rFonts w:ascii="Calibri" w:hAnsi="Calibri"/>
                <w:b w:val="0"/>
                <w:i w:val="0"/>
                <w:color w:val="212121"/>
                <w:sz w:val="16"/>
              </w:rPr>
              <w:t>Hb &lt; 12 g/dL (female)</w:t>
            </w:r>
          </w:p>
        </w:tc>
        <w:tc>
          <w:tcPr>
            <w:tcW w:type="dxa" w:w="1036"/>
            <w:vAlign w:val="top"/>
          </w:tcPr>
          <w:p>
            <w:pPr>
              <w:spacing w:after="40" w:before="0" w:line="259" w:lineRule="auto"/>
            </w:pPr>
            <w:r>
              <w:rPr>
                <w:rFonts w:ascii="Calibri" w:hAnsi="Calibri"/>
                <w:b w:val="0"/>
                <w:i w:val="0"/>
                <w:color w:val="212121"/>
                <w:sz w:val="16"/>
              </w:rPr>
              <w:t>Screens for anaemia, a leading nutritional driver of diffuse telogen shedding</w:t>
            </w:r>
          </w:p>
        </w:tc>
        <w:tc>
          <w:tcPr>
            <w:tcW w:type="dxa" w:w="1036"/>
            <w:vAlign w:val="top"/>
          </w:tcPr>
          <w:p>
            <w:pPr>
              <w:spacing w:after="40" w:before="0" w:line="259" w:lineRule="auto"/>
            </w:pPr>
            <w:r>
              <w:rPr>
                <w:rFonts w:ascii="Calibri" w:hAnsi="Calibri"/>
                <w:b w:val="0"/>
                <w:i w:val="0"/>
                <w:color w:val="212121"/>
                <w:sz w:val="16"/>
              </w:rPr>
              <w:t>Women of reproductive age, vegetarians, pregnant/postpartum</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73.4% of Indian women with hair loss were anaemic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ferritin</w:t>
            </w:r>
          </w:p>
        </w:tc>
        <w:tc>
          <w:tcPr>
            <w:tcW w:type="dxa" w:w="892"/>
            <w:vAlign w:val="top"/>
          </w:tcPr>
          <w:p>
            <w:pPr>
              <w:spacing w:after="40" w:before="0" w:line="259" w:lineRule="auto"/>
            </w:pPr>
            <w:r>
              <w:rPr>
                <w:rFonts w:ascii="Calibri" w:hAnsi="Calibri"/>
                <w:b w:val="0"/>
                <w:i w:val="0"/>
                <w:color w:val="212121"/>
                <w:sz w:val="16"/>
              </w:rPr>
              <w:t>Iron store assay</w:t>
            </w:r>
          </w:p>
        </w:tc>
        <w:tc>
          <w:tcPr>
            <w:tcW w:type="dxa" w:w="950"/>
            <w:vAlign w:val="top"/>
          </w:tcPr>
          <w:p>
            <w:pPr>
              <w:spacing w:after="40" w:before="0" w:line="259" w:lineRule="auto"/>
            </w:pPr>
            <w:r>
              <w:rPr>
                <w:rFonts w:ascii="Calibri" w:hAnsi="Calibri"/>
                <w:b w:val="0"/>
                <w:i w:val="0"/>
                <w:color w:val="212121"/>
                <w:sz w:val="16"/>
              </w:rPr>
              <w:t>&gt;= 40-70 ng/mL</w:t>
            </w:r>
          </w:p>
        </w:tc>
        <w:tc>
          <w:tcPr>
            <w:tcW w:type="dxa" w:w="950"/>
            <w:vAlign w:val="top"/>
          </w:tcPr>
          <w:p>
            <w:pPr>
              <w:spacing w:after="40" w:before="0" w:line="259" w:lineRule="auto"/>
            </w:pPr>
            <w:r>
              <w:rPr>
                <w:rFonts w:ascii="Calibri" w:hAnsi="Calibri"/>
                <w:b w:val="0"/>
                <w:i w:val="0"/>
                <w:color w:val="212121"/>
                <w:sz w:val="16"/>
              </w:rPr>
              <w:t>&lt; 30 ng/mL (low stores)</w:t>
            </w:r>
          </w:p>
        </w:tc>
        <w:tc>
          <w:tcPr>
            <w:tcW w:type="dxa" w:w="1036"/>
            <w:vAlign w:val="top"/>
          </w:tcPr>
          <w:p>
            <w:pPr>
              <w:spacing w:after="40" w:before="0" w:line="259" w:lineRule="auto"/>
            </w:pPr>
            <w:r>
              <w:rPr>
                <w:rFonts w:ascii="Calibri" w:hAnsi="Calibri"/>
                <w:b w:val="0"/>
                <w:i w:val="0"/>
                <w:color w:val="212121"/>
                <w:sz w:val="16"/>
              </w:rPr>
              <w:t>Most sensitive marker of depleted iron stores in TE; guides repletion</w:t>
            </w:r>
          </w:p>
        </w:tc>
        <w:tc>
          <w:tcPr>
            <w:tcW w:type="dxa" w:w="1036"/>
            <w:vAlign w:val="top"/>
          </w:tcPr>
          <w:p>
            <w:pPr>
              <w:spacing w:after="40" w:before="0" w:line="259" w:lineRule="auto"/>
            </w:pPr>
            <w:r>
              <w:rPr>
                <w:rFonts w:ascii="Calibri" w:hAnsi="Calibri"/>
                <w:b w:val="0"/>
                <w:i w:val="0"/>
                <w:color w:val="212121"/>
                <w:sz w:val="16"/>
              </w:rPr>
              <w:t>Menstruating women, vegetarians, chronic TE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Key test</w:t>
            </w:r>
          </w:p>
        </w:tc>
        <w:tc>
          <w:tcPr>
            <w:tcW w:type="dxa" w:w="720"/>
            <w:vAlign w:val="top"/>
          </w:tcPr>
          <w:p>
            <w:pPr>
              <w:spacing w:after="40" w:before="0" w:line="259" w:lineRule="auto"/>
            </w:pPr>
            <w:r>
              <w:rPr>
                <w:rFonts w:ascii="Calibri" w:hAnsi="Calibri"/>
                <w:b w:val="0"/>
                <w:i w:val="0"/>
                <w:color w:val="212121"/>
                <w:sz w:val="16"/>
              </w:rPr>
              <w:t>Target &gt;70 ng/mL often used; cut-off ~41 ng/mL highly sensitive/specific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iron, TIBC, transferrin saturation</w:t>
            </w:r>
          </w:p>
        </w:tc>
        <w:tc>
          <w:tcPr>
            <w:tcW w:type="dxa" w:w="892"/>
            <w:vAlign w:val="top"/>
          </w:tcPr>
          <w:p>
            <w:pPr>
              <w:spacing w:after="40" w:before="0" w:line="259" w:lineRule="auto"/>
            </w:pPr>
            <w:r>
              <w:rPr>
                <w:rFonts w:ascii="Calibri" w:hAnsi="Calibri"/>
                <w:b w:val="0"/>
                <w:i w:val="0"/>
                <w:color w:val="212121"/>
                <w:sz w:val="16"/>
              </w:rPr>
              <w:t>Iron studies</w:t>
            </w:r>
          </w:p>
        </w:tc>
        <w:tc>
          <w:tcPr>
            <w:tcW w:type="dxa" w:w="950"/>
            <w:vAlign w:val="top"/>
          </w:tcPr>
          <w:p>
            <w:pPr>
              <w:spacing w:after="40" w:before="0" w:line="259" w:lineRule="auto"/>
            </w:pPr>
            <w:r>
              <w:rPr>
                <w:rFonts w:ascii="Calibri" w:hAnsi="Calibri"/>
                <w:b w:val="0"/>
                <w:i w:val="0"/>
                <w:color w:val="212121"/>
                <w:sz w:val="16"/>
              </w:rPr>
              <w:t>TSAT ~20-45%</w:t>
            </w:r>
          </w:p>
        </w:tc>
        <w:tc>
          <w:tcPr>
            <w:tcW w:type="dxa" w:w="950"/>
            <w:vAlign w:val="top"/>
          </w:tcPr>
          <w:p>
            <w:pPr>
              <w:spacing w:after="40" w:before="0" w:line="259" w:lineRule="auto"/>
            </w:pPr>
            <w:r>
              <w:rPr>
                <w:rFonts w:ascii="Calibri" w:hAnsi="Calibri"/>
                <w:b w:val="0"/>
                <w:i w:val="0"/>
                <w:color w:val="212121"/>
                <w:sz w:val="16"/>
              </w:rPr>
              <w:t>TSAT &lt; 20% with high TIBC</w:t>
            </w:r>
          </w:p>
        </w:tc>
        <w:tc>
          <w:tcPr>
            <w:tcW w:type="dxa" w:w="1036"/>
            <w:vAlign w:val="top"/>
          </w:tcPr>
          <w:p>
            <w:pPr>
              <w:spacing w:after="40" w:before="0" w:line="259" w:lineRule="auto"/>
            </w:pPr>
            <w:r>
              <w:rPr>
                <w:rFonts w:ascii="Calibri" w:hAnsi="Calibri"/>
                <w:b w:val="0"/>
                <w:i w:val="0"/>
                <w:color w:val="212121"/>
                <w:sz w:val="16"/>
              </w:rPr>
              <w:t>Confirms iron-deficient state when ferritin is borderline or raised by inflammation</w:t>
            </w:r>
          </w:p>
        </w:tc>
        <w:tc>
          <w:tcPr>
            <w:tcW w:type="dxa" w:w="1036"/>
            <w:vAlign w:val="top"/>
          </w:tcPr>
          <w:p>
            <w:pPr>
              <w:spacing w:after="40" w:before="0" w:line="259" w:lineRule="auto"/>
            </w:pPr>
            <w:r>
              <w:rPr>
                <w:rFonts w:ascii="Calibri" w:hAnsi="Calibri"/>
                <w:b w:val="0"/>
                <w:i w:val="0"/>
                <w:color w:val="212121"/>
                <w:sz w:val="16"/>
              </w:rPr>
              <w:t>Anaemic patients, inflammatory states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Ferritin is an acute-phase reactant; interpret with CRP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Thyroid-stimulating hormone (+/-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Elevated or suppressed TSH</w:t>
            </w:r>
          </w:p>
        </w:tc>
        <w:tc>
          <w:tcPr>
            <w:tcW w:type="dxa" w:w="1036"/>
            <w:vAlign w:val="top"/>
          </w:tcPr>
          <w:p>
            <w:pPr>
              <w:spacing w:after="40" w:before="0" w:line="259" w:lineRule="auto"/>
            </w:pPr>
            <w:r>
              <w:rPr>
                <w:rFonts w:ascii="Calibri" w:hAnsi="Calibri"/>
                <w:b w:val="0"/>
                <w:i w:val="0"/>
                <w:color w:val="212121"/>
                <w:sz w:val="16"/>
              </w:rPr>
              <w:t>Detects hypo- or hyperthyroidism as a reversible cause</w:t>
            </w:r>
          </w:p>
        </w:tc>
        <w:tc>
          <w:tcPr>
            <w:tcW w:type="dxa" w:w="1036"/>
            <w:vAlign w:val="top"/>
          </w:tcPr>
          <w:p>
            <w:pPr>
              <w:spacing w:after="40" w:before="0" w:line="259" w:lineRule="auto"/>
            </w:pPr>
            <w:r>
              <w:rPr>
                <w:rFonts w:ascii="Calibri" w:hAnsi="Calibri"/>
                <w:b w:val="0"/>
                <w:i w:val="0"/>
                <w:color w:val="212121"/>
                <w:sz w:val="16"/>
              </w:rPr>
              <w:t>Adults with diffuse shedding, postpartum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Routine screen</w:t>
            </w:r>
          </w:p>
        </w:tc>
        <w:tc>
          <w:tcPr>
            <w:tcW w:type="dxa" w:w="720"/>
            <w:vAlign w:val="top"/>
          </w:tcPr>
          <w:p>
            <w:pPr>
              <w:spacing w:after="40" w:before="0" w:line="259" w:lineRule="auto"/>
            </w:pPr>
            <w:r>
              <w:rPr>
                <w:rFonts w:ascii="Calibri" w:hAnsi="Calibri"/>
                <w:b w:val="0"/>
                <w:i w:val="0"/>
                <w:color w:val="212121"/>
                <w:sz w:val="16"/>
              </w:rPr>
              <w:t>Thyroid disorders in 17% of Indian hair-loss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 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&gt;= 30 ng/mL</w:t>
            </w:r>
          </w:p>
        </w:tc>
        <w:tc>
          <w:tcPr>
            <w:tcW w:type="dxa" w:w="950"/>
            <w:vAlign w:val="top"/>
          </w:tcPr>
          <w:p>
            <w:pPr>
              <w:spacing w:after="40" w:before="0" w:line="259" w:lineRule="auto"/>
            </w:pPr>
            <w:r>
              <w:rPr>
                <w:rFonts w:ascii="Calibri" w:hAnsi="Calibri"/>
                <w:b w:val="0"/>
                <w:i w:val="0"/>
                <w:color w:val="212121"/>
                <w:sz w:val="16"/>
              </w:rPr>
              <w:t>&lt; 20 ng/mL (deficient)</w:t>
            </w:r>
          </w:p>
        </w:tc>
        <w:tc>
          <w:tcPr>
            <w:tcW w:type="dxa" w:w="1036"/>
            <w:vAlign w:val="top"/>
          </w:tcPr>
          <w:p>
            <w:pPr>
              <w:spacing w:after="40" w:before="0" w:line="259" w:lineRule="auto"/>
            </w:pPr>
            <w:r>
              <w:rPr>
                <w:rFonts w:ascii="Calibri" w:hAnsi="Calibri"/>
                <w:b w:val="0"/>
                <w:i w:val="0"/>
                <w:color w:val="212121"/>
                <w:sz w:val="16"/>
              </w:rPr>
              <w:t>Low vitamin D is associated with hair loss and is very common in India</w:t>
            </w:r>
          </w:p>
        </w:tc>
        <w:tc>
          <w:tcPr>
            <w:tcW w:type="dxa" w:w="1036"/>
            <w:vAlign w:val="top"/>
          </w:tcPr>
          <w:p>
            <w:pPr>
              <w:spacing w:after="40" w:before="0" w:line="259" w:lineRule="auto"/>
            </w:pPr>
            <w:r>
              <w:rPr>
                <w:rFonts w:ascii="Calibri" w:hAnsi="Calibri"/>
                <w:b w:val="0"/>
                <w:i w:val="0"/>
                <w:color w:val="212121"/>
                <w:sz w:val="16"/>
              </w:rPr>
              <w:t>Indoor workers, low-sun-exposure adults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80% of FPHL patients deficient in one study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zinc</w:t>
            </w:r>
          </w:p>
        </w:tc>
        <w:tc>
          <w:tcPr>
            <w:tcW w:type="dxa" w:w="892"/>
            <w:vAlign w:val="top"/>
          </w:tcPr>
          <w:p>
            <w:pPr>
              <w:spacing w:after="40" w:before="0" w:line="259" w:lineRule="auto"/>
            </w:pPr>
            <w:r>
              <w:rPr>
                <w:rFonts w:ascii="Calibri" w:hAnsi="Calibri"/>
                <w:b w:val="0"/>
                <w:i w:val="0"/>
                <w:color w:val="212121"/>
                <w:sz w:val="16"/>
              </w:rPr>
              <w:t>Trace element assay</w:t>
            </w:r>
          </w:p>
        </w:tc>
        <w:tc>
          <w:tcPr>
            <w:tcW w:type="dxa" w:w="950"/>
            <w:vAlign w:val="top"/>
          </w:tcPr>
          <w:p>
            <w:pPr>
              <w:spacing w:after="40" w:before="0" w:line="259" w:lineRule="auto"/>
            </w:pPr>
            <w:r>
              <w:rPr>
                <w:rFonts w:ascii="Calibri" w:hAnsi="Calibri"/>
                <w:b w:val="0"/>
                <w:i w:val="0"/>
                <w:color w:val="212121"/>
                <w:sz w:val="16"/>
              </w:rPr>
              <w:t>Normal range (lab-specific)</w:t>
            </w:r>
          </w:p>
        </w:tc>
        <w:tc>
          <w:tcPr>
            <w:tcW w:type="dxa" w:w="950"/>
            <w:vAlign w:val="top"/>
          </w:tcPr>
          <w:p>
            <w:pPr>
              <w:spacing w:after="40" w:before="0" w:line="259" w:lineRule="auto"/>
            </w:pPr>
            <w:r>
              <w:rPr>
                <w:rFonts w:ascii="Calibri" w:hAnsi="Calibri"/>
                <w:b w:val="0"/>
                <w:i w:val="0"/>
                <w:color w:val="212121"/>
                <w:sz w:val="16"/>
              </w:rPr>
              <w:t>Low serum zinc</w:t>
            </w:r>
          </w:p>
        </w:tc>
        <w:tc>
          <w:tcPr>
            <w:tcW w:type="dxa" w:w="1036"/>
            <w:vAlign w:val="top"/>
          </w:tcPr>
          <w:p>
            <w:pPr>
              <w:spacing w:after="40" w:before="0" w:line="259" w:lineRule="auto"/>
            </w:pPr>
            <w:r>
              <w:rPr>
                <w:rFonts w:ascii="Calibri" w:hAnsi="Calibri"/>
                <w:b w:val="0"/>
                <w:i w:val="0"/>
                <w:color w:val="212121"/>
                <w:sz w:val="16"/>
              </w:rPr>
              <w:t>Zinc deficiency and acrodermatitis enteropathica can cause telogen shedding</w:t>
            </w:r>
          </w:p>
        </w:tc>
        <w:tc>
          <w:tcPr>
            <w:tcW w:type="dxa" w:w="1036"/>
            <w:vAlign w:val="top"/>
          </w:tcPr>
          <w:p>
            <w:pPr>
              <w:spacing w:after="40" w:before="0" w:line="259" w:lineRule="auto"/>
            </w:pPr>
            <w:r>
              <w:rPr>
                <w:rFonts w:ascii="Calibri" w:hAnsi="Calibri"/>
                <w:b w:val="0"/>
                <w:i w:val="0"/>
                <w:color w:val="212121"/>
                <w:sz w:val="16"/>
              </w:rPr>
              <w:t>Malabsorption, restrictive diets, alcoholics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Order when malnutrition or malabsorption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Trichology</w:t>
            </w:r>
          </w:p>
        </w:tc>
        <w:tc>
          <w:tcPr>
            <w:tcW w:type="dxa" w:w="1036"/>
            <w:vAlign w:val="top"/>
          </w:tcPr>
          <w:p>
            <w:pPr>
              <w:spacing w:after="40" w:before="0" w:line="259" w:lineRule="auto"/>
            </w:pPr>
            <w:r>
              <w:rPr>
                <w:rFonts w:ascii="Calibri" w:hAnsi="Calibri"/>
                <w:b w:val="0"/>
                <w:i w:val="0"/>
                <w:color w:val="212121"/>
                <w:sz w:val="16"/>
              </w:rPr>
              <w:t>Trichogram / trichoscopy telogen count</w:t>
            </w:r>
          </w:p>
        </w:tc>
        <w:tc>
          <w:tcPr>
            <w:tcW w:type="dxa" w:w="892"/>
            <w:vAlign w:val="top"/>
          </w:tcPr>
          <w:p>
            <w:pPr>
              <w:spacing w:after="40" w:before="0" w:line="259" w:lineRule="auto"/>
            </w:pPr>
            <w:r>
              <w:rPr>
                <w:rFonts w:ascii="Calibri" w:hAnsi="Calibri"/>
                <w:b w:val="0"/>
                <w:i w:val="0"/>
                <w:color w:val="212121"/>
                <w:sz w:val="16"/>
              </w:rPr>
              <w:t>Trichogram / dermoscopy</w:t>
            </w:r>
          </w:p>
        </w:tc>
        <w:tc>
          <w:tcPr>
            <w:tcW w:type="dxa" w:w="950"/>
            <w:vAlign w:val="top"/>
          </w:tcPr>
          <w:p>
            <w:pPr>
              <w:spacing w:after="40" w:before="0" w:line="259" w:lineRule="auto"/>
            </w:pPr>
            <w:r>
              <w:rPr>
                <w:rFonts w:ascii="Calibri" w:hAnsi="Calibri"/>
                <w:b w:val="0"/>
                <w:i w:val="0"/>
                <w:color w:val="212121"/>
                <w:sz w:val="16"/>
              </w:rPr>
              <w:t>&lt; 15-20% telogen; no miniaturisation</w:t>
            </w:r>
          </w:p>
        </w:tc>
        <w:tc>
          <w:tcPr>
            <w:tcW w:type="dxa" w:w="950"/>
            <w:vAlign w:val="top"/>
          </w:tcPr>
          <w:p>
            <w:pPr>
              <w:spacing w:after="40" w:before="0" w:line="259" w:lineRule="auto"/>
            </w:pPr>
            <w:r>
              <w:rPr>
                <w:rFonts w:ascii="Calibri" w:hAnsi="Calibri"/>
                <w:b w:val="0"/>
                <w:i w:val="0"/>
                <w:color w:val="212121"/>
                <w:sz w:val="16"/>
              </w:rPr>
              <w:t>&gt; 25% telogen hairs</w:t>
            </w:r>
          </w:p>
        </w:tc>
        <w:tc>
          <w:tcPr>
            <w:tcW w:type="dxa" w:w="1036"/>
            <w:vAlign w:val="top"/>
          </w:tcPr>
          <w:p>
            <w:pPr>
              <w:spacing w:after="40" w:before="0" w:line="259" w:lineRule="auto"/>
            </w:pPr>
            <w:r>
              <w:rPr>
                <w:rFonts w:ascii="Calibri" w:hAnsi="Calibri"/>
                <w:b w:val="0"/>
                <w:i w:val="0"/>
                <w:color w:val="212121"/>
                <w:sz w:val="16"/>
              </w:rPr>
              <w:t>Quantifies telogen fraction and helps separate TE from androgenetic alopecia</w:t>
            </w:r>
          </w:p>
        </w:tc>
        <w:tc>
          <w:tcPr>
            <w:tcW w:type="dxa" w:w="1036"/>
            <w:vAlign w:val="top"/>
          </w:tcPr>
          <w:p>
            <w:pPr>
              <w:spacing w:after="40" w:before="0" w:line="259" w:lineRule="auto"/>
            </w:pPr>
            <w:r>
              <w:rPr>
                <w:rFonts w:ascii="Calibri" w:hAnsi="Calibri"/>
                <w:b w:val="0"/>
                <w:i w:val="0"/>
                <w:color w:val="212121"/>
                <w:sz w:val="16"/>
              </w:rPr>
              <w:t>Diffuse thinning, chronic TE vs AGA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Upright short regrowing hairs indicate recovery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VDRL/RPR and ANA</w:t>
            </w:r>
          </w:p>
        </w:tc>
        <w:tc>
          <w:tcPr>
            <w:tcW w:type="dxa" w:w="892"/>
            <w:vAlign w:val="top"/>
          </w:tcPr>
          <w:p>
            <w:pPr>
              <w:spacing w:after="40" w:before="0" w:line="259" w:lineRule="auto"/>
            </w:pPr>
            <w:r>
              <w:rPr>
                <w:rFonts w:ascii="Calibri" w:hAnsi="Calibri"/>
                <w:b w:val="0"/>
                <w:i w:val="0"/>
                <w:color w:val="212121"/>
                <w:sz w:val="16"/>
              </w:rPr>
              <w:t>Autoimmune / infection screen</w:t>
            </w:r>
          </w:p>
        </w:tc>
        <w:tc>
          <w:tcPr>
            <w:tcW w:type="dxa" w:w="950"/>
            <w:vAlign w:val="top"/>
          </w:tcPr>
          <w:p>
            <w:pPr>
              <w:spacing w:after="40" w:before="0" w:line="259" w:lineRule="auto"/>
            </w:pPr>
            <w:r>
              <w:rPr>
                <w:rFonts w:ascii="Calibri" w:hAnsi="Calibri"/>
                <w:b w:val="0"/>
                <w:i w:val="0"/>
                <w:color w:val="212121"/>
                <w:sz w:val="16"/>
              </w:rPr>
              <w:t>Non-reactive / negative</w:t>
            </w:r>
          </w:p>
        </w:tc>
        <w:tc>
          <w:tcPr>
            <w:tcW w:type="dxa" w:w="950"/>
            <w:vAlign w:val="top"/>
          </w:tcPr>
          <w:p>
            <w:pPr>
              <w:spacing w:after="40" w:before="0" w:line="259" w:lineRule="auto"/>
            </w:pPr>
            <w:r>
              <w:rPr>
                <w:rFonts w:ascii="Calibri" w:hAnsi="Calibri"/>
                <w:b w:val="0"/>
                <w:i w:val="0"/>
                <w:color w:val="212121"/>
                <w:sz w:val="16"/>
              </w:rPr>
              <w:t>Reactive VDRL or positive ANA</w:t>
            </w:r>
          </w:p>
        </w:tc>
        <w:tc>
          <w:tcPr>
            <w:tcW w:type="dxa" w:w="1036"/>
            <w:vAlign w:val="top"/>
          </w:tcPr>
          <w:p>
            <w:pPr>
              <w:spacing w:after="40" w:before="0" w:line="259" w:lineRule="auto"/>
            </w:pPr>
            <w:r>
              <w:rPr>
                <w:rFonts w:ascii="Calibri" w:hAnsi="Calibri"/>
                <w:b w:val="0"/>
                <w:i w:val="0"/>
                <w:color w:val="212121"/>
                <w:sz w:val="16"/>
              </w:rPr>
              <w:t>Excludes secondary syphilis and connective-tissue disease in chronic/atypical cases</w:t>
            </w:r>
          </w:p>
        </w:tc>
        <w:tc>
          <w:tcPr>
            <w:tcW w:type="dxa" w:w="1036"/>
            <w:vAlign w:val="top"/>
          </w:tcPr>
          <w:p>
            <w:pPr>
              <w:spacing w:after="40" w:before="0" w:line="259" w:lineRule="auto"/>
            </w:pPr>
            <w:r>
              <w:rPr>
                <w:rFonts w:ascii="Calibri" w:hAnsi="Calibri"/>
                <w:b w:val="0"/>
                <w:i w:val="0"/>
                <w:color w:val="212121"/>
                <w:sz w:val="16"/>
              </w:rPr>
              <w:t>Chronic diffuse shedding, systemic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Reserved for chronic or unexplained cases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Triggering event</w:t>
            </w:r>
          </w:p>
        </w:tc>
        <w:tc>
          <w:tcPr>
            <w:tcW w:type="dxa" w:w="979"/>
            <w:vAlign w:val="top"/>
          </w:tcPr>
          <w:p>
            <w:pPr>
              <w:spacing w:after="40" w:before="0" w:line="259" w:lineRule="auto"/>
            </w:pPr>
            <w:r>
              <w:rPr>
                <w:rFonts w:ascii="Calibri" w:hAnsi="Calibri"/>
                <w:b w:val="0"/>
                <w:i w:val="0"/>
                <w:color w:val="212121"/>
                <w:sz w:val="16"/>
              </w:rPr>
              <w:t>Illness/surgery/childbirth/diet/drug/stress 2-3 months prior</w:t>
            </w:r>
          </w:p>
        </w:tc>
        <w:tc>
          <w:tcPr>
            <w:tcW w:type="dxa" w:w="950"/>
            <w:vAlign w:val="top"/>
          </w:tcPr>
          <w:p>
            <w:pPr>
              <w:spacing w:after="40" w:before="0" w:line="259" w:lineRule="auto"/>
            </w:pPr>
            <w:r>
              <w:rPr>
                <w:rFonts w:ascii="Calibri" w:hAnsi="Calibri"/>
                <w:b w:val="0"/>
                <w:i w:val="0"/>
                <w:color w:val="212121"/>
                <w:sz w:val="16"/>
              </w:rPr>
              <w:t>No identifiable trigger</w:t>
            </w:r>
          </w:p>
        </w:tc>
        <w:tc>
          <w:tcPr>
            <w:tcW w:type="dxa" w:w="950"/>
            <w:vAlign w:val="top"/>
          </w:tcPr>
          <w:p>
            <w:pPr>
              <w:spacing w:after="40" w:before="0" w:line="259" w:lineRule="auto"/>
            </w:pPr>
            <w:r>
              <w:rPr>
                <w:rFonts w:ascii="Calibri" w:hAnsi="Calibri"/>
                <w:b w:val="0"/>
                <w:i w:val="0"/>
                <w:color w:val="212121"/>
                <w:sz w:val="16"/>
              </w:rPr>
              <w:t>Clear trigger 1-6 months (typically ~3) before onset</w:t>
            </w:r>
          </w:p>
        </w:tc>
        <w:tc>
          <w:tcPr>
            <w:tcW w:type="dxa" w:w="1036"/>
            <w:vAlign w:val="top"/>
          </w:tcPr>
          <w:p>
            <w:pPr>
              <w:spacing w:after="40" w:before="0" w:line="259" w:lineRule="auto"/>
            </w:pPr>
            <w:r>
              <w:rPr>
                <w:rFonts w:ascii="Calibri" w:hAnsi="Calibri"/>
                <w:b w:val="0"/>
                <w:i w:val="0"/>
                <w:color w:val="212121"/>
                <w:sz w:val="16"/>
              </w:rPr>
              <w:t>Establishes the characteristic lag between provoking event and shedding</w:t>
            </w:r>
          </w:p>
        </w:tc>
        <w:tc>
          <w:tcPr>
            <w:tcW w:type="dxa" w:w="1036"/>
            <w:vAlign w:val="top"/>
          </w:tcPr>
          <w:p>
            <w:pPr>
              <w:spacing w:after="40" w:before="0" w:line="259" w:lineRule="auto"/>
            </w:pPr>
            <w:r>
              <w:rPr>
                <w:rFonts w:ascii="Calibri" w:hAnsi="Calibri"/>
                <w:b w:val="0"/>
                <w:i w:val="0"/>
                <w:color w:val="212121"/>
                <w:sz w:val="16"/>
              </w:rPr>
              <w:t>Post-illness, postpartum, post-surgical, dieters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Lag reflects immediate anagen release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and supplement history</w:t>
            </w:r>
          </w:p>
        </w:tc>
        <w:tc>
          <w:tcPr>
            <w:tcW w:type="dxa" w:w="979"/>
            <w:vAlign w:val="top"/>
          </w:tcPr>
          <w:p>
            <w:pPr>
              <w:spacing w:after="40" w:before="0" w:line="259" w:lineRule="auto"/>
            </w:pPr>
            <w:r>
              <w:rPr>
                <w:rFonts w:ascii="Calibri" w:hAnsi="Calibri"/>
                <w:b w:val="0"/>
                <w:i w:val="0"/>
                <w:color w:val="212121"/>
                <w:sz w:val="16"/>
              </w:rPr>
              <w:t>Retinoids, beta-blockers, anticoagulants, antithyroid, anticonvulsants, excess vitamin A</w:t>
            </w:r>
          </w:p>
        </w:tc>
        <w:tc>
          <w:tcPr>
            <w:tcW w:type="dxa" w:w="950"/>
            <w:vAlign w:val="top"/>
          </w:tcPr>
          <w:p>
            <w:pPr>
              <w:spacing w:after="40" w:before="0" w:line="259" w:lineRule="auto"/>
            </w:pPr>
            <w:r>
              <w:rPr>
                <w:rFonts w:ascii="Calibri" w:hAnsi="Calibri"/>
                <w:b w:val="0"/>
                <w:i w:val="0"/>
                <w:color w:val="212121"/>
                <w:sz w:val="16"/>
              </w:rPr>
              <w:t>No culprit drug</w:t>
            </w:r>
          </w:p>
        </w:tc>
        <w:tc>
          <w:tcPr>
            <w:tcW w:type="dxa" w:w="950"/>
            <w:vAlign w:val="top"/>
          </w:tcPr>
          <w:p>
            <w:pPr>
              <w:spacing w:after="40" w:before="0" w:line="259" w:lineRule="auto"/>
            </w:pPr>
            <w:r>
              <w:rPr>
                <w:rFonts w:ascii="Calibri" w:hAnsi="Calibri"/>
                <w:b w:val="0"/>
                <w:i w:val="0"/>
                <w:color w:val="212121"/>
                <w:sz w:val="16"/>
              </w:rPr>
              <w:t>Recent start of a catagen/telogen-inducing drug</w:t>
            </w:r>
          </w:p>
        </w:tc>
        <w:tc>
          <w:tcPr>
            <w:tcW w:type="dxa" w:w="1036"/>
            <w:vAlign w:val="top"/>
          </w:tcPr>
          <w:p>
            <w:pPr>
              <w:spacing w:after="40" w:before="0" w:line="259" w:lineRule="auto"/>
            </w:pPr>
            <w:r>
              <w:rPr>
                <w:rFonts w:ascii="Calibri" w:hAnsi="Calibri"/>
                <w:b w:val="0"/>
                <w:i w:val="0"/>
                <w:color w:val="212121"/>
                <w:sz w:val="16"/>
              </w:rPr>
              <w:t>Identifies drug-induced shedding that resolves on withdrawal</w:t>
            </w:r>
          </w:p>
        </w:tc>
        <w:tc>
          <w:tcPr>
            <w:tcW w:type="dxa" w:w="1036"/>
            <w:vAlign w:val="top"/>
          </w:tcPr>
          <w:p>
            <w:pPr>
              <w:spacing w:after="40" w:before="0" w:line="259" w:lineRule="auto"/>
            </w:pPr>
            <w:r>
              <w:rPr>
                <w:rFonts w:ascii="Calibri" w:hAnsi="Calibri"/>
                <w:b w:val="0"/>
                <w:i w:val="0"/>
                <w:color w:val="212121"/>
                <w:sz w:val="16"/>
              </w:rPr>
              <w:t>Polypharmacy, elderly, chronic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Also ask about heavy-metal exposure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and menstrual history</w:t>
            </w:r>
          </w:p>
        </w:tc>
        <w:tc>
          <w:tcPr>
            <w:tcW w:type="dxa" w:w="979"/>
            <w:vAlign w:val="top"/>
          </w:tcPr>
          <w:p>
            <w:pPr>
              <w:spacing w:after="40" w:before="0" w:line="259" w:lineRule="auto"/>
            </w:pPr>
            <w:r>
              <w:rPr>
                <w:rFonts w:ascii="Calibri" w:hAnsi="Calibri"/>
                <w:b w:val="0"/>
                <w:i w:val="0"/>
                <w:color w:val="212121"/>
                <w:sz w:val="16"/>
              </w:rPr>
              <w:t>Crash dieting, vegetarianism, heavy menses, protein intake</w:t>
            </w:r>
          </w:p>
        </w:tc>
        <w:tc>
          <w:tcPr>
            <w:tcW w:type="dxa" w:w="950"/>
            <w:vAlign w:val="top"/>
          </w:tcPr>
          <w:p>
            <w:pPr>
              <w:spacing w:after="40" w:before="0" w:line="259" w:lineRule="auto"/>
            </w:pPr>
            <w:r>
              <w:rPr>
                <w:rFonts w:ascii="Calibri" w:hAnsi="Calibri"/>
                <w:b w:val="0"/>
                <w:i w:val="0"/>
                <w:color w:val="212121"/>
                <w:sz w:val="16"/>
              </w:rPr>
              <w:t>Balanced diet, normal menses</w:t>
            </w:r>
          </w:p>
        </w:tc>
        <w:tc>
          <w:tcPr>
            <w:tcW w:type="dxa" w:w="950"/>
            <w:vAlign w:val="top"/>
          </w:tcPr>
          <w:p>
            <w:pPr>
              <w:spacing w:after="40" w:before="0" w:line="259" w:lineRule="auto"/>
            </w:pPr>
            <w:r>
              <w:rPr>
                <w:rFonts w:ascii="Calibri" w:hAnsi="Calibri"/>
                <w:b w:val="0"/>
                <w:i w:val="0"/>
                <w:color w:val="212121"/>
                <w:sz w:val="16"/>
              </w:rPr>
              <w:t>Fad diet &lt;1200 kcal or &lt;0.8 g/kg protein; menorrhagia</w:t>
            </w:r>
          </w:p>
        </w:tc>
        <w:tc>
          <w:tcPr>
            <w:tcW w:type="dxa" w:w="1036"/>
            <w:vAlign w:val="top"/>
          </w:tcPr>
          <w:p>
            <w:pPr>
              <w:spacing w:after="40" w:before="0" w:line="259" w:lineRule="auto"/>
            </w:pPr>
            <w:r>
              <w:rPr>
                <w:rFonts w:ascii="Calibri" w:hAnsi="Calibri"/>
                <w:b w:val="0"/>
                <w:i w:val="0"/>
                <w:color w:val="212121"/>
                <w:sz w:val="16"/>
              </w:rPr>
              <w:t>Uncovers nutritional and iron-loss contributors</w:t>
            </w:r>
          </w:p>
        </w:tc>
        <w:tc>
          <w:tcPr>
            <w:tcW w:type="dxa" w:w="1036"/>
            <w:vAlign w:val="top"/>
          </w:tcPr>
          <w:p>
            <w:pPr>
              <w:spacing w:after="40" w:before="0" w:line="259" w:lineRule="auto"/>
            </w:pPr>
            <w:r>
              <w:rPr>
                <w:rFonts w:ascii="Calibri" w:hAnsi="Calibri"/>
                <w:b w:val="0"/>
                <w:i w:val="0"/>
                <w:color w:val="212121"/>
                <w:sz w:val="16"/>
              </w:rPr>
              <w:t>Dieters, vegetarians, menstruating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Directs targeted lab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Hair pull test</w:t>
            </w:r>
          </w:p>
        </w:tc>
        <w:tc>
          <w:tcPr>
            <w:tcW w:type="dxa" w:w="979"/>
            <w:vAlign w:val="top"/>
          </w:tcPr>
          <w:p>
            <w:pPr>
              <w:spacing w:after="40" w:before="0" w:line="259" w:lineRule="auto"/>
            </w:pPr>
            <w:r>
              <w:rPr>
                <w:rFonts w:ascii="Calibri" w:hAnsi="Calibri"/>
                <w:b w:val="0"/>
                <w:i w:val="0"/>
                <w:color w:val="212121"/>
                <w:sz w:val="16"/>
              </w:rPr>
              <w:t>Number and type of hairs on gentle traction</w:t>
            </w:r>
          </w:p>
        </w:tc>
        <w:tc>
          <w:tcPr>
            <w:tcW w:type="dxa" w:w="950"/>
            <w:vAlign w:val="top"/>
          </w:tcPr>
          <w:p>
            <w:pPr>
              <w:spacing w:after="40" w:before="0" w:line="259" w:lineRule="auto"/>
            </w:pPr>
            <w:r>
              <w:rPr>
                <w:rFonts w:ascii="Calibri" w:hAnsi="Calibri"/>
                <w:b w:val="0"/>
                <w:i w:val="0"/>
                <w:color w:val="212121"/>
                <w:sz w:val="16"/>
              </w:rPr>
              <w:t>&lt; 3 hairs, mostly anagen</w:t>
            </w:r>
          </w:p>
        </w:tc>
        <w:tc>
          <w:tcPr>
            <w:tcW w:type="dxa" w:w="950"/>
            <w:vAlign w:val="top"/>
          </w:tcPr>
          <w:p>
            <w:pPr>
              <w:spacing w:after="40" w:before="0" w:line="259" w:lineRule="auto"/>
            </w:pPr>
            <w:r>
              <w:rPr>
                <w:rFonts w:ascii="Calibri" w:hAnsi="Calibri"/>
                <w:b w:val="0"/>
                <w:i w:val="0"/>
                <w:color w:val="212121"/>
                <w:sz w:val="16"/>
              </w:rPr>
              <w:t>&gt;= 4-6 telogen club hairs with white bulbs</w:t>
            </w:r>
          </w:p>
        </w:tc>
        <w:tc>
          <w:tcPr>
            <w:tcW w:type="dxa" w:w="1036"/>
            <w:vAlign w:val="top"/>
          </w:tcPr>
          <w:p>
            <w:pPr>
              <w:spacing w:after="40" w:before="0" w:line="259" w:lineRule="auto"/>
            </w:pPr>
            <w:r>
              <w:rPr>
                <w:rFonts w:ascii="Calibri" w:hAnsi="Calibri"/>
                <w:b w:val="0"/>
                <w:i w:val="0"/>
                <w:color w:val="212121"/>
                <w:sz w:val="16"/>
              </w:rPr>
              <w:t>Positive during active shedding phase; a simple bedside confirmation</w:t>
            </w:r>
          </w:p>
        </w:tc>
        <w:tc>
          <w:tcPr>
            <w:tcW w:type="dxa" w:w="1036"/>
            <w:vAlign w:val="top"/>
          </w:tcPr>
          <w:p>
            <w:pPr>
              <w:spacing w:after="40" w:before="0" w:line="259" w:lineRule="auto"/>
            </w:pPr>
            <w:r>
              <w:rPr>
                <w:rFonts w:ascii="Calibri" w:hAnsi="Calibri"/>
                <w:b w:val="0"/>
                <w:i w:val="0"/>
                <w:color w:val="212121"/>
                <w:sz w:val="16"/>
              </w:rPr>
              <w:t>All patients with new diffuse shedding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bedside test</w:t>
            </w:r>
          </w:p>
        </w:tc>
        <w:tc>
          <w:tcPr>
            <w:tcW w:type="dxa" w:w="720"/>
            <w:vAlign w:val="top"/>
          </w:tcPr>
          <w:p>
            <w:pPr>
              <w:spacing w:after="40" w:before="0" w:line="259" w:lineRule="auto"/>
            </w:pPr>
            <w:r>
              <w:rPr>
                <w:rFonts w:ascii="Calibri" w:hAnsi="Calibri"/>
                <w:b w:val="0"/>
                <w:i w:val="0"/>
                <w:color w:val="212121"/>
                <w:sz w:val="16"/>
              </w:rPr>
              <w:t>May normalise once shedding settles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Pattern of thinning</w:t>
            </w:r>
          </w:p>
        </w:tc>
        <w:tc>
          <w:tcPr>
            <w:tcW w:type="dxa" w:w="979"/>
            <w:vAlign w:val="top"/>
          </w:tcPr>
          <w:p>
            <w:pPr>
              <w:spacing w:after="40" w:before="0" w:line="259" w:lineRule="auto"/>
            </w:pPr>
            <w:r>
              <w:rPr>
                <w:rFonts w:ascii="Calibri" w:hAnsi="Calibri"/>
                <w:b w:val="0"/>
                <w:i w:val="0"/>
                <w:color w:val="212121"/>
                <w:sz w:val="16"/>
              </w:rPr>
              <w:t>Distribution, part width, frontal hairline</w:t>
            </w:r>
          </w:p>
        </w:tc>
        <w:tc>
          <w:tcPr>
            <w:tcW w:type="dxa" w:w="950"/>
            <w:vAlign w:val="top"/>
          </w:tcPr>
          <w:p>
            <w:pPr>
              <w:spacing w:after="40" w:before="0" w:line="259" w:lineRule="auto"/>
            </w:pPr>
            <w:r>
              <w:rPr>
                <w:rFonts w:ascii="Calibri" w:hAnsi="Calibri"/>
                <w:b w:val="0"/>
                <w:i w:val="0"/>
                <w:color w:val="212121"/>
                <w:sz w:val="16"/>
              </w:rPr>
              <w:t>Normal density, focal loss absent</w:t>
            </w:r>
          </w:p>
        </w:tc>
        <w:tc>
          <w:tcPr>
            <w:tcW w:type="dxa" w:w="950"/>
            <w:vAlign w:val="top"/>
          </w:tcPr>
          <w:p>
            <w:pPr>
              <w:spacing w:after="40" w:before="0" w:line="259" w:lineRule="auto"/>
            </w:pPr>
            <w:r>
              <w:rPr>
                <w:rFonts w:ascii="Calibri" w:hAnsi="Calibri"/>
                <w:b w:val="0"/>
                <w:i w:val="0"/>
                <w:color w:val="212121"/>
                <w:sz w:val="16"/>
              </w:rPr>
              <w:t>Diffuse thinning, preserved hairline, normal part width</w:t>
            </w:r>
          </w:p>
        </w:tc>
        <w:tc>
          <w:tcPr>
            <w:tcW w:type="dxa" w:w="1036"/>
            <w:vAlign w:val="top"/>
          </w:tcPr>
          <w:p>
            <w:pPr>
              <w:spacing w:after="40" w:before="0" w:line="259" w:lineRule="auto"/>
            </w:pPr>
            <w:r>
              <w:rPr>
                <w:rFonts w:ascii="Calibri" w:hAnsi="Calibri"/>
                <w:b w:val="0"/>
                <w:i w:val="0"/>
                <w:color w:val="212121"/>
                <w:sz w:val="16"/>
              </w:rPr>
              <w:t>Diffuse non-patchy loss without part-widening favours TE over AGA or alopecia areata</w:t>
            </w:r>
          </w:p>
        </w:tc>
        <w:tc>
          <w:tcPr>
            <w:tcW w:type="dxa" w:w="1036"/>
            <w:vAlign w:val="top"/>
          </w:tcPr>
          <w:p>
            <w:pPr>
              <w:spacing w:after="40" w:before="0" w:line="259" w:lineRule="auto"/>
            </w:pPr>
            <w:r>
              <w:rPr>
                <w:rFonts w:ascii="Calibri" w:hAnsi="Calibri"/>
                <w:b w:val="0"/>
                <w:i w:val="0"/>
                <w:color w:val="212121"/>
                <w:sz w:val="16"/>
              </w:rPr>
              <w:t>Women with diffuse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Bitemporal recession may occur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Scalp inspection</w:t>
            </w:r>
          </w:p>
        </w:tc>
        <w:tc>
          <w:tcPr>
            <w:tcW w:type="dxa" w:w="979"/>
            <w:vAlign w:val="top"/>
          </w:tcPr>
          <w:p>
            <w:pPr>
              <w:spacing w:after="40" w:before="0" w:line="259" w:lineRule="auto"/>
            </w:pPr>
            <w:r>
              <w:rPr>
                <w:rFonts w:ascii="Calibri" w:hAnsi="Calibri"/>
                <w:b w:val="0"/>
                <w:i w:val="0"/>
                <w:color w:val="212121"/>
                <w:sz w:val="16"/>
              </w:rPr>
              <w:t>Scarring, erythema, scaling, follicular ostia</w:t>
            </w:r>
          </w:p>
        </w:tc>
        <w:tc>
          <w:tcPr>
            <w:tcW w:type="dxa" w:w="950"/>
            <w:vAlign w:val="top"/>
          </w:tcPr>
          <w:p>
            <w:pPr>
              <w:spacing w:after="40" w:before="0" w:line="259" w:lineRule="auto"/>
            </w:pPr>
            <w:r>
              <w:rPr>
                <w:rFonts w:ascii="Calibri" w:hAnsi="Calibri"/>
                <w:b w:val="0"/>
                <w:i w:val="0"/>
                <w:color w:val="212121"/>
                <w:sz w:val="16"/>
              </w:rPr>
              <w:t>Healthy scalp, ostia preserved</w:t>
            </w:r>
          </w:p>
        </w:tc>
        <w:tc>
          <w:tcPr>
            <w:tcW w:type="dxa" w:w="950"/>
            <w:vAlign w:val="top"/>
          </w:tcPr>
          <w:p>
            <w:pPr>
              <w:spacing w:after="40" w:before="0" w:line="259" w:lineRule="auto"/>
            </w:pPr>
            <w:r>
              <w:rPr>
                <w:rFonts w:ascii="Calibri" w:hAnsi="Calibri"/>
                <w:b w:val="0"/>
                <w:i w:val="0"/>
                <w:color w:val="212121"/>
                <w:sz w:val="16"/>
              </w:rPr>
              <w:t>Absence of scarring/inflammation (supports TE)</w:t>
            </w:r>
          </w:p>
        </w:tc>
        <w:tc>
          <w:tcPr>
            <w:tcW w:type="dxa" w:w="1036"/>
            <w:vAlign w:val="top"/>
          </w:tcPr>
          <w:p>
            <w:pPr>
              <w:spacing w:after="40" w:before="0" w:line="259" w:lineRule="auto"/>
            </w:pPr>
            <w:r>
              <w:rPr>
                <w:rFonts w:ascii="Calibri" w:hAnsi="Calibri"/>
                <w:b w:val="0"/>
                <w:i w:val="0"/>
                <w:color w:val="212121"/>
                <w:sz w:val="16"/>
              </w:rPr>
              <w:t>Excludes scarring and inflammatory alopecias; TE is non-scarring</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Presence of scarring points to another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Modified wash test / 60-second count</w:t>
            </w:r>
          </w:p>
        </w:tc>
        <w:tc>
          <w:tcPr>
            <w:tcW w:type="dxa" w:w="979"/>
            <w:vAlign w:val="top"/>
          </w:tcPr>
          <w:p>
            <w:pPr>
              <w:spacing w:after="40" w:before="0" w:line="259" w:lineRule="auto"/>
            </w:pPr>
            <w:r>
              <w:rPr>
                <w:rFonts w:ascii="Calibri" w:hAnsi="Calibri"/>
                <w:b w:val="0"/>
                <w:i w:val="0"/>
                <w:color w:val="212121"/>
                <w:sz w:val="16"/>
              </w:rPr>
              <w:t>Number of hairs shed over 24 h or in 60 s combing</w:t>
            </w:r>
          </w:p>
        </w:tc>
        <w:tc>
          <w:tcPr>
            <w:tcW w:type="dxa" w:w="950"/>
            <w:vAlign w:val="top"/>
          </w:tcPr>
          <w:p>
            <w:pPr>
              <w:spacing w:after="40" w:before="0" w:line="259" w:lineRule="auto"/>
            </w:pPr>
            <w:r>
              <w:rPr>
                <w:rFonts w:ascii="Calibri" w:hAnsi="Calibri"/>
                <w:b w:val="0"/>
                <w:i w:val="0"/>
                <w:color w:val="212121"/>
                <w:sz w:val="16"/>
              </w:rPr>
              <w:t>&lt;= 100 hairs/24 h</w:t>
            </w:r>
          </w:p>
        </w:tc>
        <w:tc>
          <w:tcPr>
            <w:tcW w:type="dxa" w:w="950"/>
            <w:vAlign w:val="top"/>
          </w:tcPr>
          <w:p>
            <w:pPr>
              <w:spacing w:after="40" w:before="0" w:line="259" w:lineRule="auto"/>
            </w:pPr>
            <w:r>
              <w:rPr>
                <w:rFonts w:ascii="Calibri" w:hAnsi="Calibri"/>
                <w:b w:val="0"/>
                <w:i w:val="0"/>
                <w:color w:val="212121"/>
                <w:sz w:val="16"/>
              </w:rPr>
              <w:t>&gt; 100 hairs/24 h</w:t>
            </w:r>
          </w:p>
        </w:tc>
        <w:tc>
          <w:tcPr>
            <w:tcW w:type="dxa" w:w="1036"/>
            <w:vAlign w:val="top"/>
          </w:tcPr>
          <w:p>
            <w:pPr>
              <w:spacing w:after="40" w:before="0" w:line="259" w:lineRule="auto"/>
            </w:pPr>
            <w:r>
              <w:rPr>
                <w:rFonts w:ascii="Calibri" w:hAnsi="Calibri"/>
                <w:b w:val="0"/>
                <w:i w:val="0"/>
                <w:color w:val="212121"/>
                <w:sz w:val="16"/>
              </w:rPr>
              <w:t>Objectively quantifies excessive shedding reported by the patient</w:t>
            </w:r>
          </w:p>
        </w:tc>
        <w:tc>
          <w:tcPr>
            <w:tcW w:type="dxa" w:w="1036"/>
            <w:vAlign w:val="top"/>
          </w:tcPr>
          <w:p>
            <w:pPr>
              <w:spacing w:after="40" w:before="0" w:line="259" w:lineRule="auto"/>
            </w:pPr>
            <w:r>
              <w:rPr>
                <w:rFonts w:ascii="Calibri" w:hAnsi="Calibri"/>
                <w:b w:val="0"/>
                <w:i w:val="0"/>
                <w:color w:val="212121"/>
                <w:sz w:val="16"/>
              </w:rPr>
              <w:t>Patients uncertain about severity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Helps track recovery over time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Excessive hair shedding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Noticing far more hairs than usual on the pillow, comb, shower drain, floor and clothing - the hallmark complaint.</w:t>
            </w:r>
          </w:p>
        </w:tc>
      </w:tr>
      <w:tr>
        <w:trPr>
          <w:cantSplit/>
        </w:trPr>
        <w:tc>
          <w:tcPr>
            <w:tcW w:type="dxa" w:w="2304"/>
            <w:vAlign w:val="top"/>
          </w:tcPr>
          <w:p>
            <w:pPr>
              <w:spacing w:after="40" w:before="0" w:line="259" w:lineRule="auto"/>
            </w:pPr>
            <w:r>
              <w:rPr>
                <w:rFonts w:ascii="Calibri" w:hAnsi="Calibri"/>
                <w:b/>
                <w:i w:val="0"/>
                <w:color w:val="212121"/>
                <w:sz w:val="19"/>
              </w:rPr>
              <w:t>Overall hair thinning / loss of volume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Diffuse reduction in density and a thinner ponytail or wider parting, without bald patches.</w:t>
            </w:r>
          </w:p>
        </w:tc>
      </w:tr>
      <w:tr>
        <w:trPr>
          <w:cantSplit/>
        </w:trPr>
        <w:tc>
          <w:tcPr>
            <w:tcW w:type="dxa" w:w="2304"/>
            <w:vAlign w:val="top"/>
          </w:tcPr>
          <w:p>
            <w:pPr>
              <w:spacing w:after="40" w:before="0" w:line="259" w:lineRule="auto"/>
            </w:pPr>
            <w:r>
              <w:rPr>
                <w:rFonts w:ascii="Calibri" w:hAnsi="Calibri"/>
                <w:b/>
                <w:i w:val="0"/>
                <w:color w:val="212121"/>
                <w:sz w:val="19"/>
              </w:rPr>
              <w:t>Handfuls of hair on washing or combing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Clumps of club hairs come away easily during washing, brushing or running fingers through the hair.</w:t>
            </w:r>
          </w:p>
        </w:tc>
      </w:tr>
      <w:tr>
        <w:trPr>
          <w:cantSplit/>
        </w:trPr>
        <w:tc>
          <w:tcPr>
            <w:tcW w:type="dxa" w:w="2304"/>
            <w:vAlign w:val="top"/>
          </w:tcPr>
          <w:p>
            <w:pPr>
              <w:spacing w:after="40" w:before="0" w:line="259" w:lineRule="auto"/>
            </w:pPr>
            <w:r>
              <w:rPr>
                <w:rFonts w:ascii="Calibri" w:hAnsi="Calibri"/>
                <w:b/>
                <w:i w:val="0"/>
                <w:color w:val="212121"/>
                <w:sz w:val="19"/>
              </w:rPr>
              <w:t>Shedding beginning 2-4 months after a trigger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Onset characteristically lags a fever, delivery, surgery, crash diet or stressful event by about 2 to 3 months.</w:t>
            </w:r>
          </w:p>
        </w:tc>
      </w:tr>
      <w:tr>
        <w:trPr>
          <w:cantSplit/>
        </w:trPr>
        <w:tc>
          <w:tcPr>
            <w:tcW w:type="dxa" w:w="2304"/>
            <w:vAlign w:val="top"/>
          </w:tcPr>
          <w:p>
            <w:pPr>
              <w:spacing w:after="40" w:before="0" w:line="259" w:lineRule="auto"/>
            </w:pPr>
            <w:r>
              <w:rPr>
                <w:rFonts w:ascii="Calibri" w:hAnsi="Calibri"/>
                <w:b/>
                <w:i w:val="0"/>
                <w:color w:val="212121"/>
                <w:sz w:val="19"/>
              </w:rPr>
              <w:t>Emotional distress and anxiety about hair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Marked worry, low self-esteem and preoccupation with the amount of hair being lost.</w:t>
            </w:r>
          </w:p>
        </w:tc>
      </w:tr>
      <w:tr>
        <w:trPr>
          <w:cantSplit/>
        </w:trPr>
        <w:tc>
          <w:tcPr>
            <w:tcW w:type="dxa" w:w="2304"/>
            <w:vAlign w:val="top"/>
          </w:tcPr>
          <w:p>
            <w:pPr>
              <w:spacing w:after="40" w:before="0" w:line="259" w:lineRule="auto"/>
            </w:pPr>
            <w:r>
              <w:rPr>
                <w:rFonts w:ascii="Calibri" w:hAnsi="Calibri"/>
                <w:b/>
                <w:i w:val="0"/>
                <w:color w:val="212121"/>
                <w:sz w:val="19"/>
              </w:rPr>
              <w:t>Trichodynia - scalp pain, tingling or burning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Uncomfortable scalp dysaesthesia accompanies shedding in a substantial minority, more so than in androgenetic alopecia.</w:t>
            </w:r>
          </w:p>
        </w:tc>
      </w:tr>
      <w:tr>
        <w:trPr>
          <w:cantSplit/>
        </w:trPr>
        <w:tc>
          <w:tcPr>
            <w:tcW w:type="dxa" w:w="2304"/>
            <w:vAlign w:val="top"/>
          </w:tcPr>
          <w:p>
            <w:pPr>
              <w:spacing w:after="40" w:before="0" w:line="259" w:lineRule="auto"/>
            </w:pPr>
            <w:r>
              <w:rPr>
                <w:rFonts w:ascii="Calibri" w:hAnsi="Calibri"/>
                <w:b/>
                <w:i w:val="0"/>
                <w:color w:val="212121"/>
                <w:sz w:val="19"/>
              </w:rPr>
              <w:t>Fluctuating or waxing-and-waning shedding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 chronic telogen effluvium, shedding continues intermittently or continuously, sometimes for years.</w:t>
            </w:r>
          </w:p>
        </w:tc>
      </w:tr>
      <w:tr>
        <w:trPr>
          <w:cantSplit/>
        </w:trPr>
        <w:tc>
          <w:tcPr>
            <w:tcW w:type="dxa" w:w="2304"/>
            <w:vAlign w:val="top"/>
          </w:tcPr>
          <w:p>
            <w:pPr>
              <w:spacing w:after="40" w:before="0" w:line="259" w:lineRule="auto"/>
            </w:pPr>
            <w:r>
              <w:rPr>
                <w:rFonts w:ascii="Calibri" w:hAnsi="Calibri"/>
                <w:b/>
                <w:i w:val="0"/>
                <w:color w:val="212121"/>
                <w:sz w:val="19"/>
              </w:rPr>
              <w:t>Fine short regrowing hairs at the hairline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Patients notice new short upright hairs at the frontal margin - a reassuring sign of recovery.</w:t>
            </w:r>
          </w:p>
        </w:tc>
      </w:tr>
      <w:tr>
        <w:trPr>
          <w:cantSplit/>
        </w:trPr>
        <w:tc>
          <w:tcPr>
            <w:tcW w:type="dxa" w:w="2304"/>
            <w:vAlign w:val="top"/>
          </w:tcPr>
          <w:p>
            <w:pPr>
              <w:spacing w:after="40" w:before="0" w:line="259" w:lineRule="auto"/>
            </w:pPr>
            <w:r>
              <w:rPr>
                <w:rFonts w:ascii="Calibri" w:hAnsi="Calibri"/>
                <w:b/>
                <w:i w:val="0"/>
                <w:color w:val="212121"/>
                <w:sz w:val="19"/>
              </w:rPr>
              <w:t>Perceived brittle or thinner hair shafts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Hair may feel less dense and lustrous, though individual shaft calibre is typically preserved.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Positive hair pull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Gentle traction extracts &gt;= 4-6 telogen club hairs with white/depigmented bulbs during the active phase.</w:t>
            </w:r>
          </w:p>
        </w:tc>
      </w:tr>
      <w:tr>
        <w:trPr>
          <w:cantSplit/>
        </w:trPr>
        <w:tc>
          <w:tcPr>
            <w:tcW w:type="dxa" w:w="3456"/>
            <w:vAlign w:val="top"/>
          </w:tcPr>
          <w:p>
            <w:pPr>
              <w:spacing w:after="40" w:before="0" w:line="259" w:lineRule="auto"/>
            </w:pPr>
            <w:r>
              <w:rPr>
                <w:rFonts w:ascii="Calibri" w:hAnsi="Calibri"/>
                <w:b/>
                <w:i w:val="0"/>
                <w:color w:val="212121"/>
                <w:sz w:val="19"/>
              </w:rPr>
              <w:t>Diffuse non-patchy thinning with preserved hairline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Uniform reduction in density across the scalp with a normal part width and intact frontal hairline.</w:t>
            </w:r>
          </w:p>
        </w:tc>
      </w:tr>
      <w:tr>
        <w:trPr>
          <w:cantSplit/>
        </w:trPr>
        <w:tc>
          <w:tcPr>
            <w:tcW w:type="dxa" w:w="3456"/>
            <w:vAlign w:val="top"/>
          </w:tcPr>
          <w:p>
            <w:pPr>
              <w:spacing w:after="40" w:before="0" w:line="259" w:lineRule="auto"/>
            </w:pPr>
            <w:r>
              <w:rPr>
                <w:rFonts w:ascii="Calibri" w:hAnsi="Calibri"/>
                <w:b/>
                <w:i w:val="0"/>
                <w:color w:val="212121"/>
                <w:sz w:val="19"/>
              </w:rPr>
              <w:t>Telogen (club) hairs on trichogram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More than 25% telogen hairs with characteristic depigmented club-shaped roots and no anagen sheath.</w:t>
            </w:r>
          </w:p>
        </w:tc>
      </w:tr>
      <w:tr>
        <w:trPr>
          <w:cantSplit/>
        </w:trPr>
        <w:tc>
          <w:tcPr>
            <w:tcW w:type="dxa" w:w="3456"/>
            <w:vAlign w:val="top"/>
          </w:tcPr>
          <w:p>
            <w:pPr>
              <w:spacing w:after="40" w:before="0" w:line="259" w:lineRule="auto"/>
            </w:pPr>
            <w:r>
              <w:rPr>
                <w:rFonts w:ascii="Calibri" w:hAnsi="Calibri"/>
                <w:b/>
                <w:i w:val="0"/>
                <w:color w:val="212121"/>
                <w:sz w:val="19"/>
              </w:rPr>
              <w:t>Absence of scarring, erythema or scaling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Follicular ostia are preserved and the scalp is non-inflamed - confirming a non-scarring alopecia.</w:t>
            </w:r>
          </w:p>
        </w:tc>
      </w:tr>
      <w:tr>
        <w:trPr>
          <w:cantSplit/>
        </w:trPr>
        <w:tc>
          <w:tcPr>
            <w:tcW w:type="dxa" w:w="3456"/>
            <w:vAlign w:val="top"/>
          </w:tcPr>
          <w:p>
            <w:pPr>
              <w:spacing w:after="40" w:before="0" w:line="259" w:lineRule="auto"/>
            </w:pPr>
            <w:r>
              <w:rPr>
                <w:rFonts w:ascii="Calibri" w:hAnsi="Calibri"/>
                <w:b/>
                <w:i w:val="0"/>
                <w:color w:val="212121"/>
                <w:sz w:val="19"/>
              </w:rPr>
              <w:t>Short upright regrowing hairs at frontal margin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New fine hairs of uniform calibre at the hairline on trichoscopy indicate ongoing recovery.</w:t>
            </w:r>
          </w:p>
        </w:tc>
      </w:tr>
      <w:tr>
        <w:trPr>
          <w:cantSplit/>
        </w:trPr>
        <w:tc>
          <w:tcPr>
            <w:tcW w:type="dxa" w:w="3456"/>
            <w:vAlign w:val="top"/>
          </w:tcPr>
          <w:p>
            <w:pPr>
              <w:spacing w:after="40" w:before="0" w:line="259" w:lineRule="auto"/>
            </w:pPr>
            <w:r>
              <w:rPr>
                <w:rFonts w:ascii="Calibri" w:hAnsi="Calibri"/>
                <w:b/>
                <w:i w:val="0"/>
                <w:color w:val="212121"/>
                <w:sz w:val="19"/>
              </w:rPr>
              <w:t>No follicular miniaturisation on trichoscopy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Uniform hair-shaft diameter distinguishes TE from androgenetic alopecia, where anisotrichosis is seen.</w:t>
            </w:r>
          </w:p>
        </w:tc>
      </w:tr>
      <w:tr>
        <w:trPr>
          <w:cantSplit/>
        </w:trPr>
        <w:tc>
          <w:tcPr>
            <w:tcW w:type="dxa" w:w="3456"/>
            <w:vAlign w:val="top"/>
          </w:tcPr>
          <w:p>
            <w:pPr>
              <w:spacing w:after="40" w:before="0" w:line="259" w:lineRule="auto"/>
            </w:pPr>
            <w:r>
              <w:rPr>
                <w:rFonts w:ascii="Calibri" w:hAnsi="Calibri"/>
                <w:b/>
                <w:i w:val="0"/>
                <w:color w:val="212121"/>
                <w:sz w:val="19"/>
              </w:rPr>
              <w:t>Positive wash / 60-second count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More than 100 hairs shed in 24 hours objectively confirms excessive shedding.</w:t>
            </w:r>
          </w:p>
        </w:tc>
      </w:tr>
      <w:tr>
        <w:trPr>
          <w:cantSplit/>
        </w:trPr>
        <w:tc>
          <w:tcPr>
            <w:tcW w:type="dxa" w:w="3456"/>
            <w:vAlign w:val="top"/>
          </w:tcPr>
          <w:p>
            <w:pPr>
              <w:spacing w:after="40" w:before="0" w:line="259" w:lineRule="auto"/>
            </w:pPr>
            <w:r>
              <w:rPr>
                <w:rFonts w:ascii="Calibri" w:hAnsi="Calibri"/>
                <w:b/>
                <w:i w:val="0"/>
                <w:color w:val="212121"/>
                <w:sz w:val="19"/>
              </w:rPr>
              <w:t>Bitemporal recession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Mild recession at the temples can accompany diffuse loss but the central hairline is preserved.</w:t>
            </w:r>
          </w:p>
        </w:tc>
      </w:tr>
      <w:tr>
        <w:trPr>
          <w:cantSplit/>
        </w:trPr>
        <w:tc>
          <w:tcPr>
            <w:tcW w:type="dxa" w:w="3456"/>
            <w:vAlign w:val="top"/>
          </w:tcPr>
          <w:p>
            <w:pPr>
              <w:spacing w:after="40" w:before="0" w:line="259" w:lineRule="auto"/>
            </w:pPr>
            <w:r>
              <w:rPr>
                <w:rFonts w:ascii="Calibri" w:hAnsi="Calibri"/>
                <w:b/>
                <w:i w:val="0"/>
                <w:color w:val="212121"/>
                <w:sz w:val="19"/>
              </w:rPr>
              <w:t>Normal part-width (vs widened in AGA)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Preserved central part width helps separate TE from early female androgenetic alopecia.</w:t>
            </w:r>
          </w:p>
        </w:tc>
      </w:tr>
      <w:tr>
        <w:trPr>
          <w:cantSplit/>
        </w:trPr>
        <w:tc>
          <w:tcPr>
            <w:tcW w:type="dxa" w:w="3456"/>
            <w:vAlign w:val="top"/>
          </w:tcPr>
          <w:p>
            <w:pPr>
              <w:spacing w:after="40" w:before="0" w:line="259" w:lineRule="auto"/>
            </w:pPr>
            <w:r>
              <w:rPr>
                <w:rFonts w:ascii="Calibri" w:hAnsi="Calibri"/>
                <w:b/>
                <w:i w:val="0"/>
                <w:color w:val="212121"/>
                <w:sz w:val="19"/>
              </w:rPr>
              <w:t>Nail changes (Beau's lines)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Transverse nail grooves reflecting the same systemic stressor may occasionally be seen.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Diffuse cosmetic hair thinning and reduced density/volume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daily shedding (up to ~300 hairs/day)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Thinner ponytail and wider-appearing parting</w:t>
            </w:r>
          </w:p>
        </w:tc>
        <w:tc>
          <w:tcPr>
            <w:tcW w:type="dxa" w:w="2980"/>
            <w:vAlign w:val="top"/>
          </w:tcPr>
          <w:p>
            <w:pPr>
              <w:spacing w:after="40" w:before="0" w:line="259" w:lineRule="auto"/>
            </w:pPr>
            <w:r>
              <w:rPr>
                <w:rFonts w:ascii="Calibri" w:hAnsi="Calibri"/>
                <w:b w:val="0"/>
                <w:i w:val="0"/>
                <w:color w:val="212121"/>
                <w:sz w:val="19"/>
              </w:rPr>
              <w:t>Direct, benign and reversible consequences of synchronised telogen shedding; no scalp scarring occurs.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impact - anxiety, low self-esteem, body-image distress and social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Trichodynia (scalp pain/paraesthesia)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Persistence into chronic telogen effluvium (&gt; 6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Unmasking of coexisting androgenetic alopecia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Ongoing/worsening of the underlying trigger if unrecognised (iron deficiency, thyroid disease, malnutrition)</w:t>
            </w:r>
          </w:p>
        </w:tc>
        <w:tc>
          <w:tcPr>
            <w:tcW w:type="dxa" w:w="2980"/>
            <w:vAlign w:val="top"/>
          </w:tcPr>
          <w:p>
            <w:pPr>
              <w:spacing w:after="40" w:before="0" w:line="259" w:lineRule="auto"/>
            </w:pPr>
            <w:r>
              <w:rPr>
                <w:rFonts w:ascii="Calibri" w:hAnsi="Calibri"/>
                <w:b w:val="0"/>
                <w:i w:val="0"/>
                <w:color w:val="212121"/>
                <w:sz w:val="19"/>
              </w:rPr>
              <w:t>Downstream psychosocial and diagnostic consequences, and failure to treat the reversible underlying cause.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anxiety or depression related to persistent hair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non-reversible thinning where concurrent androgenetic alopecia has been unmasked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Sequelae of an untreated systemic cause (severe anaemia, uncontrolled thyroid disease)</w:t>
            </w:r>
          </w:p>
        </w:tc>
        <w:tc>
          <w:tcPr>
            <w:tcW w:type="dxa" w:w="2980"/>
            <w:vAlign w:val="top"/>
          </w:tcPr>
          <w:p>
            <w:pPr>
              <w:spacing w:after="40" w:before="0" w:line="259" w:lineRule="auto"/>
            </w:pPr>
            <w:r>
              <w:rPr>
                <w:rFonts w:ascii="Calibri" w:hAnsi="Calibri"/>
                <w:b w:val="0"/>
                <w:i w:val="0"/>
                <w:color w:val="212121"/>
                <w:sz w:val="19"/>
              </w:rPr>
              <w:t>Telogen effluvium itself is non-scarring and does not cause permanent baldness; irreversible loss reflects a coexisting condition or an untreated systemic driver.</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Iron deficiency anaemia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Depleted iron stores impair the hair matrix; the most common correctable nutritional cause, especially in Indian women.</w:t>
            </w:r>
          </w:p>
          <w:p>
            <w:pPr>
              <w:spacing w:after="40" w:before="0" w:line="259" w:lineRule="auto"/>
            </w:pPr>
            <w:r>
              <w:rPr>
                <w:rFonts w:ascii="Calibri" w:hAnsi="Calibri"/>
                <w:b/>
                <w:i w:val="0"/>
                <w:color w:val="212121"/>
                <w:sz w:val="19"/>
              </w:rPr>
              <w:t>Up to 73.4%</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Low 25-OH vitamin D is associated with hair loss and is extremely common across India.</w:t>
            </w:r>
          </w:p>
          <w:p>
            <w:pPr>
              <w:spacing w:after="40" w:before="0" w:line="259" w:lineRule="auto"/>
            </w:pPr>
            <w:r>
              <w:rPr>
                <w:rFonts w:ascii="Calibri" w:hAnsi="Calibri"/>
                <w:b/>
                <w:i w:val="0"/>
                <w:color w:val="212121"/>
                <w:sz w:val="19"/>
              </w:rPr>
              <w:t>Up to 80%</w:t>
            </w:r>
          </w:p>
        </w:tc>
      </w:tr>
      <w:tr>
        <w:trPr>
          <w:cantSplit/>
        </w:trPr>
        <w:tc>
          <w:tcPr>
            <w:tcW w:type="dxa" w:w="2232"/>
            <w:vAlign w:val="top"/>
          </w:tcPr>
          <w:p>
            <w:pPr>
              <w:spacing w:after="40" w:before="0" w:line="259" w:lineRule="auto"/>
            </w:pPr>
            <w:r>
              <w:rPr>
                <w:rFonts w:ascii="Calibri" w:hAnsi="Calibri"/>
                <w:b/>
                <w:i w:val="0"/>
                <w:color w:val="212121"/>
                <w:sz w:val="19"/>
              </w:rPr>
              <w:t>Androgenetic alopecia (coexisting/unmasked)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diffuse telogen shedding frequently overlaps with underlying miniaturisation on biopsy.</w:t>
            </w:r>
          </w:p>
          <w:p>
            <w:pPr>
              <w:spacing w:after="40" w:before="0" w:line="259" w:lineRule="auto"/>
            </w:pPr>
            <w:r>
              <w:rPr>
                <w:rFonts w:ascii="Calibri" w:hAnsi="Calibri"/>
                <w:b/>
                <w:i w:val="0"/>
                <w:color w:val="212121"/>
                <w:sz w:val="19"/>
              </w:rPr>
              <w:t>Up to 60%</w:t>
            </w:r>
          </w:p>
        </w:tc>
      </w:tr>
      <w:tr>
        <w:trPr>
          <w:cantSplit/>
        </w:trPr>
        <w:tc>
          <w:tcPr>
            <w:tcW w:type="dxa" w:w="2232"/>
            <w:vAlign w:val="top"/>
          </w:tcPr>
          <w:p>
            <w:pPr>
              <w:spacing w:after="40" w:before="0" w:line="259" w:lineRule="auto"/>
            </w:pPr>
            <w:r>
              <w:rPr>
                <w:rFonts w:ascii="Calibri" w:hAnsi="Calibri"/>
                <w:b/>
                <w:i w:val="0"/>
                <w:color w:val="212121"/>
                <w:sz w:val="19"/>
              </w:rPr>
              <w:t>Postpartum state (telogen gravidarum)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Oestrogen withdrawal after delivery triggers synchronised shedding 2-4 months postpartum.</w:t>
            </w:r>
          </w:p>
          <w:p>
            <w:pPr>
              <w:spacing w:after="40" w:before="0" w:line="259" w:lineRule="auto"/>
            </w:pPr>
            <w:r>
              <w:rPr>
                <w:rFonts w:ascii="Calibri" w:hAnsi="Calibri"/>
                <w:b/>
                <w:i w:val="0"/>
                <w:color w:val="212121"/>
                <w:sz w:val="19"/>
              </w:rPr>
              <w:t>One-third to one-half</w:t>
            </w:r>
          </w:p>
        </w:tc>
      </w:tr>
      <w:tr>
        <w:trPr>
          <w:cantSplit/>
        </w:trPr>
        <w:tc>
          <w:tcPr>
            <w:tcW w:type="dxa" w:w="2232"/>
            <w:vAlign w:val="top"/>
          </w:tcPr>
          <w:p>
            <w:pPr>
              <w:spacing w:after="40" w:before="0" w:line="259" w:lineRule="auto"/>
            </w:pPr>
            <w:r>
              <w:rPr>
                <w:rFonts w:ascii="Calibri" w:hAnsi="Calibri"/>
                <w:b/>
                <w:i w:val="0"/>
                <w:color w:val="212121"/>
                <w:sz w:val="19"/>
              </w:rPr>
              <w:t>Thyroid dysfunction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Hypo- and hyperthyroidism perturb follicular cycling; readily screened and reversible.</w:t>
            </w:r>
          </w:p>
          <w:p>
            <w:pPr>
              <w:spacing w:after="40" w:before="0" w:line="259" w:lineRule="auto"/>
            </w:pPr>
            <w:r>
              <w:rPr>
                <w:rFonts w:ascii="Calibri" w:hAnsi="Calibri"/>
                <w:b/>
                <w:i w:val="0"/>
                <w:color w:val="212121"/>
                <w:sz w:val="19"/>
              </w:rPr>
              <w:t>Up to 17%</w:t>
            </w:r>
          </w:p>
        </w:tc>
      </w:tr>
      <w:tr>
        <w:trPr>
          <w:cantSplit/>
        </w:trPr>
        <w:tc>
          <w:tcPr>
            <w:tcW w:type="dxa" w:w="2232"/>
            <w:vAlign w:val="top"/>
          </w:tcPr>
          <w:p>
            <w:pPr>
              <w:spacing w:after="40" w:before="0" w:line="259" w:lineRule="auto"/>
            </w:pPr>
            <w:r>
              <w:rPr>
                <w:rFonts w:ascii="Calibri" w:hAnsi="Calibri"/>
                <w:b/>
                <w:i w:val="0"/>
                <w:color w:val="212121"/>
                <w:sz w:val="19"/>
              </w:rPr>
              <w:t>Anxiety / depression and psychological stress</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relationship - stress precipitates shedding, and shedding causes distress and trichodynia.</w:t>
            </w:r>
          </w:p>
        </w:tc>
      </w:tr>
      <w:tr>
        <w:trPr>
          <w:cantSplit/>
        </w:trPr>
        <w:tc>
          <w:tcPr>
            <w:tcW w:type="dxa" w:w="2232"/>
            <w:vAlign w:val="top"/>
          </w:tcPr>
          <w:p>
            <w:pPr>
              <w:spacing w:after="40" w:before="0" w:line="259" w:lineRule="auto"/>
            </w:pPr>
            <w:r>
              <w:rPr>
                <w:rFonts w:ascii="Calibri" w:hAnsi="Calibri"/>
                <w:b/>
                <w:i w:val="0"/>
                <w:color w:val="212121"/>
                <w:sz w:val="19"/>
              </w:rPr>
              <w:t>Zinc deficiency / protein-energy malnutrition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Restrictive diets, malabsorption and alcohol excess deplete zinc and protein, driving shedding.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acute telogen effluvium is benign, self-limiting and usually recovers within 6 to 9 months once the trigger is removed.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characteristic 2 to 3 month lag between a trigger (illness, delivery, surgery, crash diet, stress) and the onset of shedding.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crash and fad diets; maintain adequate protein (0.8 to 1.0 g/kg/day) and balanced calories during any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evaluation for correctable causes - anaemia/iron deficiency, thyroid disease and vitamin D deficiency - rather than relying on unproven supplements.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Handle hair gently: avoid tight hairstyles, harsh traction, aggressive brushing and excessive heat/chemical treatments.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realistic expectations - visible regrowth of short frontal hairs is a good early sign but full density returns gradually.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new shedding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Postpartum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Dieters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anaemic adults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(about 0.5 to 1 kg/week) rather than rapid crash regimens that trigger shedding.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iron, protein and calorie intake when training hard or cutting weight for sport.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regular moderate activity with balanced nutrition to support overall metabolic and follicular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Aggressive dieters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cutting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Post-bariatric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iron-rich foods (green leafy vegetables, legumes, jaggery, dates, and, where acceptable, meat/fish/eggs) with vitamin C-rich foods to boost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dietary protein (0.8 to 1.0 g/kg/day) and avoid very-low-calorie diets (&lt; 1200 kcal/day).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sufficient zinc and vitamin D through diet and safe sun exposure; correct documented deficiencies.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should pay particular attention to iron, vitamin B12 and protein adequacy.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excess vitamin A / high-dose retinoid supplements, which can precipitate shedding.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Menstruating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Fad-diet followers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 deficiency with oral iron (e.g., ferrous sulfate) and aim to restore serum ferritin above ~70 ng/mL.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underlying deficiency or endocrine disorder (iron, zinc, vitamin D, thyroid) rather than using generic hair vitamins.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iron repletion for 3 to 6 months until stores are replenished, monitoring haemoglobin and ferritin.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Replete protein and calories in malnourished or post-bariatric patients under dietetic supervision.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telogen effluvium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Post-bariatric / malnourished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 schedule of about 7 to 9 hours to limit chronic physiological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shift-work and jet-lag related disruption where possible, as part of overall stress reduction.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smoking to reduce oxidative stress and protect follicular microcirculation.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Note that smoking is more strongly linked to androgenetic alopecia and premature greying, which can compound hair thinning.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coexisting androgenetic alopecia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protect protein, zinc and micronutrient status and liver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heavy or dependent drinking, which contributes to malnutrition-related shedding.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counselling about the benign, reversible nature of acute TE to reduce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strategies (mindfulness, yoga, relaxation, exercise) to address stress-related shedding.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manage trichodynia and the emotional distress of hair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psychological support where anxiety, depression or excessive preoccupation with hair loss is significant.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trichodynia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Distressed / anxious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indawi.com/journals/drp/2016/6279108/" TargetMode="External"/><Relationship Id="rId10" Type="http://schemas.openxmlformats.org/officeDocument/2006/relationships/hyperlink" Target="https://www.ncbi.nlm.nih.gov/books/NBK430848/" TargetMode="External"/><Relationship Id="rId11" Type="http://schemas.openxmlformats.org/officeDocument/2006/relationships/hyperlink" Target="https://globalnutritionreport.org/resources/nutrition-profiles/asia/southern-asia/india/" TargetMode="External"/><Relationship Id="rId12" Type="http://schemas.openxmlformats.org/officeDocument/2006/relationships/hyperlink" Target="https://ijdvl.com/telogen-effluvium/" TargetMode="External"/><Relationship Id="rId13" Type="http://schemas.openxmlformats.org/officeDocument/2006/relationships/hyperlink" Target="https://pmc.ncbi.nlm.nih.gov/articles/PMC5007917" TargetMode="External"/><Relationship Id="rId14" Type="http://schemas.openxmlformats.org/officeDocument/2006/relationships/hyperlink" Target="https://www.aad.org/public/diseases/hair-loss/insider/shed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