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Hirsutism</w:t>
      </w:r>
    </w:p>
    <w:p>
      <w:pPr>
        <w:spacing w:before="0" w:after="160"/>
      </w:pPr>
      <w:r>
        <w:rPr>
          <w:rFonts w:ascii="Calibri" w:hAnsi="Calibri"/>
          <w:b/>
          <w:i w:val="0"/>
          <w:color w:val="212121"/>
          <w:sz w:val="22"/>
        </w:rPr>
        <w:t xml:space="preserve">AKA </w:t>
      </w:r>
      <w:r>
        <w:rPr>
          <w:rFonts w:ascii="Calibri" w:hAnsi="Calibri"/>
          <w:b w:val="0"/>
          <w:i w:val="0"/>
          <w:color w:val="212121"/>
          <w:sz w:val="22"/>
        </w:rPr>
        <w:t>i.e., Excessive male-pattern facial and body hair in women, Unwanted facial/body hair, Female androgenic terminal hair growth (distinct from hypertrichosis)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Hirsutism is the excessive growth of coarse, pigmented terminal hair in women and other individuals assigned female at birth, distributed in a male (androgen-dependent) pattern - upper lip, chin, jawline, chest, mid-line abdomen, lower back, buttocks and inner thighs. It results from an interplay between circulating androgen excess (chiefly ovarian, as in polycystic ovary syndrome) and heightened sensitivity of the pilosebaceous unit to androgens, which converts fine vellus hair into terminal hair. Hirsutism is distinct from hypertrichosis, which is a generalised, non-androgen-dependent increase in hair. Severity is graded clinically with the modified Ferriman-Gallwey (mFG) score, which rates nine androgen-sensitive body areas from 0 to 4 (maximum 36); a score at or above 8 is conventionally abnormal, though ethnicity-specific cut-offs apply.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Hirsutism affects an estimated 5 to 10% of women of reproductive age worldwide, and is one of the commonest reasons for referral to dermatology, endocrine and gynaecology clinics in India. In a community study of Kashmiri women in the Indian subcontinent, 504 of 4,780 women (10.5%) had hirsutism. Because the classical mFG cut-off of 8 was derived largely in white US and UK women, ethnicity-specific norms matter: a normative study of 453 young South-Indian women found a hirsutism prevalence of 1.8% using mFG &gt;= 8 but 9.9% using a locally derived cut-off of &gt;= 5. Hirsutism is overwhelmingly driven by polycystic ovary syndrome (PCOS), whose pooled prevalence in Indian women is about 11.3%, so the true community burden of hirsutism is substantial and under-recognised.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Hirsutism is primarily a clinical diagnosis based on the pattern and severity of terminal-hair growth, supported by a search for the underlying cause of androgen excess. Assessment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Modified Ferriman-Gallwey (mFG) scoring of nine androgen-sensitive areas (upper lip, chin, chest, upper and lower abdomen, upper and lower back, upper arms and thighs), each graded 0 to 4 (maximum 36); a total &gt;= 8 is conventionally abnormal (&gt;= 6 in some series, and a cut-off of &gt;= 5 has been proposed as normative for South-Indian women);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Distinguishing true hirsutism (coarse terminal hair in an androgen-dependent, male pattern) from hypertrichosis (diffuse vellus-type hair in non-androgenic areas such as the forearms and lower legs);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assessment of hyperandrogenism and its tempo - age and speed of onset, menstrual history, acne, seborrhoea, androgenetic (patterned) scalp hair loss, and features of virilisation (voice deepening, clitoromegaly, increased muscle mass, breast atrophy) which suggest a tumour;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Biochemical confirmation of androgen excess: total and free testosterone (or free androgen index) with sex-hormone-binding globulin (SHBG) and DHEAS, sampled in the early-follicular phase in the morning;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Screening for non-classic congenital adrenal hyperplasia with an early-morning follicular-phase 17-hydroxyprogesterone (17-OHP); a level below 2 ng/mL excludes it with about 90% certainty, and higher values are confirmed with an ACTH-stimulation test;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other secondary causes with prolactin, thyroid-stimulating hormone and, where Cushing syndrome is suspected, an overnight dexamethasone-suppression or late-night salivary cortisol test;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for insulin resistance in suspected PCOS (fasting glucose and insulin, oral glucose tolerance test or HbA1c, lipid profile) and pelvic ultrasound for polycystic ovarian morphology;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Adrenal/ovarian imaging (CT or MRI) when a total testosterone is markedly elevated (roughly &gt; 150 to 200 ng/dL), DHEAS is very high, or hirsutism is of rapid onset with virilisation.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Hirsutism is classified by the underlying source of androgen excess (or androgen sensitivity) and, clinically, by severity on the mFG score. The principal categories are:</w:t>
      </w:r>
    </w:p>
    <w:p>
      <w:pPr>
        <w:spacing w:before="0" w:after="80"/>
      </w:pPr>
      <w:r>
        <w:rPr>
          <w:rFonts w:ascii="Calibri" w:hAnsi="Calibri"/>
          <w:b w:val="0"/>
          <w:i w:val="0"/>
          <w:color w:val="212121"/>
          <w:sz w:val="21"/>
        </w:rPr>
        <w:t>(1) PCOS-related hirsutism - by far the commonest cause (about 70 to 75% of all hirsutism), driven by ovarian theca-cell overproduction of androgens, frequently compounded by insulin resistance; it is typically peripubertal in onset and slowly progressive and accompanied by menstrual irregularity, acne and obesity;</w:t>
      </w:r>
    </w:p>
    <w:p>
      <w:pPr>
        <w:spacing w:before="0" w:after="80"/>
      </w:pPr>
      <w:r>
        <w:rPr>
          <w:rFonts w:ascii="Calibri" w:hAnsi="Calibri"/>
          <w:b w:val="0"/>
          <w:i w:val="0"/>
          <w:color w:val="212121"/>
          <w:sz w:val="21"/>
        </w:rPr>
        <w:t>(2) Idiopathic hirsutism - hirsutism with normal circulating androgens, regular ovulatory cycles and normal ovaries, attributed to increased peripheral 5-alpha-reductase activity and androgen-receptor sensitivity in the pilosebaceous unit; it accounts for roughly 10% of cases overall and up to half of mild hirsutism;</w:t>
      </w:r>
    </w:p>
    <w:p>
      <w:pPr>
        <w:spacing w:before="0" w:after="80"/>
      </w:pPr>
      <w:r>
        <w:rPr>
          <w:rFonts w:ascii="Calibri" w:hAnsi="Calibri"/>
          <w:b w:val="0"/>
          <w:i w:val="0"/>
          <w:color w:val="212121"/>
          <w:sz w:val="21"/>
        </w:rPr>
        <w:t>(3) Idiopathic (non-PCOS) hyperandrogenism - biochemical androgen excess with regular menses that does not fulfil PCOS criteria;</w:t>
      </w:r>
    </w:p>
    <w:p>
      <w:pPr>
        <w:spacing w:before="0" w:after="80"/>
      </w:pPr>
      <w:r>
        <w:rPr>
          <w:rFonts w:ascii="Calibri" w:hAnsi="Calibri"/>
          <w:b w:val="0"/>
          <w:i w:val="0"/>
          <w:color w:val="212121"/>
          <w:sz w:val="21"/>
        </w:rPr>
        <w:t>(4) Non-classic congenital adrenal hyperplasia (NCAH) - most often 21-hydroxylase deficiency, the commonest adrenal cause, presenting with adrenal androgen excess and a raised 17-OHP;</w:t>
      </w:r>
    </w:p>
    <w:p>
      <w:pPr>
        <w:spacing w:before="0" w:after="80"/>
      </w:pPr>
      <w:r>
        <w:rPr>
          <w:rFonts w:ascii="Calibri" w:hAnsi="Calibri"/>
          <w:b w:val="0"/>
          <w:i w:val="0"/>
          <w:color w:val="212121"/>
          <w:sz w:val="21"/>
        </w:rPr>
        <w:t>(5) Other and secondary causes - androgen-secreting ovarian or adrenal tumours (rare, about 0.2%, with rapid virilisation), Cushing syndrome, hyperprolactinaemia, thyroid dysfunction, acromegaly, postmenopausal ovarian hyperthecosis, and drug-induced hirsutism (exogenous androgens/anabolic steroids, danazol, valproate, ciclosporin, minoxidil). Severity is graded as mild (mFG ~8 to 15), moderate (~16 to 25) and severe (&gt; 25).</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Ovarian androgen excess: PCOS-driven theca-cell overproduction of testosterone and androstenedione is the dominant cause; luteinising-hormone excess and arrested follicular development sustain the hyperandrogenism.</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Insulin resistance and hyperinsulinaemia: high insulin stimulates ovarian androgen synthesis and lowers hepatic SHBG production, raising free (bioactive) testosterone - the mechanism underlying the hyperandrogenism-insulin resistance-acanthosis nigricans (HAIR-AN) spectrum.</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Increased peripheral androgen sensitivity: heightened 5-alpha-reductase activity and androgen-receptor responsiveness convert testosterone to potent dihydrotestosterone within the hair follicle, causing idiopathic hirsutism despite normal serum androgens.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Adrenal androgen excess: non-classic congenital adrenal hyperplasia (21-hydroxylase deficiency), Cushing syndrome and adrenal tumours raise DHEAS and other adrenal androgens.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Genetic and ethnic predisposition: familial clustering of hirsutism and PCOS, and inherited differences in follicle density and androgen sensitivity, produce marked variation in normal hair patterns between ethnic groups.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Drug-induced: exogenous androgens and anabolic steroids, danazol, valproate, ciclosporin and minoxidil can provoke or worsen hair growth.</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Rare endocrine and neoplastic causes: hyperprolactinaemia, acromegaly and androgen-secreting ovarian or adrenal tumours cause rapidly progressive hirsutism with virilisation.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(reproductive-age women)</w:t>
            </w:r>
          </w:p>
        </w:tc>
        <w:tc>
          <w:tcPr>
            <w:tcW w:type="dxa" w:w="4276"/>
            <w:vAlign w:val="top"/>
          </w:tcPr>
          <w:p>
            <w:pPr>
              <w:spacing w:after="60" w:line="259" w:lineRule="auto"/>
            </w:pPr>
            <w:r>
              <w:rPr>
                <w:rFonts w:ascii="Calibri" w:hAnsi="Calibri"/>
                <w:b w:val="0"/>
                <w:i w:val="0"/>
                <w:color w:val="212121"/>
                <w:sz w:val="19"/>
              </w:rPr>
              <w:t>Hirsutism is androgen-dependent and characteristically emerges after puberty, becoming most prominent through the reproductive years as PCOS and other hyperandrogenic states manifest; most patients present as young adults.</w:t>
            </w:r>
          </w:p>
          <w:p>
            <w:pPr>
              <w:spacing w:after="40" w:before="60" w:line="259" w:lineRule="auto"/>
            </w:pPr>
            <w:r>
              <w:rPr>
                <w:rFonts w:ascii="Calibri" w:hAnsi="Calibri"/>
                <w:b w:val="0"/>
                <w:i w:val="0"/>
                <w:color w:val="212121"/>
                <w:sz w:val="19"/>
              </w:rPr>
              <w:t>In a normative study of 453 young South-Indian women (aged 18 to 40), the mean age was 22.15 +/- 5.27 years; Indian hirsutism clinic series report mean ages in the early-to-mid 20s.</w:t>
            </w:r>
          </w:p>
          <w:p>
            <w:pPr>
              <w:spacing w:after="40" w:line="252" w:lineRule="auto"/>
            </w:pPr>
            <w:hyperlink r:id="rId9">
              <w:r>
                <w:rPr>
                  <w:rFonts w:ascii="Calibri" w:hAnsi="Calibri" w:cs="Calibri"/>
                  <w:sz w:val="18"/>
                  <w:color w:val="1155CC"/>
                  <w:u w:val="single"/>
                </w:rPr>
                <w:t xml:space="preserve">pubmed.ncbi.nlm.nih.gov/39371657 - South-Indian mFG normative study</w:t>
              </w:r>
            </w:hyperlink>
          </w:p>
          <w:p>
            <w:pPr>
              <w:spacing w:before="60" w:after="40"/>
            </w:pPr>
            <w:r>
              <w:rPr>
                <w:rFonts w:ascii="Calibri" w:hAnsi="Calibri"/>
                <w:b w:val="0"/>
                <w:i w:val="0"/>
                <w:color w:val="5A5A5A"/>
                <w:sz w:val="18"/>
              </w:rPr>
              <w:t>#hirsutism  #reproductiveage  #hyperandrogenism  #PCOS  #youngwomen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postmenopausal</w:t>
            </w:r>
          </w:p>
        </w:tc>
        <w:tc>
          <w:tcPr>
            <w:tcW w:type="dxa" w:w="4276"/>
            <w:vAlign w:val="top"/>
          </w:tcPr>
          <w:p>
            <w:pPr>
              <w:spacing w:after="60" w:line="259" w:lineRule="auto"/>
            </w:pPr>
            <w:r>
              <w:rPr>
                <w:rFonts w:ascii="Calibri" w:hAnsi="Calibri"/>
                <w:b w:val="0"/>
                <w:i w:val="0"/>
                <w:color w:val="212121"/>
                <w:sz w:val="19"/>
              </w:rPr>
              <w:t>After menopause the fall in oestrogen and SHBG unmasks a relative androgen excess, and ovarian hyperthecosis or (rarely) an androgen-secreting tumour can cause new or worsening facial hair; new rapid-onset hirsutism in this group warrants tumour work-up.</w:t>
            </w:r>
          </w:p>
          <w:p>
            <w:pPr>
              <w:spacing w:after="40" w:before="60" w:line="259" w:lineRule="auto"/>
            </w:pPr>
            <w:r>
              <w:rPr>
                <w:rFonts w:ascii="Calibri" w:hAnsi="Calibri"/>
                <w:b w:val="0"/>
                <w:i w:val="0"/>
                <w:color w:val="212121"/>
                <w:sz w:val="19"/>
              </w:rPr>
              <w:t>A post-menopausal state accounted for 9.2% of hirsutism cases in a large Kashmiri (Indian subcontinent) series.</w:t>
            </w:r>
          </w:p>
          <w:p>
            <w:pPr>
              <w:spacing w:after="40" w:line="252" w:lineRule="auto"/>
            </w:pPr>
            <w:hyperlink r:id="rId10">
              <w:r>
                <w:rPr>
                  <w:rFonts w:ascii="Calibri" w:hAnsi="Calibri" w:cs="Calibri"/>
                  <w:sz w:val="18"/>
                  <w:color w:val="1155CC"/>
                  <w:u w:val="single"/>
                </w:rPr>
                <w:t xml:space="preserve">pubmed.ncbi.nlm.nih.gov/11937114 - Kashmiri women study</w:t>
              </w:r>
            </w:hyperlink>
          </w:p>
          <w:p>
            <w:pPr>
              <w:spacing w:before="60" w:after="40"/>
            </w:pPr>
            <w:r>
              <w:rPr>
                <w:rFonts w:ascii="Calibri" w:hAnsi="Calibri"/>
                <w:b w:val="0"/>
                <w:i w:val="0"/>
                <w:color w:val="5A5A5A"/>
                <w:sz w:val="18"/>
              </w:rPr>
              <w:t>#postmenopausal  #SHBG  #hyperthecosis  #tumourworkup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 AFAB</w:t>
            </w:r>
          </w:p>
        </w:tc>
        <w:tc>
          <w:tcPr>
            <w:tcW w:type="dxa" w:w="4276"/>
            <w:vAlign w:val="top"/>
          </w:tcPr>
          <w:p>
            <w:pPr>
              <w:spacing w:after="60" w:line="259" w:lineRule="auto"/>
            </w:pPr>
            <w:r>
              <w:rPr>
                <w:rFonts w:ascii="Calibri" w:hAnsi="Calibri"/>
                <w:b w:val="0"/>
                <w:i w:val="0"/>
                <w:color w:val="212121"/>
                <w:sz w:val="19"/>
              </w:rPr>
              <w:t>Hirsutism is by definition a disorder of terminal-hair growth in a male pattern in women and those assigned female at birth, reflecting the interaction of even modest androgen excess with follicular sensitivity; men do not develop this condition.</w:t>
            </w:r>
          </w:p>
          <w:p>
            <w:pPr>
              <w:spacing w:after="40" w:before="60" w:line="259" w:lineRule="auto"/>
            </w:pPr>
            <w:r>
              <w:rPr>
                <w:rFonts w:ascii="Calibri" w:hAnsi="Calibri"/>
                <w:b w:val="0"/>
                <w:i w:val="0"/>
                <w:color w:val="212121"/>
                <w:sz w:val="19"/>
              </w:rPr>
              <w:t>PCOS underlies about 70 to 75% of hirsutism in women, making female hyperandrogenism the central driver.</w:t>
            </w:r>
          </w:p>
          <w:p>
            <w:pPr>
              <w:spacing w:after="40" w:line="252" w:lineRule="auto"/>
            </w:pPr>
            <w:hyperlink r:id="rId11">
              <w:r>
                <w:rPr>
                  <w:rFonts w:ascii="Calibri" w:hAnsi="Calibri" w:cs="Calibri"/>
                  <w:sz w:val="18"/>
                  <w:color w:val="1155CC"/>
                  <w:u w:val="single"/>
                </w:rPr>
                <w:t xml:space="preserve">ncbi.nlm.nih.gov/books/NBK470417 - StatPearls Hirsutism</w:t>
              </w:r>
            </w:hyperlink>
          </w:p>
          <w:p>
            <w:pPr>
              <w:spacing w:before="60" w:after="40"/>
            </w:pPr>
            <w:r>
              <w:rPr>
                <w:rFonts w:ascii="Calibri" w:hAnsi="Calibri"/>
                <w:b w:val="0"/>
                <w:i w:val="0"/>
                <w:color w:val="5A5A5A"/>
                <w:sz w:val="18"/>
              </w:rPr>
              <w:t>#women  #androgenexcess  #PCOS  #femalehyperandrogenism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 psychosocial status</w:t>
            </w:r>
          </w:p>
        </w:tc>
        <w:tc>
          <w:tcPr>
            <w:tcW w:type="dxa" w:w="2160"/>
            <w:vAlign w:val="top"/>
          </w:tcPr>
          <w:p>
            <w:pPr>
              <w:spacing w:after="40" w:before="0" w:line="259" w:lineRule="auto"/>
            </w:pPr>
            <w:r>
              <w:rPr>
                <w:rFonts w:ascii="Calibri" w:hAnsi="Calibri"/>
                <w:b w:val="0"/>
                <w:i w:val="0"/>
                <w:color w:val="212121"/>
                <w:sz w:val="19"/>
              </w:rPr>
              <w:t>Young unmarried women under social/marriage pressure</w:t>
            </w:r>
          </w:p>
        </w:tc>
        <w:tc>
          <w:tcPr>
            <w:tcW w:type="dxa" w:w="4276"/>
            <w:vAlign w:val="top"/>
          </w:tcPr>
          <w:p>
            <w:pPr>
              <w:spacing w:after="60" w:line="259" w:lineRule="auto"/>
            </w:pPr>
            <w:r>
              <w:rPr>
                <w:rFonts w:ascii="Calibri" w:hAnsi="Calibri"/>
                <w:b w:val="0"/>
                <w:i w:val="0"/>
                <w:color w:val="212121"/>
                <w:sz w:val="19"/>
              </w:rPr>
              <w:t>Visible facial hair carries a heavy cosmetic and social stigma in India, particularly for young unmarried women, driving distress, repeated cosmetic hair removal and care-seeking; the psychosocial burden is a defining feature of the condition rather than a mere byproduct.</w:t>
            </w:r>
          </w:p>
          <w:p>
            <w:pPr>
              <w:spacing w:after="40" w:before="60" w:line="259" w:lineRule="auto"/>
            </w:pPr>
            <w:r>
              <w:rPr>
                <w:rFonts w:ascii="Calibri" w:hAnsi="Calibri"/>
                <w:b w:val="0"/>
                <w:i w:val="0"/>
                <w:color w:val="212121"/>
                <w:sz w:val="19"/>
              </w:rPr>
              <w:t>In an Indian quality-of-life study of 100 hirsute women (mean age 24.4 years, 65% unmarried), 37% reported a moderate and 17% a very large effect on quality of life (mean DLQI 6.67).</w:t>
            </w:r>
          </w:p>
          <w:p>
            <w:pPr>
              <w:spacing w:after="40" w:line="252" w:lineRule="auto"/>
            </w:pPr>
            <w:hyperlink r:id="rId12">
              <w:r>
                <w:rPr>
                  <w:rFonts w:ascii="Calibri" w:hAnsi="Calibri" w:cs="Calibri"/>
                  <w:sz w:val="18"/>
                  <w:color w:val="1155CC"/>
                  <w:u w:val="single"/>
                </w:rPr>
                <w:t xml:space="preserve">ijord.com - QoL of Indian women with hirsutism</w:t>
              </w:r>
            </w:hyperlink>
          </w:p>
          <w:p>
            <w:pPr>
              <w:spacing w:before="60" w:after="40"/>
            </w:pPr>
            <w:r>
              <w:rPr>
                <w:rFonts w:ascii="Calibri" w:hAnsi="Calibri"/>
                <w:b w:val="0"/>
                <w:i w:val="0"/>
                <w:color w:val="5A5A5A"/>
                <w:sz w:val="18"/>
              </w:rPr>
              <w:t>#qualityoflife  #stigma  #psychosocial  #DLQI  #womenshealth</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South-Indian (Dravidian) women</w:t>
            </w:r>
          </w:p>
        </w:tc>
        <w:tc>
          <w:tcPr>
            <w:tcW w:type="dxa" w:w="4276"/>
            <w:vAlign w:val="top"/>
          </w:tcPr>
          <w:p>
            <w:pPr>
              <w:spacing w:after="60" w:line="259" w:lineRule="auto"/>
            </w:pPr>
            <w:r>
              <w:rPr>
                <w:rFonts w:ascii="Calibri" w:hAnsi="Calibri"/>
                <w:b w:val="0"/>
                <w:i w:val="0"/>
                <w:color w:val="212121"/>
                <w:sz w:val="19"/>
              </w:rPr>
              <w:t>Dark, coarse terminal hair is highly visible against South-Indian skin tones, and normative hair scores differ from Western populations, so the conventional mFG cut-off of 8 may under-diagnose clinically significant hair growth; a lower locally derived cut-off has been proposed.</w:t>
            </w:r>
          </w:p>
          <w:p>
            <w:pPr>
              <w:spacing w:after="40" w:before="60" w:line="259" w:lineRule="auto"/>
            </w:pPr>
            <w:r>
              <w:rPr>
                <w:rFonts w:ascii="Calibri" w:hAnsi="Calibri"/>
                <w:b w:val="0"/>
                <w:i w:val="0"/>
                <w:color w:val="212121"/>
                <w:sz w:val="19"/>
              </w:rPr>
              <w:t>Among young South-Indian women, hirsutism prevalence was 1.8% at mFG &gt;= 8 but 9.9% at the locally derived cut-off of mFG &gt;= 5 (97.5th centile).</w:t>
            </w:r>
          </w:p>
          <w:p>
            <w:pPr>
              <w:spacing w:after="40" w:line="252" w:lineRule="auto"/>
            </w:pPr>
            <w:hyperlink r:id="rId9">
              <w:r>
                <w:rPr>
                  <w:rFonts w:ascii="Calibri" w:hAnsi="Calibri" w:cs="Calibri"/>
                  <w:sz w:val="18"/>
                  <w:color w:val="1155CC"/>
                  <w:u w:val="single"/>
                </w:rPr>
                <w:t xml:space="preserve">pubmed.ncbi.nlm.nih.gov/39371657 - South-Indian mFG normative study</w:t>
              </w:r>
            </w:hyperlink>
          </w:p>
          <w:p>
            <w:pPr>
              <w:spacing w:before="60" w:after="40"/>
            </w:pPr>
            <w:r>
              <w:rPr>
                <w:rFonts w:ascii="Calibri" w:hAnsi="Calibri"/>
                <w:b w:val="0"/>
                <w:i w:val="0"/>
                <w:color w:val="5A5A5A"/>
                <w:sz w:val="18"/>
              </w:rPr>
              <w:t>#SouthIndian  #Dravidian  #ethnicnorms  #mFGcutoff</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South Asian / Indian subcontinent</w:t>
            </w:r>
          </w:p>
        </w:tc>
        <w:tc>
          <w:tcPr>
            <w:tcW w:type="dxa" w:w="4276"/>
            <w:vAlign w:val="top"/>
          </w:tcPr>
          <w:p>
            <w:pPr>
              <w:spacing w:after="60" w:line="259" w:lineRule="auto"/>
            </w:pPr>
            <w:r>
              <w:rPr>
                <w:rFonts w:ascii="Calibri" w:hAnsi="Calibri"/>
                <w:b w:val="0"/>
                <w:i w:val="0"/>
                <w:color w:val="212121"/>
                <w:sz w:val="19"/>
              </w:rPr>
              <w:t>South Asian women tend to have greater follicular androgen sensitivity and a high PCOS burden, and generally score higher on hair-growth indices than East Asian women, making hirsutism a common presenting complaint across the subcontinent.</w:t>
            </w:r>
          </w:p>
          <w:p>
            <w:pPr>
              <w:spacing w:after="40" w:before="60" w:line="259" w:lineRule="auto"/>
            </w:pPr>
            <w:r>
              <w:rPr>
                <w:rFonts w:ascii="Calibri" w:hAnsi="Calibri"/>
                <w:b w:val="0"/>
                <w:i w:val="0"/>
                <w:color w:val="212121"/>
                <w:sz w:val="19"/>
              </w:rPr>
              <w:t>In a community study of Kashmiri women, 504 of 4,780 (10.5%) had hirsutism, of whom the great majority had mild disease (mFG 6 to 9).</w:t>
            </w:r>
          </w:p>
          <w:p>
            <w:pPr>
              <w:spacing w:after="40" w:line="252" w:lineRule="auto"/>
            </w:pPr>
            <w:hyperlink r:id="rId10">
              <w:r>
                <w:rPr>
                  <w:rFonts w:ascii="Calibri" w:hAnsi="Calibri" w:cs="Calibri"/>
                  <w:sz w:val="18"/>
                  <w:color w:val="1155CC"/>
                  <w:u w:val="single"/>
                </w:rPr>
                <w:t xml:space="preserve">pubmed.ncbi.nlm.nih.gov/11937114 - Kashmiri women study</w:t>
              </w:r>
            </w:hyperlink>
          </w:p>
          <w:p>
            <w:pPr>
              <w:spacing w:before="60" w:after="40"/>
            </w:pPr>
            <w:r>
              <w:rPr>
                <w:rFonts w:ascii="Calibri" w:hAnsi="Calibri"/>
                <w:b w:val="0"/>
                <w:i w:val="0"/>
                <w:color w:val="5A5A5A"/>
                <w:sz w:val="18"/>
              </w:rPr>
              <w:t>#SouthAsian  #India  #follicularsensitivity  #PCOSburden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women</w:t>
            </w:r>
          </w:p>
        </w:tc>
        <w:tc>
          <w:tcPr>
            <w:tcW w:type="dxa" w:w="4276"/>
            <w:vAlign w:val="top"/>
          </w:tcPr>
          <w:p>
            <w:pPr>
              <w:spacing w:after="60" w:line="259" w:lineRule="auto"/>
            </w:pPr>
            <w:r>
              <w:rPr>
                <w:rFonts w:ascii="Calibri" w:hAnsi="Calibri"/>
                <w:b w:val="0"/>
                <w:i w:val="0"/>
                <w:color w:val="212121"/>
                <w:sz w:val="19"/>
              </w:rPr>
              <w:t>Physical inactivity worsens insulin resistance, which in PCOS amplifies ovarian androgen production and lowers SHBG, raising free testosterone and aggravating hirsutism; regular activity has the opposite effect.</w:t>
            </w:r>
          </w:p>
          <w:p>
            <w:pPr>
              <w:spacing w:after="40" w:before="60" w:line="259" w:lineRule="auto"/>
            </w:pPr>
            <w:r>
              <w:rPr>
                <w:rFonts w:ascii="Calibri" w:hAnsi="Calibri"/>
                <w:b w:val="0"/>
                <w:i w:val="0"/>
                <w:color w:val="212121"/>
                <w:sz w:val="19"/>
              </w:rPr>
              <w:t>Exercise-induced improvement in insulin sensitivity reduces circulating androgens in PCOS, the commonest cause of hirsutism.</w:t>
            </w:r>
          </w:p>
          <w:p>
            <w:pPr>
              <w:spacing w:before="60" w:after="40"/>
            </w:pPr>
            <w:r>
              <w:rPr>
                <w:rFonts w:ascii="Calibri" w:hAnsi="Calibri"/>
                <w:b w:val="0"/>
                <w:i w:val="0"/>
                <w:color w:val="5A5A5A"/>
                <w:sz w:val="18"/>
              </w:rPr>
              <w:t>#sedentary  #insulinresistance  #PCOS  #androgens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women (Asian-Indian BMI 23-24.9)</w:t>
            </w:r>
          </w:p>
        </w:tc>
        <w:tc>
          <w:tcPr>
            <w:tcW w:type="dxa" w:w="4276"/>
            <w:vAlign w:val="top"/>
          </w:tcPr>
          <w:p>
            <w:pPr>
              <w:spacing w:after="60" w:line="259" w:lineRule="auto"/>
            </w:pPr>
            <w:r>
              <w:rPr>
                <w:rFonts w:ascii="Calibri" w:hAnsi="Calibri"/>
                <w:b w:val="0"/>
                <w:i w:val="0"/>
                <w:color w:val="212121"/>
                <w:sz w:val="19"/>
              </w:rPr>
              <w:t>Excess adiposity lowers hepatic SHBG and promotes insulin resistance, both of which increase the free, bioactive fraction of testosterone acting on hair follicles; even modest weight gain can worsen hirsutism in predisposed women.</w:t>
            </w:r>
          </w:p>
          <w:p>
            <w:pPr>
              <w:spacing w:after="40" w:before="60" w:line="259" w:lineRule="auto"/>
            </w:pPr>
            <w:r>
              <w:rPr>
                <w:rFonts w:ascii="Calibri" w:hAnsi="Calibri"/>
                <w:b w:val="0"/>
                <w:i w:val="0"/>
                <w:color w:val="212121"/>
                <w:sz w:val="19"/>
              </w:rPr>
              <w:t>Among Northeast-Indian women with PCOS, 30.18% were overweight, underscoring the weight-hyperandrogenism link.</w:t>
            </w:r>
          </w:p>
          <w:p>
            <w:pPr>
              <w:spacing w:after="40" w:line="252" w:lineRule="auto"/>
            </w:pPr>
            <w:hyperlink r:id="rId13">
              <w:r>
                <w:rPr>
                  <w:rFonts w:ascii="Calibri" w:hAnsi="Calibri" w:cs="Calibri"/>
                  <w:sz w:val="18"/>
                  <w:color w:val="1155CC"/>
                  <w:u w:val="single"/>
                </w:rPr>
                <w:t xml:space="preserve">pmc.ncbi.nlm.nih.gov/articles/PMC12592665 - Northeast India PCOS study</w:t>
              </w:r>
            </w:hyperlink>
          </w:p>
          <w:p>
            <w:pPr>
              <w:spacing w:before="60" w:after="40"/>
            </w:pPr>
            <w:r>
              <w:rPr>
                <w:rFonts w:ascii="Calibri" w:hAnsi="Calibri"/>
                <w:b w:val="0"/>
                <w:i w:val="0"/>
                <w:color w:val="5A5A5A"/>
                <w:sz w:val="18"/>
              </w:rPr>
              <w:t>#overweight  #SHBG  #AsianIndianBMI  #freetestosterone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Obese women (central adiposity)</w:t>
            </w:r>
          </w:p>
        </w:tc>
        <w:tc>
          <w:tcPr>
            <w:tcW w:type="dxa" w:w="4276"/>
            <w:vAlign w:val="top"/>
          </w:tcPr>
          <w:p>
            <w:pPr>
              <w:spacing w:after="60" w:line="259" w:lineRule="auto"/>
            </w:pPr>
            <w:r>
              <w:rPr>
                <w:rFonts w:ascii="Calibri" w:hAnsi="Calibri"/>
                <w:b w:val="0"/>
                <w:i w:val="0"/>
                <w:color w:val="212121"/>
                <w:sz w:val="19"/>
              </w:rPr>
              <w:t>Obesity, especially central adiposity, drives marked hyperinsulinaemia that stimulates ovarian androgen synthesis and can produce the HAIR-AN phenotype (hyperandrogenism, insulin resistance and acanthosis nigricans) with more severe hirsutism.</w:t>
            </w:r>
          </w:p>
          <w:p>
            <w:pPr>
              <w:spacing w:after="40" w:before="60" w:line="259" w:lineRule="auto"/>
            </w:pPr>
            <w:r>
              <w:rPr>
                <w:rFonts w:ascii="Calibri" w:hAnsi="Calibri"/>
                <w:b w:val="0"/>
                <w:i w:val="0"/>
                <w:color w:val="212121"/>
                <w:sz w:val="19"/>
              </w:rPr>
              <w:t>About 1 to 3% of women with hyperandrogenism are thought to have full HAIR-AN syndrome, and acanthosis nigricans is a visible marker of the underlying insulin resistance.</w:t>
            </w:r>
          </w:p>
          <w:p>
            <w:pPr>
              <w:spacing w:after="40" w:line="252" w:lineRule="auto"/>
            </w:pPr>
            <w:hyperlink r:id="rId14">
              <w:r>
                <w:rPr>
                  <w:rFonts w:ascii="Calibri" w:hAnsi="Calibri" w:cs="Calibri"/>
                  <w:sz w:val="18"/>
                  <w:color w:val="1155CC"/>
                  <w:u w:val="single"/>
                </w:rPr>
                <w:t xml:space="preserve">aafp.org - HAIR-AN syndrome</w:t>
              </w:r>
            </w:hyperlink>
          </w:p>
          <w:p>
            <w:pPr>
              <w:spacing w:before="60" w:after="40"/>
            </w:pPr>
            <w:r>
              <w:rPr>
                <w:rFonts w:ascii="Calibri" w:hAnsi="Calibri"/>
                <w:b w:val="0"/>
                <w:i w:val="0"/>
                <w:color w:val="5A5A5A"/>
                <w:sz w:val="18"/>
              </w:rPr>
              <w:t>#obesity  #HAIRAN  #hyperinsulinaemia  #acanthosisnigricans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Smoking has mild anti-oestrogenic effects and has been associated with modestly higher androgen levels, but a direct causal contribution to hirsutism is weak and inconsistent; its main relevance is added cardiometabolic risk.</w:t>
            </w:r>
          </w:p>
          <w:p>
            <w:pPr>
              <w:spacing w:after="40" w:before="60" w:line="259" w:lineRule="auto"/>
            </w:pPr>
            <w:r>
              <w:rPr>
                <w:rFonts w:ascii="Calibri" w:hAnsi="Calibri"/>
                <w:b w:val="0"/>
                <w:i w:val="0"/>
                <w:color w:val="212121"/>
                <w:sz w:val="19"/>
              </w:rPr>
              <w:t>Evidence for a direct causal link between smoking and hirsutism is limited; harm is chiefly through cardiometabolic risk in PCOS.</w:t>
            </w:r>
          </w:p>
          <w:p>
            <w:pPr>
              <w:spacing w:before="60" w:after="40"/>
            </w:pPr>
            <w:r>
              <w:rPr>
                <w:rFonts w:ascii="Calibri" w:hAnsi="Calibri"/>
                <w:b w:val="0"/>
                <w:i w:val="0"/>
                <w:color w:val="5A5A5A"/>
                <w:sz w:val="18"/>
              </w:rPr>
              <w:t>#smoking  #androgens  #cardiometabolic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drinkers</w:t>
            </w:r>
          </w:p>
        </w:tc>
        <w:tc>
          <w:tcPr>
            <w:tcW w:type="dxa" w:w="4276"/>
            <w:vAlign w:val="top"/>
          </w:tcPr>
          <w:p>
            <w:pPr>
              <w:spacing w:after="60" w:line="259" w:lineRule="auto"/>
            </w:pPr>
            <w:r>
              <w:rPr>
                <w:rFonts w:ascii="Calibri" w:hAnsi="Calibri"/>
                <w:b w:val="0"/>
                <w:i w:val="0"/>
                <w:color w:val="212121"/>
                <w:sz w:val="19"/>
              </w:rPr>
              <w:t>There is no strong direct link between alcohol and hirsutism; heavy chronic use can alter liver function and SHBG and worsen metabolic health, indirectly influencing androgen balance.</w:t>
            </w:r>
          </w:p>
          <w:p>
            <w:pPr>
              <w:spacing w:after="40" w:before="60" w:line="259" w:lineRule="auto"/>
            </w:pPr>
            <w:r>
              <w:rPr>
                <w:rFonts w:ascii="Calibri" w:hAnsi="Calibri"/>
                <w:b w:val="0"/>
                <w:i w:val="0"/>
                <w:color w:val="212121"/>
                <w:sz w:val="19"/>
              </w:rPr>
              <w:t>No established direct causal association at moderate intake; effects are indirect through liver and metabolic health.</w:t>
            </w:r>
          </w:p>
          <w:p>
            <w:pPr>
              <w:spacing w:before="60" w:after="40"/>
            </w:pPr>
            <w:r>
              <w:rPr>
                <w:rFonts w:ascii="Calibri" w:hAnsi="Calibri"/>
                <w:b w:val="0"/>
                <w:i w:val="0"/>
                <w:color w:val="5A5A5A"/>
                <w:sz w:val="18"/>
              </w:rPr>
              <w:t>#alcohol  #SHBG  #liver  #metabolic</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High-glycaemic / refined-carbohydrate diets</w:t>
            </w:r>
          </w:p>
        </w:tc>
        <w:tc>
          <w:tcPr>
            <w:tcW w:type="dxa" w:w="4276"/>
            <w:vAlign w:val="top"/>
          </w:tcPr>
          <w:p>
            <w:pPr>
              <w:spacing w:after="60" w:line="259" w:lineRule="auto"/>
            </w:pPr>
            <w:r>
              <w:rPr>
                <w:rFonts w:ascii="Calibri" w:hAnsi="Calibri"/>
                <w:b w:val="0"/>
                <w:i w:val="0"/>
                <w:color w:val="212121"/>
                <w:sz w:val="19"/>
              </w:rPr>
              <w:t>Diets high in refined carbohydrates and sugar-sweetened beverages aggravate hyperinsulinaemia, which in PCOS increases ovarian androgen output and reduces SHBG; the urbanising Indian diet is a relevant modifiable contributor to hyperandrogenism.</w:t>
            </w:r>
          </w:p>
          <w:p>
            <w:pPr>
              <w:spacing w:after="40" w:before="60" w:line="259" w:lineRule="auto"/>
            </w:pPr>
            <w:r>
              <w:rPr>
                <w:rFonts w:ascii="Calibri" w:hAnsi="Calibri"/>
                <w:b w:val="0"/>
                <w:i w:val="0"/>
                <w:color w:val="212121"/>
                <w:sz w:val="19"/>
              </w:rPr>
              <w:t>Low-glycaemic, calorie-controlled diets that reduce insulin resistance lower circulating androgens in PCOS, the leading cause of hirsutism.</w:t>
            </w:r>
          </w:p>
          <w:p>
            <w:pPr>
              <w:spacing w:before="60" w:after="40"/>
            </w:pPr>
            <w:r>
              <w:rPr>
                <w:rFonts w:ascii="Calibri" w:hAnsi="Calibri"/>
                <w:b w:val="0"/>
                <w:i w:val="0"/>
                <w:color w:val="5A5A5A"/>
                <w:sz w:val="18"/>
              </w:rPr>
              <w:t>#highGI  #refinedcarbs  #insulinresistance  #urbandiet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hirsutism / PCOS</w:t>
            </w:r>
          </w:p>
        </w:tc>
        <w:tc>
          <w:tcPr>
            <w:tcW w:type="dxa" w:w="4276"/>
            <w:vAlign w:val="top"/>
          </w:tcPr>
          <w:p>
            <w:pPr>
              <w:spacing w:after="60" w:line="259" w:lineRule="auto"/>
            </w:pPr>
            <w:r>
              <w:rPr>
                <w:rFonts w:ascii="Calibri" w:hAnsi="Calibri"/>
                <w:b w:val="0"/>
                <w:i w:val="0"/>
                <w:color w:val="212121"/>
                <w:sz w:val="19"/>
              </w:rPr>
              <w:t>Hirsutism and PCOS cluster strongly in families, reflecting inherited androgen-receptor sensitivity, 5-alpha-reductase activity and PCOS susceptibility genes; a first-degree family history substantially raises risk.</w:t>
            </w:r>
          </w:p>
          <w:p>
            <w:pPr>
              <w:spacing w:after="40" w:before="60" w:line="259" w:lineRule="auto"/>
            </w:pPr>
            <w:r>
              <w:rPr>
                <w:rFonts w:ascii="Calibri" w:hAnsi="Calibri"/>
                <w:b w:val="0"/>
                <w:i w:val="0"/>
                <w:color w:val="212121"/>
                <w:sz w:val="19"/>
              </w:rPr>
              <w:t>Familial aggregation of PCOS and hirsutism is well recognised, and idiopathic hirsutism (normal androgens) reflects an inherited increase in follicular androgen sensitivity.</w:t>
            </w:r>
          </w:p>
          <w:p>
            <w:pPr>
              <w:spacing w:before="60" w:after="40"/>
            </w:pPr>
            <w:r>
              <w:rPr>
                <w:rFonts w:ascii="Calibri" w:hAnsi="Calibri"/>
                <w:b w:val="0"/>
                <w:i w:val="0"/>
                <w:color w:val="5A5A5A"/>
                <w:sz w:val="18"/>
              </w:rPr>
              <w:t>#familyhistory  #heritability  #5alphareductase  #PCOSgenes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Inherited enzyme defect</w:t>
            </w:r>
          </w:p>
        </w:tc>
        <w:tc>
          <w:tcPr>
            <w:tcW w:type="dxa" w:w="2160"/>
            <w:vAlign w:val="top"/>
          </w:tcPr>
          <w:p>
            <w:pPr>
              <w:spacing w:after="40" w:before="0" w:line="259" w:lineRule="auto"/>
            </w:pPr>
            <w:r>
              <w:rPr>
                <w:rFonts w:ascii="Calibri" w:hAnsi="Calibri"/>
                <w:b w:val="0"/>
                <w:i w:val="0"/>
                <w:color w:val="212121"/>
                <w:sz w:val="19"/>
              </w:rPr>
              <w:t>Carriers of non-classic CAH (21-hydroxylase)</w:t>
            </w:r>
          </w:p>
        </w:tc>
        <w:tc>
          <w:tcPr>
            <w:tcW w:type="dxa" w:w="4276"/>
            <w:vAlign w:val="top"/>
          </w:tcPr>
          <w:p>
            <w:pPr>
              <w:spacing w:after="60" w:line="259" w:lineRule="auto"/>
            </w:pPr>
            <w:r>
              <w:rPr>
                <w:rFonts w:ascii="Calibri" w:hAnsi="Calibri"/>
                <w:b w:val="0"/>
                <w:i w:val="0"/>
                <w:color w:val="212121"/>
                <w:sz w:val="19"/>
              </w:rPr>
              <w:t>Non-classic congenital adrenal hyperplasia is an autosomal-recessive 21-hydroxylase deficiency causing adrenal androgen excess; it is the commonest adrenal cause of hirsutism and is more frequent in certain ethnic groups.</w:t>
            </w:r>
          </w:p>
          <w:p>
            <w:pPr>
              <w:spacing w:after="40" w:before="60" w:line="259" w:lineRule="auto"/>
            </w:pPr>
            <w:r>
              <w:rPr>
                <w:rFonts w:ascii="Calibri" w:hAnsi="Calibri"/>
                <w:b w:val="0"/>
                <w:i w:val="0"/>
                <w:color w:val="212121"/>
                <w:sz w:val="19"/>
              </w:rPr>
              <w:t>Congenital adrenal hyperplasia accounted for 1.4% of hirsutism in a Kashmiri series; NCAH is the most common adrenal aetiology of hirsutism.</w:t>
            </w:r>
          </w:p>
          <w:p>
            <w:pPr>
              <w:spacing w:after="40" w:line="252" w:lineRule="auto"/>
            </w:pPr>
            <w:hyperlink r:id="rId10">
              <w:r>
                <w:rPr>
                  <w:rFonts w:ascii="Calibri" w:hAnsi="Calibri" w:cs="Calibri"/>
                  <w:sz w:val="18"/>
                  <w:color w:val="1155CC"/>
                  <w:u w:val="single"/>
                </w:rPr>
                <w:t xml:space="preserve">pubmed.ncbi.nlm.nih.gov/11937114 - Kashmiri women study</w:t>
              </w:r>
            </w:hyperlink>
          </w:p>
          <w:p>
            <w:pPr>
              <w:spacing w:before="60" w:after="40"/>
            </w:pPr>
            <w:r>
              <w:rPr>
                <w:rFonts w:ascii="Calibri" w:hAnsi="Calibri"/>
                <w:b w:val="0"/>
                <w:i w:val="0"/>
                <w:color w:val="5A5A5A"/>
                <w:sz w:val="18"/>
              </w:rPr>
              <w:t>#NCAH  #21hydroxylase  #adrenalandrogens  #17OHP</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Polycystic ovary syndrome</w:t>
            </w:r>
          </w:p>
        </w:tc>
        <w:tc>
          <w:tcPr>
            <w:tcW w:type="dxa" w:w="2160"/>
            <w:vAlign w:val="top"/>
          </w:tcPr>
          <w:p>
            <w:pPr>
              <w:spacing w:after="40" w:before="0" w:line="259" w:lineRule="auto"/>
            </w:pPr>
            <w:r>
              <w:rPr>
                <w:rFonts w:ascii="Calibri" w:hAnsi="Calibri"/>
                <w:b w:val="0"/>
                <w:i w:val="0"/>
                <w:color w:val="212121"/>
                <w:sz w:val="19"/>
              </w:rPr>
              <w:t>Women with PCOS</w:t>
            </w:r>
          </w:p>
        </w:tc>
        <w:tc>
          <w:tcPr>
            <w:tcW w:type="dxa" w:w="4276"/>
            <w:vAlign w:val="top"/>
          </w:tcPr>
          <w:p>
            <w:pPr>
              <w:spacing w:after="60" w:line="259" w:lineRule="auto"/>
            </w:pPr>
            <w:r>
              <w:rPr>
                <w:rFonts w:ascii="Calibri" w:hAnsi="Calibri"/>
                <w:b w:val="0"/>
                <w:i w:val="0"/>
                <w:color w:val="212121"/>
                <w:sz w:val="19"/>
              </w:rPr>
              <w:t>PCOS is the single commonest cause of hirsutism: ovarian theca-cell androgen overproduction, high LH and insulin resistance combine to drive terminal-hair growth, usually with menstrual irregularity and acne.</w:t>
            </w:r>
          </w:p>
          <w:p>
            <w:pPr>
              <w:spacing w:after="40" w:before="60" w:line="259" w:lineRule="auto"/>
            </w:pPr>
            <w:r>
              <w:rPr>
                <w:rFonts w:ascii="Calibri" w:hAnsi="Calibri"/>
                <w:b w:val="0"/>
                <w:i w:val="0"/>
                <w:color w:val="212121"/>
                <w:sz w:val="19"/>
              </w:rPr>
              <w:t>Hirsutism was present in 43.39% of Northeast-Indian women with PCOS; overall, PCOS underlies about 70 to 75% of hirsutism.</w:t>
            </w:r>
          </w:p>
          <w:p>
            <w:pPr>
              <w:spacing w:after="40" w:line="252" w:lineRule="auto"/>
            </w:pPr>
            <w:hyperlink r:id="rId13">
              <w:r>
                <w:rPr>
                  <w:rFonts w:ascii="Calibri" w:hAnsi="Calibri" w:cs="Calibri"/>
                  <w:sz w:val="18"/>
                  <w:color w:val="1155CC"/>
                  <w:u w:val="single"/>
                </w:rPr>
                <w:t xml:space="preserve">pmc.ncbi.nlm.nih.gov/articles/PMC12592665 - Northeast India PCOS study</w:t>
              </w:r>
            </w:hyperlink>
          </w:p>
          <w:p>
            <w:pPr>
              <w:spacing w:before="60" w:after="40"/>
            </w:pPr>
            <w:r>
              <w:rPr>
                <w:rFonts w:ascii="Calibri" w:hAnsi="Calibri"/>
                <w:b w:val="0"/>
                <w:i w:val="0"/>
                <w:color w:val="5A5A5A"/>
                <w:sz w:val="18"/>
              </w:rPr>
              <w:t>#PCOS  #ovarianandrogens  #anovulation  #hyperandrogenism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Insulin resistance / type 2 diabetes</w:t>
            </w:r>
          </w:p>
        </w:tc>
        <w:tc>
          <w:tcPr>
            <w:tcW w:type="dxa" w:w="2160"/>
            <w:vAlign w:val="top"/>
          </w:tcPr>
          <w:p>
            <w:pPr>
              <w:spacing w:after="40" w:before="0" w:line="259" w:lineRule="auto"/>
            </w:pPr>
            <w:r>
              <w:rPr>
                <w:rFonts w:ascii="Calibri" w:hAnsi="Calibri"/>
                <w:b w:val="0"/>
                <w:i w:val="0"/>
                <w:color w:val="212121"/>
                <w:sz w:val="19"/>
              </w:rPr>
              <w:t>Women with insulin resistance, T2DM or metabolic syndrome</w:t>
            </w:r>
          </w:p>
        </w:tc>
        <w:tc>
          <w:tcPr>
            <w:tcW w:type="dxa" w:w="4276"/>
            <w:vAlign w:val="top"/>
          </w:tcPr>
          <w:p>
            <w:pPr>
              <w:spacing w:after="60" w:line="259" w:lineRule="auto"/>
            </w:pPr>
            <w:r>
              <w:rPr>
                <w:rFonts w:ascii="Calibri" w:hAnsi="Calibri"/>
                <w:b w:val="0"/>
                <w:i w:val="0"/>
                <w:color w:val="212121"/>
                <w:sz w:val="19"/>
              </w:rPr>
              <w:t>Hyperinsulinaemia stimulates ovarian androgen production and suppresses SHBG, raising free testosterone; insulin resistance therefore both causes and worsens hirsutism and is marked clinically by acanthosis nigricans.</w:t>
            </w:r>
          </w:p>
          <w:p>
            <w:pPr>
              <w:spacing w:after="40" w:before="60" w:line="259" w:lineRule="auto"/>
            </w:pPr>
            <w:r>
              <w:rPr>
                <w:rFonts w:ascii="Calibri" w:hAnsi="Calibri"/>
                <w:b w:val="0"/>
                <w:i w:val="0"/>
                <w:color w:val="212121"/>
                <w:sz w:val="19"/>
              </w:rPr>
              <w:t>Among Northeast-Indian women with PCOS, 52.83% had type 2 diabetes and 37.73% had obstructive sleep apnoea, reflecting the metabolic clustering.</w:t>
            </w:r>
          </w:p>
          <w:p>
            <w:pPr>
              <w:spacing w:after="40" w:line="252" w:lineRule="auto"/>
            </w:pPr>
            <w:hyperlink r:id="rId13">
              <w:r>
                <w:rPr>
                  <w:rFonts w:ascii="Calibri" w:hAnsi="Calibri" w:cs="Calibri"/>
                  <w:sz w:val="18"/>
                  <w:color w:val="1155CC"/>
                  <w:u w:val="single"/>
                </w:rPr>
                <w:t xml:space="preserve">pmc.ncbi.nlm.nih.gov/articles/PMC12592665 - Northeast India PCOS study</w:t>
              </w:r>
            </w:hyperlink>
          </w:p>
          <w:p>
            <w:pPr>
              <w:spacing w:before="60" w:after="40"/>
            </w:pPr>
            <w:r>
              <w:rPr>
                <w:rFonts w:ascii="Calibri" w:hAnsi="Calibri"/>
                <w:b w:val="0"/>
                <w:i w:val="0"/>
                <w:color w:val="5A5A5A"/>
                <w:sz w:val="18"/>
              </w:rPr>
              <w:t>#insulinresistance  #T2DM  #metabolicsyndrome  #acanthosisnigricans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Non-classic adrenal hyperplasia</w:t>
            </w:r>
          </w:p>
        </w:tc>
        <w:tc>
          <w:tcPr>
            <w:tcW w:type="dxa" w:w="2160"/>
            <w:vAlign w:val="top"/>
          </w:tcPr>
          <w:p>
            <w:pPr>
              <w:spacing w:after="40" w:before="0" w:line="259" w:lineRule="auto"/>
            </w:pPr>
            <w:r>
              <w:rPr>
                <w:rFonts w:ascii="Calibri" w:hAnsi="Calibri"/>
                <w:b w:val="0"/>
                <w:i w:val="0"/>
                <w:color w:val="212121"/>
                <w:sz w:val="19"/>
              </w:rPr>
              <w:t>Women with NCAH / raised 17-OHP</w:t>
            </w:r>
          </w:p>
        </w:tc>
        <w:tc>
          <w:tcPr>
            <w:tcW w:type="dxa" w:w="4276"/>
            <w:vAlign w:val="top"/>
          </w:tcPr>
          <w:p>
            <w:pPr>
              <w:spacing w:after="60" w:line="259" w:lineRule="auto"/>
            </w:pPr>
            <w:r>
              <w:rPr>
                <w:rFonts w:ascii="Calibri" w:hAnsi="Calibri"/>
                <w:b w:val="0"/>
                <w:i w:val="0"/>
                <w:color w:val="212121"/>
                <w:sz w:val="19"/>
              </w:rPr>
              <w:t>Partial 21-hydroxylase deficiency shunts adrenal steroid synthesis toward androgens, producing hirsutism that can mimic PCOS; it is important to identify because it is screened simply and managed differently.</w:t>
            </w:r>
          </w:p>
          <w:p>
            <w:pPr>
              <w:spacing w:after="40" w:before="60" w:line="259" w:lineRule="auto"/>
            </w:pPr>
            <w:r>
              <w:rPr>
                <w:rFonts w:ascii="Calibri" w:hAnsi="Calibri"/>
                <w:b w:val="0"/>
                <w:i w:val="0"/>
                <w:color w:val="212121"/>
                <w:sz w:val="19"/>
              </w:rPr>
              <w:t>An early-morning follicular 17-OHP below 2 ng/mL excludes NCAH with about 90% certainty; higher values are confirmed by ACTH stimulation.</w:t>
            </w:r>
          </w:p>
          <w:p>
            <w:pPr>
              <w:spacing w:after="40" w:line="252" w:lineRule="auto"/>
            </w:pPr>
            <w:hyperlink r:id="rId15">
              <w:r>
                <w:rPr>
                  <w:rFonts w:ascii="Calibri" w:hAnsi="Calibri" w:cs="Calibri"/>
                  <w:sz w:val="18"/>
                  <w:color w:val="1155CC"/>
                  <w:u w:val="single"/>
                </w:rPr>
                <w:t xml:space="preserve">academic.oup.com/jcem - Approach to the Patient: Hirsutism</w:t>
              </w:r>
            </w:hyperlink>
          </w:p>
          <w:p>
            <w:pPr>
              <w:spacing w:before="60" w:after="40"/>
            </w:pPr>
            <w:r>
              <w:rPr>
                <w:rFonts w:ascii="Calibri" w:hAnsi="Calibri"/>
                <w:b w:val="0"/>
                <w:i w:val="0"/>
                <w:color w:val="5A5A5A"/>
                <w:sz w:val="18"/>
              </w:rPr>
              <w:t>#NCAH  #17OHP  #adrenal  #ACTHstim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Androgen-secreting tumour</w:t>
            </w:r>
          </w:p>
        </w:tc>
        <w:tc>
          <w:tcPr>
            <w:tcW w:type="dxa" w:w="2160"/>
            <w:vAlign w:val="top"/>
          </w:tcPr>
          <w:p>
            <w:pPr>
              <w:spacing w:after="40" w:before="0" w:line="259" w:lineRule="auto"/>
            </w:pPr>
            <w:r>
              <w:rPr>
                <w:rFonts w:ascii="Calibri" w:hAnsi="Calibri"/>
                <w:b w:val="0"/>
                <w:i w:val="0"/>
                <w:color w:val="212121"/>
                <w:sz w:val="19"/>
              </w:rPr>
              <w:t>Women with rapid-onset hirsutism and virilisation</w:t>
            </w:r>
          </w:p>
        </w:tc>
        <w:tc>
          <w:tcPr>
            <w:tcW w:type="dxa" w:w="4276"/>
            <w:vAlign w:val="top"/>
          </w:tcPr>
          <w:p>
            <w:pPr>
              <w:spacing w:after="60" w:line="259" w:lineRule="auto"/>
            </w:pPr>
            <w:r>
              <w:rPr>
                <w:rFonts w:ascii="Calibri" w:hAnsi="Calibri"/>
                <w:b w:val="0"/>
                <w:i w:val="0"/>
                <w:color w:val="212121"/>
                <w:sz w:val="19"/>
              </w:rPr>
              <w:t>Rapidly progressive hirsutism with virilisation (voice deepening, clitoromegaly, temporal balding) and very high testosterone or DHEAS suggests an ovarian or adrenal androgen-secreting tumour requiring urgent imaging.</w:t>
            </w:r>
          </w:p>
          <w:p>
            <w:pPr>
              <w:spacing w:after="40" w:before="60" w:line="259" w:lineRule="auto"/>
            </w:pPr>
            <w:r>
              <w:rPr>
                <w:rFonts w:ascii="Calibri" w:hAnsi="Calibri"/>
                <w:b w:val="0"/>
                <w:i w:val="0"/>
                <w:color w:val="212121"/>
                <w:sz w:val="19"/>
              </w:rPr>
              <w:t>Androgen-secreting tumours cause only about 0.2% of hirsutism but are the critical 'do-not-miss' diagnosis; markedly elevated testosterone (e.g., &gt; 150 to 200 ng/dL) warrants imaging.</w:t>
            </w:r>
          </w:p>
          <w:p>
            <w:pPr>
              <w:spacing w:after="40" w:line="252" w:lineRule="auto"/>
            </w:pPr>
            <w:hyperlink r:id="rId11">
              <w:r>
                <w:rPr>
                  <w:rFonts w:ascii="Calibri" w:hAnsi="Calibri" w:cs="Calibri"/>
                  <w:sz w:val="18"/>
                  <w:color w:val="1155CC"/>
                  <w:u w:val="single"/>
                </w:rPr>
                <w:t xml:space="preserve">ncbi.nlm.nih.gov/books/NBK470417 - StatPearls Hirsutism</w:t>
              </w:r>
            </w:hyperlink>
          </w:p>
          <w:p>
            <w:pPr>
              <w:spacing w:before="60" w:after="40"/>
            </w:pPr>
            <w:r>
              <w:rPr>
                <w:rFonts w:ascii="Calibri" w:hAnsi="Calibri"/>
                <w:b w:val="0"/>
                <w:i w:val="0"/>
                <w:color w:val="5A5A5A"/>
                <w:sz w:val="18"/>
              </w:rPr>
              <w:t>#virilisation  #androgentumour  #rapidonset  #redflag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moderate-to-vigorous activity improves insulin sensitivity and, in PCOS, lowers circulating androgens; physical inactivity worsens insulin resistance and hyperandrogenism, indirectly aggravating hirsutism.</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is central through weight and insulin: high-glycaemic, energy-dense diets drive hyperinsulinaemia, raise ovarian androgens and lower SHBG, whereas low-glycaemic calorie-controlled eating and 5 to 10% weight loss reduce androgens and hirsutism in PCOS.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Obstructive sleep apnoea and poor sleep are common in PCOS (OSA in ~38% of one Indian PCOS cohort) and worsen insulin resistance, forming a bidirectional loop with hyperandrogenism.</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has mild anti-oestrogenic effects and weak, inconsistent associations with higher androgens; there is no established direct causal link to hirsutism, though it adds cardiometabolic risk in PCOS.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direct link between alcohol and hirsutism; heavy chronic use can affect liver function, SHBG and metabolic health, influencing androgen balance only indirectly.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Hirsutism causes major psychological distress, anxiety and impaired quality of life (mean DLQI 6.67, and significantly higher when PCOS coexists); chronic stress may also modestly raise adrenal androgens.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role of hydration status in the pathogenesis or severity of hirsutism.</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meaningful evidence linking caffeine intake to hirsutism or to clinically relevant changes in androgen levels.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Hygiene does not cause hirsutism, but repeated plucking, waxing, threading and shaving can cause folliculitis, pseudofolliculitis and post-inflammatory hyperpigmentation, especially in darker Indian skin.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Hirsutism can be provoked or worsened by androgenic and other drugs (anabolic steroids, danazol, valproate, ciclosporin, minoxidil), by rapid weight gain and hyperinsulinaemia, and by androgen-secreting tumours.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(Asian-Indian, kg/m2)</w:t>
            </w:r>
          </w:p>
        </w:tc>
        <w:tc>
          <w:tcPr>
            <w:tcW w:type="dxa" w:w="1655"/>
            <w:vAlign w:val="top"/>
          </w:tcPr>
          <w:p>
            <w:pPr>
              <w:spacing w:after="40" w:before="0" w:line="259" w:lineRule="auto"/>
            </w:pPr>
            <w:r>
              <w:rPr>
                <w:rFonts w:ascii="Calibri" w:hAnsi="Calibri"/>
                <w:b w:val="0"/>
                <w:i w:val="0"/>
                <w:color w:val="212121"/>
                <w:sz w:val="19"/>
              </w:rPr>
              <w:t>Women with hirsutism / PCOS</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40" w:before="0" w:line="259" w:lineRule="auto"/>
            </w:pPr>
            <w:r>
              <w:rPr>
                <w:rFonts w:ascii="Calibri" w:hAnsi="Calibri"/>
                <w:b w:val="0"/>
                <w:i w:val="0"/>
                <w:color w:val="212121"/>
                <w:sz w:val="19"/>
              </w:rPr>
              <w:t>Asian-Indian BMI cut-offs are lower; excess weight lowers SHBG and raises free testosterone.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(women)</w:t>
            </w:r>
          </w:p>
        </w:tc>
        <w:tc>
          <w:tcPr>
            <w:tcW w:type="dxa" w:w="1655"/>
            <w:vAlign w:val="top"/>
          </w:tcPr>
          <w:p>
            <w:pPr>
              <w:spacing w:after="40" w:before="0" w:line="259" w:lineRule="auto"/>
            </w:pPr>
            <w:r>
              <w:rPr>
                <w:rFonts w:ascii="Calibri" w:hAnsi="Calibri"/>
                <w:b w:val="0"/>
                <w:i w:val="0"/>
                <w:color w:val="212121"/>
                <w:sz w:val="19"/>
              </w:rPr>
              <w:t>Women with central adiposity</w:t>
            </w:r>
          </w:p>
        </w:tc>
        <w:tc>
          <w:tcPr>
            <w:tcW w:type="dxa" w:w="1512"/>
            <w:vAlign w:val="top"/>
          </w:tcPr>
          <w:p>
            <w:pPr>
              <w:spacing w:after="40" w:before="0" w:line="259" w:lineRule="auto"/>
            </w:pPr>
            <w:r>
              <w:rPr>
                <w:rFonts w:ascii="Calibri" w:hAnsi="Calibri"/>
                <w:b w:val="0"/>
                <w:i w:val="0"/>
                <w:color w:val="212121"/>
                <w:sz w:val="19"/>
              </w:rPr>
              <w:t>&lt; 80 cm</w:t>
            </w:r>
          </w:p>
        </w:tc>
        <w:tc>
          <w:tcPr>
            <w:tcW w:type="dxa" w:w="1512"/>
            <w:vAlign w:val="top"/>
          </w:tcPr>
          <w:p>
            <w:pPr>
              <w:spacing w:after="40" w:before="0" w:line="259" w:lineRule="auto"/>
            </w:pPr>
            <w:r>
              <w:rPr>
                <w:rFonts w:ascii="Calibri" w:hAnsi="Calibri"/>
                <w:b w:val="0"/>
                <w:i w:val="0"/>
                <w:color w:val="212121"/>
                <w:sz w:val="19"/>
              </w:rPr>
              <w:t>&gt;= 80 cm (Asian-Indian)</w:t>
            </w:r>
          </w:p>
        </w:tc>
        <w:tc>
          <w:tcPr>
            <w:tcW w:type="dxa" w:w="1468"/>
            <w:vAlign w:val="top"/>
          </w:tcPr>
          <w:p>
            <w:pPr>
              <w:spacing w:after="40" w:before="0" w:line="259" w:lineRule="auto"/>
            </w:pPr>
            <w:r>
              <w:rPr>
                <w:rFonts w:ascii="Calibri" w:hAnsi="Calibri"/>
                <w:b w:val="0"/>
                <w:i w:val="0"/>
                <w:color w:val="212121"/>
                <w:sz w:val="19"/>
              </w:rPr>
              <w:t>Central adiposity marks the insulin resistance that amplifies ovarian androgen output.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Sedentary women, PCOS</w:t>
            </w:r>
          </w:p>
        </w:tc>
        <w:tc>
          <w:tcPr>
            <w:tcW w:type="dxa" w:w="1512"/>
            <w:vAlign w:val="top"/>
          </w:tcPr>
          <w:p>
            <w:pPr>
              <w:spacing w:after="40" w:before="0" w:line="259" w:lineRule="auto"/>
            </w:pPr>
            <w:r>
              <w:rPr>
                <w:rFonts w:ascii="Calibri" w:hAnsi="Calibri"/>
                <w:b w:val="0"/>
                <w:i w:val="0"/>
                <w:color w:val="212121"/>
                <w:sz w:val="19"/>
              </w:rPr>
              <w:t>&gt;=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Activity improves insulin sensitivity and lowers androgens in PCOS.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glycaemic load / sugary drinks</w:t>
            </w:r>
          </w:p>
        </w:tc>
        <w:tc>
          <w:tcPr>
            <w:tcW w:type="dxa" w:w="1655"/>
            <w:vAlign w:val="top"/>
          </w:tcPr>
          <w:p>
            <w:pPr>
              <w:spacing w:after="40" w:before="0" w:line="259" w:lineRule="auto"/>
            </w:pPr>
            <w:r>
              <w:rPr>
                <w:rFonts w:ascii="Calibri" w:hAnsi="Calibri"/>
                <w:b w:val="0"/>
                <w:i w:val="0"/>
                <w:color w:val="212121"/>
                <w:sz w:val="19"/>
              </w:rPr>
              <w:t>Refined-carbohydrate diets</w:t>
            </w:r>
          </w:p>
        </w:tc>
        <w:tc>
          <w:tcPr>
            <w:tcW w:type="dxa" w:w="1512"/>
            <w:vAlign w:val="top"/>
          </w:tcPr>
          <w:p>
            <w:pPr>
              <w:spacing w:after="40" w:before="0" w:line="259" w:lineRule="auto"/>
            </w:pPr>
            <w:r>
              <w:rPr>
                <w:rFonts w:ascii="Calibri" w:hAnsi="Calibri"/>
                <w:b w:val="0"/>
                <w:i w:val="0"/>
                <w:color w:val="212121"/>
                <w:sz w:val="19"/>
              </w:rPr>
              <w:t>Low-GI, whole-grain based</w:t>
            </w:r>
          </w:p>
        </w:tc>
        <w:tc>
          <w:tcPr>
            <w:tcW w:type="dxa" w:w="1512"/>
            <w:vAlign w:val="top"/>
          </w:tcPr>
          <w:p>
            <w:pPr>
              <w:spacing w:after="40" w:before="0" w:line="259" w:lineRule="auto"/>
            </w:pPr>
            <w:r>
              <w:rPr>
                <w:rFonts w:ascii="Calibri" w:hAnsi="Calibri"/>
                <w:b w:val="0"/>
                <w:i w:val="0"/>
                <w:color w:val="212121"/>
                <w:sz w:val="19"/>
              </w:rPr>
              <w:t>High-GI, frequent sugar-sweetened beverages</w:t>
            </w:r>
          </w:p>
        </w:tc>
        <w:tc>
          <w:tcPr>
            <w:tcW w:type="dxa" w:w="1468"/>
            <w:vAlign w:val="top"/>
          </w:tcPr>
          <w:p>
            <w:pPr>
              <w:spacing w:after="40" w:before="0" w:line="259" w:lineRule="auto"/>
            </w:pPr>
            <w:r>
              <w:rPr>
                <w:rFonts w:ascii="Calibri" w:hAnsi="Calibri"/>
                <w:b w:val="0"/>
                <w:i w:val="0"/>
                <w:color w:val="212121"/>
                <w:sz w:val="19"/>
              </w:rPr>
              <w:t>High glycaemic load aggravates hyperinsulinaemia and hyperandrogenism.</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 OSA screen</w:t>
            </w:r>
          </w:p>
        </w:tc>
        <w:tc>
          <w:tcPr>
            <w:tcW w:type="dxa" w:w="1655"/>
            <w:vAlign w:val="top"/>
          </w:tcPr>
          <w:p>
            <w:pPr>
              <w:spacing w:after="40" w:before="0" w:line="259" w:lineRule="auto"/>
            </w:pPr>
            <w:r>
              <w:rPr>
                <w:rFonts w:ascii="Calibri" w:hAnsi="Calibri"/>
                <w:b w:val="0"/>
                <w:i w:val="0"/>
                <w:color w:val="212121"/>
                <w:sz w:val="19"/>
              </w:rPr>
              <w:t>PCOS, obese women</w:t>
            </w:r>
          </w:p>
        </w:tc>
        <w:tc>
          <w:tcPr>
            <w:tcW w:type="dxa" w:w="1512"/>
            <w:vAlign w:val="top"/>
          </w:tcPr>
          <w:p>
            <w:pPr>
              <w:spacing w:after="40" w:before="0" w:line="259" w:lineRule="auto"/>
            </w:pPr>
            <w:r>
              <w:rPr>
                <w:rFonts w:ascii="Calibri" w:hAnsi="Calibri"/>
                <w:b w:val="0"/>
                <w:i w:val="0"/>
                <w:color w:val="212121"/>
                <w:sz w:val="19"/>
              </w:rPr>
              <w:t>7-9 h, no OSA</w:t>
            </w:r>
          </w:p>
        </w:tc>
        <w:tc>
          <w:tcPr>
            <w:tcW w:type="dxa" w:w="1512"/>
            <w:vAlign w:val="top"/>
          </w:tcPr>
          <w:p>
            <w:pPr>
              <w:spacing w:after="40" w:before="0" w:line="259" w:lineRule="auto"/>
            </w:pPr>
            <w:r>
              <w:rPr>
                <w:rFonts w:ascii="Calibri" w:hAnsi="Calibri"/>
                <w:b w:val="0"/>
                <w:i w:val="0"/>
                <w:color w:val="212121"/>
                <w:sz w:val="19"/>
              </w:rPr>
              <w:t>Short/poor sleep; snoring, apnoeas</w:t>
            </w:r>
          </w:p>
        </w:tc>
        <w:tc>
          <w:tcPr>
            <w:tcW w:type="dxa" w:w="1468"/>
            <w:vAlign w:val="top"/>
          </w:tcPr>
          <w:p>
            <w:pPr>
              <w:spacing w:after="60" w:line="259" w:lineRule="auto"/>
            </w:pPr>
            <w:r>
              <w:rPr>
                <w:rFonts w:ascii="Calibri" w:hAnsi="Calibri"/>
                <w:b w:val="0"/>
                <w:i w:val="0"/>
                <w:color w:val="212121"/>
                <w:sz w:val="19"/>
              </w:rPr>
              <w:t>OSA was present in ~38% of Indian women with PCOS and worsens insulin resistance.</w:t>
            </w:r>
          </w:p>
          <w:p>
            <w:pPr>
              <w:spacing w:after="40" w:line="252" w:lineRule="auto"/>
            </w:pPr>
            <w:hyperlink r:id="rId13">
              <w:r>
                <w:rPr>
                  <w:rFonts w:ascii="Calibri" w:hAnsi="Calibri" w:cs="Calibri"/>
                  <w:sz w:val="18"/>
                  <w:color w:val="1155CC"/>
                  <w:u w:val="single"/>
                </w:rPr>
                <w:t xml:space="preserve">https://pmc.ncbi.nlm.nih.gov/articles/PMC12592665/</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Modified Ferriman-Gallwey score</w:t>
            </w:r>
          </w:p>
        </w:tc>
        <w:tc>
          <w:tcPr>
            <w:tcW w:type="dxa" w:w="1655"/>
            <w:vAlign w:val="top"/>
          </w:tcPr>
          <w:p>
            <w:pPr>
              <w:spacing w:after="40" w:before="0" w:line="259" w:lineRule="auto"/>
            </w:pPr>
            <w:r>
              <w:rPr>
                <w:rFonts w:ascii="Calibri" w:hAnsi="Calibri"/>
                <w:b w:val="0"/>
                <w:i w:val="0"/>
                <w:color w:val="212121"/>
                <w:sz w:val="19"/>
              </w:rPr>
              <w:t>All women being assessed</w:t>
            </w:r>
          </w:p>
        </w:tc>
        <w:tc>
          <w:tcPr>
            <w:tcW w:type="dxa" w:w="1512"/>
            <w:vAlign w:val="top"/>
          </w:tcPr>
          <w:p>
            <w:pPr>
              <w:spacing w:after="40" w:before="0" w:line="259" w:lineRule="auto"/>
            </w:pPr>
            <w:r>
              <w:rPr>
                <w:rFonts w:ascii="Calibri" w:hAnsi="Calibri"/>
                <w:b w:val="0"/>
                <w:i w:val="0"/>
                <w:color w:val="212121"/>
                <w:sz w:val="19"/>
              </w:rPr>
              <w:t>&lt; 8 (&lt; 5 proposed for South-Indian women)</w:t>
            </w:r>
          </w:p>
        </w:tc>
        <w:tc>
          <w:tcPr>
            <w:tcW w:type="dxa" w:w="1512"/>
            <w:vAlign w:val="top"/>
          </w:tcPr>
          <w:p>
            <w:pPr>
              <w:spacing w:after="40" w:before="0" w:line="259" w:lineRule="auto"/>
            </w:pPr>
            <w:r>
              <w:rPr>
                <w:rFonts w:ascii="Calibri" w:hAnsi="Calibri"/>
                <w:b w:val="0"/>
                <w:i w:val="0"/>
                <w:color w:val="212121"/>
                <w:sz w:val="19"/>
              </w:rPr>
              <w:t>&gt;= 8 (&gt;= 5 South-Indian normative cut-off)</w:t>
            </w:r>
          </w:p>
        </w:tc>
        <w:tc>
          <w:tcPr>
            <w:tcW w:type="dxa" w:w="1468"/>
            <w:vAlign w:val="top"/>
          </w:tcPr>
          <w:p>
            <w:pPr>
              <w:spacing w:after="60" w:line="259" w:lineRule="auto"/>
            </w:pPr>
            <w:r>
              <w:rPr>
                <w:rFonts w:ascii="Calibri" w:hAnsi="Calibri"/>
                <w:b w:val="0"/>
                <w:i w:val="0"/>
                <w:color w:val="212121"/>
                <w:sz w:val="19"/>
              </w:rPr>
              <w:t>Nine areas scored 0-4 (max 36); grade lasers/waxing withheld for &gt;= 3 months before scoring.</w:t>
            </w:r>
          </w:p>
          <w:p>
            <w:pPr>
              <w:spacing w:after="40" w:line="252" w:lineRule="auto"/>
            </w:pPr>
            <w:hyperlink r:id="rId9">
              <w:r>
                <w:rPr>
                  <w:rFonts w:ascii="Calibri" w:hAnsi="Calibri" w:cs="Calibri"/>
                  <w:sz w:val="18"/>
                  <w:color w:val="1155CC"/>
                  <w:u w:val="single"/>
                </w:rPr>
                <w:t xml:space="preserve">https://pubmed.ncbi.nlm.nih.gov/39371657/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Total testosterone (ng/dL)</w:t>
            </w:r>
          </w:p>
        </w:tc>
        <w:tc>
          <w:tcPr>
            <w:tcW w:type="dxa" w:w="1655"/>
            <w:vAlign w:val="top"/>
          </w:tcPr>
          <w:p>
            <w:pPr>
              <w:spacing w:after="40" w:before="0" w:line="259" w:lineRule="auto"/>
            </w:pPr>
            <w:r>
              <w:rPr>
                <w:rFonts w:ascii="Calibri" w:hAnsi="Calibri"/>
                <w:b w:val="0"/>
                <w:i w:val="0"/>
                <w:color w:val="212121"/>
                <w:sz w:val="19"/>
              </w:rPr>
              <w:t>Women with moderate-severe hirsutism</w:t>
            </w:r>
          </w:p>
        </w:tc>
        <w:tc>
          <w:tcPr>
            <w:tcW w:type="dxa" w:w="1512"/>
            <w:vAlign w:val="top"/>
          </w:tcPr>
          <w:p>
            <w:pPr>
              <w:spacing w:after="40" w:before="0" w:line="259" w:lineRule="auto"/>
            </w:pPr>
            <w:r>
              <w:rPr>
                <w:rFonts w:ascii="Calibri" w:hAnsi="Calibri"/>
                <w:b w:val="0"/>
                <w:i w:val="0"/>
                <w:color w:val="212121"/>
                <w:sz w:val="19"/>
              </w:rPr>
              <w:t>~15-55 ng/dL (assay-dependent)</w:t>
            </w:r>
          </w:p>
        </w:tc>
        <w:tc>
          <w:tcPr>
            <w:tcW w:type="dxa" w:w="1512"/>
            <w:vAlign w:val="top"/>
          </w:tcPr>
          <w:p>
            <w:pPr>
              <w:spacing w:after="40" w:before="0" w:line="259" w:lineRule="auto"/>
            </w:pPr>
            <w:r>
              <w:rPr>
                <w:rFonts w:ascii="Calibri" w:hAnsi="Calibri"/>
                <w:b w:val="0"/>
                <w:i w:val="0"/>
                <w:color w:val="212121"/>
                <w:sz w:val="19"/>
              </w:rPr>
              <w:t>Elevated; &gt; 150-200 ng/dL suggests tumour</w:t>
            </w:r>
          </w:p>
        </w:tc>
        <w:tc>
          <w:tcPr>
            <w:tcW w:type="dxa" w:w="1468"/>
            <w:vAlign w:val="top"/>
          </w:tcPr>
          <w:p>
            <w:pPr>
              <w:spacing w:after="60" w:line="259" w:lineRule="auto"/>
            </w:pPr>
            <w:r>
              <w:rPr>
                <w:rFonts w:ascii="Calibri" w:hAnsi="Calibri"/>
                <w:b w:val="0"/>
                <w:i w:val="0"/>
                <w:color w:val="212121"/>
                <w:sz w:val="19"/>
              </w:rPr>
              <w:t>Very high levels or rapid onset mandate ovarian/adrenal imaging.</w:t>
            </w:r>
          </w:p>
          <w:p>
            <w:pPr>
              <w:spacing w:after="40" w:line="252" w:lineRule="auto"/>
            </w:pPr>
            <w:hyperlink r:id="rId15">
              <w:r>
                <w:rPr>
                  <w:rFonts w:ascii="Calibri" w:hAnsi="Calibri" w:cs="Calibri"/>
                  <w:sz w:val="18"/>
                  <w:color w:val="1155CC"/>
                  <w:u w:val="single"/>
                </w:rPr>
                <w:t xml:space="preserve">https://academic.oup.com/jcem/article/110/10/e3503/8108889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Free testosterone / free androgen index</w:t>
            </w:r>
          </w:p>
        </w:tc>
        <w:tc>
          <w:tcPr>
            <w:tcW w:type="dxa" w:w="1655"/>
            <w:vAlign w:val="top"/>
          </w:tcPr>
          <w:p>
            <w:pPr>
              <w:spacing w:after="40" w:before="0" w:line="259" w:lineRule="auto"/>
            </w:pPr>
            <w:r>
              <w:rPr>
                <w:rFonts w:ascii="Calibri" w:hAnsi="Calibri"/>
                <w:b w:val="0"/>
                <w:i w:val="0"/>
                <w:color w:val="212121"/>
                <w:sz w:val="19"/>
              </w:rPr>
              <w:t>Suspected hyperandrogenism</w:t>
            </w:r>
          </w:p>
        </w:tc>
        <w:tc>
          <w:tcPr>
            <w:tcW w:type="dxa" w:w="1512"/>
            <w:vAlign w:val="top"/>
          </w:tcPr>
          <w:p>
            <w:pPr>
              <w:spacing w:after="40" w:before="0" w:line="259" w:lineRule="auto"/>
            </w:pPr>
            <w:r>
              <w:rPr>
                <w:rFonts w:ascii="Calibri" w:hAnsi="Calibri"/>
                <w:b w:val="0"/>
                <w:i w:val="0"/>
                <w:color w:val="212121"/>
                <w:sz w:val="19"/>
              </w:rPr>
              <w:t>Within female reference range</w:t>
            </w:r>
          </w:p>
        </w:tc>
        <w:tc>
          <w:tcPr>
            <w:tcW w:type="dxa" w:w="1512"/>
            <w:vAlign w:val="top"/>
          </w:tcPr>
          <w:p>
            <w:pPr>
              <w:spacing w:after="40" w:before="0" w:line="259" w:lineRule="auto"/>
            </w:pPr>
            <w:r>
              <w:rPr>
                <w:rFonts w:ascii="Calibri" w:hAnsi="Calibri"/>
                <w:b w:val="0"/>
                <w:i w:val="0"/>
                <w:color w:val="212121"/>
                <w:sz w:val="19"/>
              </w:rPr>
              <w:t>Elevated (low SHBG raises free fraction)</w:t>
            </w:r>
          </w:p>
        </w:tc>
        <w:tc>
          <w:tcPr>
            <w:tcW w:type="dxa" w:w="1468"/>
            <w:vAlign w:val="top"/>
          </w:tcPr>
          <w:p>
            <w:pPr>
              <w:spacing w:after="40" w:before="0" w:line="259" w:lineRule="auto"/>
            </w:pPr>
            <w:r>
              <w:rPr>
                <w:rFonts w:ascii="Calibri" w:hAnsi="Calibri"/>
                <w:b w:val="0"/>
                <w:i w:val="0"/>
                <w:color w:val="212121"/>
                <w:sz w:val="19"/>
              </w:rPr>
              <w:t>Free testosterone is the most sensitive biochemical marker of hyperandrogenism.</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17-hydroxyprogesterone (early-morning, follicular)</w:t>
            </w:r>
          </w:p>
        </w:tc>
        <w:tc>
          <w:tcPr>
            <w:tcW w:type="dxa" w:w="1655"/>
            <w:vAlign w:val="top"/>
          </w:tcPr>
          <w:p>
            <w:pPr>
              <w:spacing w:after="40" w:before="0" w:line="259" w:lineRule="auto"/>
            </w:pPr>
            <w:r>
              <w:rPr>
                <w:rFonts w:ascii="Calibri" w:hAnsi="Calibri"/>
                <w:b w:val="0"/>
                <w:i w:val="0"/>
                <w:color w:val="212121"/>
                <w:sz w:val="19"/>
              </w:rPr>
              <w:t>Screening for NCAH</w:t>
            </w:r>
          </w:p>
        </w:tc>
        <w:tc>
          <w:tcPr>
            <w:tcW w:type="dxa" w:w="1512"/>
            <w:vAlign w:val="top"/>
          </w:tcPr>
          <w:p>
            <w:pPr>
              <w:spacing w:after="40" w:before="0" w:line="259" w:lineRule="auto"/>
            </w:pPr>
            <w:r>
              <w:rPr>
                <w:rFonts w:ascii="Calibri" w:hAnsi="Calibri"/>
                <w:b w:val="0"/>
                <w:i w:val="0"/>
                <w:color w:val="212121"/>
                <w:sz w:val="19"/>
              </w:rPr>
              <w:t>&lt; 2 ng/mL</w:t>
            </w:r>
          </w:p>
        </w:tc>
        <w:tc>
          <w:tcPr>
            <w:tcW w:type="dxa" w:w="1512"/>
            <w:vAlign w:val="top"/>
          </w:tcPr>
          <w:p>
            <w:pPr>
              <w:spacing w:after="40" w:before="0" w:line="259" w:lineRule="auto"/>
            </w:pPr>
            <w:r>
              <w:rPr>
                <w:rFonts w:ascii="Calibri" w:hAnsi="Calibri"/>
                <w:b w:val="0"/>
                <w:i w:val="0"/>
                <w:color w:val="212121"/>
                <w:sz w:val="19"/>
              </w:rPr>
              <w:t>&gt;= 2 ng/mL (confirm with ACTH stimulation)</w:t>
            </w:r>
          </w:p>
        </w:tc>
        <w:tc>
          <w:tcPr>
            <w:tcW w:type="dxa" w:w="1468"/>
            <w:vAlign w:val="top"/>
          </w:tcPr>
          <w:p>
            <w:pPr>
              <w:spacing w:after="60" w:line="259" w:lineRule="auto"/>
            </w:pPr>
            <w:r>
              <w:rPr>
                <w:rFonts w:ascii="Calibri" w:hAnsi="Calibri"/>
                <w:b w:val="0"/>
                <w:i w:val="0"/>
                <w:color w:val="212121"/>
                <w:sz w:val="19"/>
              </w:rPr>
              <w:t>A value below 2 ng/mL excludes non-classic CAH with ~90% certainty.</w:t>
            </w:r>
          </w:p>
          <w:p>
            <w:pPr>
              <w:spacing w:after="40" w:line="252" w:lineRule="auto"/>
            </w:pPr>
            <w:hyperlink r:id="rId15">
              <w:r>
                <w:rPr>
                  <w:rFonts w:ascii="Calibri" w:hAnsi="Calibri" w:cs="Calibri"/>
                  <w:sz w:val="18"/>
                  <w:color w:val="1155CC"/>
                  <w:u w:val="single"/>
                </w:rPr>
                <w:t xml:space="preserve">https://academic.oup.com/jcem/article/110/10/e3503/8108889</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Dermatology Life Quality Index (DLQI)</w:t>
            </w:r>
          </w:p>
        </w:tc>
        <w:tc>
          <w:tcPr>
            <w:tcW w:type="dxa" w:w="1655"/>
            <w:vAlign w:val="top"/>
          </w:tcPr>
          <w:p>
            <w:pPr>
              <w:spacing w:after="40" w:before="0" w:line="259" w:lineRule="auto"/>
            </w:pPr>
            <w:r>
              <w:rPr>
                <w:rFonts w:ascii="Calibri" w:hAnsi="Calibri"/>
                <w:b w:val="0"/>
                <w:i w:val="0"/>
                <w:color w:val="212121"/>
                <w:sz w:val="19"/>
              </w:rPr>
              <w:t>Women distressed by hirsutism</w:t>
            </w:r>
          </w:p>
        </w:tc>
        <w:tc>
          <w:tcPr>
            <w:tcW w:type="dxa" w:w="1512"/>
            <w:vAlign w:val="top"/>
          </w:tcPr>
          <w:p>
            <w:pPr>
              <w:spacing w:after="40" w:before="0" w:line="259" w:lineRule="auto"/>
            </w:pPr>
            <w:r>
              <w:rPr>
                <w:rFonts w:ascii="Calibri" w:hAnsi="Calibri"/>
                <w:b w:val="0"/>
                <w:i w:val="0"/>
                <w:color w:val="212121"/>
                <w:sz w:val="19"/>
              </w:rPr>
              <w:t>0-1 (no effect)</w:t>
            </w:r>
          </w:p>
        </w:tc>
        <w:tc>
          <w:tcPr>
            <w:tcW w:type="dxa" w:w="1512"/>
            <w:vAlign w:val="top"/>
          </w:tcPr>
          <w:p>
            <w:pPr>
              <w:spacing w:after="40" w:before="0" w:line="259" w:lineRule="auto"/>
            </w:pPr>
            <w:r>
              <w:rPr>
                <w:rFonts w:ascii="Calibri" w:hAnsi="Calibri"/>
                <w:b w:val="0"/>
                <w:i w:val="0"/>
                <w:color w:val="212121"/>
                <w:sz w:val="19"/>
              </w:rPr>
              <w:t>Higher scores (moderate-large impairment)</w:t>
            </w:r>
          </w:p>
        </w:tc>
        <w:tc>
          <w:tcPr>
            <w:tcW w:type="dxa" w:w="1468"/>
            <w:vAlign w:val="top"/>
          </w:tcPr>
          <w:p>
            <w:pPr>
              <w:spacing w:after="60" w:line="259" w:lineRule="auto"/>
            </w:pPr>
            <w:r>
              <w:rPr>
                <w:rFonts w:ascii="Calibri" w:hAnsi="Calibri"/>
                <w:b w:val="0"/>
                <w:i w:val="0"/>
                <w:color w:val="212121"/>
                <w:sz w:val="19"/>
              </w:rPr>
              <w:t>Mean DLQI was 6.67 in Indian hirsute women and higher (9.96) when PCOS coexisted.</w:t>
            </w:r>
          </w:p>
          <w:p>
            <w:pPr>
              <w:spacing w:after="40" w:line="252" w:lineRule="auto"/>
            </w:pPr>
            <w:hyperlink r:id="rId12">
              <w:r>
                <w:rPr>
                  <w:rFonts w:ascii="Calibri" w:hAnsi="Calibri" w:cs="Calibri"/>
                  <w:sz w:val="18"/>
                  <w:color w:val="1155CC"/>
                  <w:u w:val="single"/>
                </w:rPr>
                <w:t xml:space="preserve">https://www.ijord.com/index.php/ijord/article/download/276/165/1274</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Total testosterone</w:t>
            </w:r>
          </w:p>
        </w:tc>
        <w:tc>
          <w:tcPr>
            <w:tcW w:type="dxa" w:w="892"/>
            <w:vAlign w:val="top"/>
          </w:tcPr>
          <w:p>
            <w:pPr>
              <w:spacing w:after="40" w:before="0" w:line="259" w:lineRule="auto"/>
            </w:pPr>
            <w:r>
              <w:rPr>
                <w:rFonts w:ascii="Calibri" w:hAnsi="Calibri"/>
                <w:b w:val="0"/>
                <w:i w:val="0"/>
                <w:color w:val="212121"/>
                <w:sz w:val="16"/>
              </w:rPr>
              <w:t>Serum androgen assay</w:t>
            </w:r>
          </w:p>
        </w:tc>
        <w:tc>
          <w:tcPr>
            <w:tcW w:type="dxa" w:w="950"/>
            <w:vAlign w:val="top"/>
          </w:tcPr>
          <w:p>
            <w:pPr>
              <w:spacing w:after="40" w:before="0" w:line="259" w:lineRule="auto"/>
            </w:pPr>
            <w:r>
              <w:rPr>
                <w:rFonts w:ascii="Calibri" w:hAnsi="Calibri"/>
                <w:b w:val="0"/>
                <w:i w:val="0"/>
                <w:color w:val="212121"/>
                <w:sz w:val="16"/>
              </w:rPr>
              <w:t>~15-55 ng/dL (assay-dependent)</w:t>
            </w:r>
          </w:p>
        </w:tc>
        <w:tc>
          <w:tcPr>
            <w:tcW w:type="dxa" w:w="950"/>
            <w:vAlign w:val="top"/>
          </w:tcPr>
          <w:p>
            <w:pPr>
              <w:spacing w:after="40" w:before="0" w:line="259" w:lineRule="auto"/>
            </w:pPr>
            <w:r>
              <w:rPr>
                <w:rFonts w:ascii="Calibri" w:hAnsi="Calibri"/>
                <w:b w:val="0"/>
                <w:i w:val="0"/>
                <w:color w:val="212121"/>
                <w:sz w:val="16"/>
              </w:rPr>
              <w:t>Elevated; &gt; 150-200 ng/dL suggests tumour</w:t>
            </w:r>
          </w:p>
        </w:tc>
        <w:tc>
          <w:tcPr>
            <w:tcW w:type="dxa" w:w="1036"/>
            <w:vAlign w:val="top"/>
          </w:tcPr>
          <w:p>
            <w:pPr>
              <w:spacing w:after="40" w:before="0" w:line="259" w:lineRule="auto"/>
            </w:pPr>
            <w:r>
              <w:rPr>
                <w:rFonts w:ascii="Calibri" w:hAnsi="Calibri"/>
                <w:b w:val="0"/>
                <w:i w:val="0"/>
                <w:color w:val="212121"/>
                <w:sz w:val="16"/>
              </w:rPr>
              <w:t>Confirms androgen excess; markedly high levels point to an ovarian/adrenal tumour</w:t>
            </w:r>
          </w:p>
        </w:tc>
        <w:tc>
          <w:tcPr>
            <w:tcW w:type="dxa" w:w="1036"/>
            <w:vAlign w:val="top"/>
          </w:tcPr>
          <w:p>
            <w:pPr>
              <w:spacing w:after="40" w:before="0" w:line="259" w:lineRule="auto"/>
            </w:pPr>
            <w:r>
              <w:rPr>
                <w:rFonts w:ascii="Calibri" w:hAnsi="Calibri"/>
                <w:b w:val="0"/>
                <w:i w:val="0"/>
                <w:color w:val="212121"/>
                <w:sz w:val="16"/>
              </w:rPr>
              <w:t>Moderate-severe or rapidly progressive hirsutism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Key test</w:t>
            </w:r>
          </w:p>
        </w:tc>
        <w:tc>
          <w:tcPr>
            <w:tcW w:type="dxa" w:w="720"/>
            <w:vAlign w:val="top"/>
          </w:tcPr>
          <w:p>
            <w:pPr>
              <w:spacing w:after="40" w:before="0" w:line="259" w:lineRule="auto"/>
            </w:pPr>
            <w:r>
              <w:rPr>
                <w:rFonts w:ascii="Calibri" w:hAnsi="Calibri"/>
                <w:b w:val="0"/>
                <w:i w:val="0"/>
                <w:color w:val="212121"/>
                <w:sz w:val="16"/>
              </w:rPr>
              <w:t>Draw morning, early-follicular phase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Free testosterone / free androgen index</w:t>
            </w:r>
          </w:p>
        </w:tc>
        <w:tc>
          <w:tcPr>
            <w:tcW w:type="dxa" w:w="892"/>
            <w:vAlign w:val="top"/>
          </w:tcPr>
          <w:p>
            <w:pPr>
              <w:spacing w:after="40" w:before="0" w:line="259" w:lineRule="auto"/>
            </w:pPr>
            <w:r>
              <w:rPr>
                <w:rFonts w:ascii="Calibri" w:hAnsi="Calibri"/>
                <w:b w:val="0"/>
                <w:i w:val="0"/>
                <w:color w:val="212121"/>
                <w:sz w:val="16"/>
              </w:rPr>
              <w:t>Bioavailable androgen assay</w:t>
            </w:r>
          </w:p>
        </w:tc>
        <w:tc>
          <w:tcPr>
            <w:tcW w:type="dxa" w:w="950"/>
            <w:vAlign w:val="top"/>
          </w:tcPr>
          <w:p>
            <w:pPr>
              <w:spacing w:after="40" w:before="0" w:line="259" w:lineRule="auto"/>
            </w:pPr>
            <w:r>
              <w:rPr>
                <w:rFonts w:ascii="Calibri" w:hAnsi="Calibri"/>
                <w:b w:val="0"/>
                <w:i w:val="0"/>
                <w:color w:val="212121"/>
                <w:sz w:val="16"/>
              </w:rPr>
              <w:t>Within female reference range</w:t>
            </w:r>
          </w:p>
        </w:tc>
        <w:tc>
          <w:tcPr>
            <w:tcW w:type="dxa" w:w="950"/>
            <w:vAlign w:val="top"/>
          </w:tcPr>
          <w:p>
            <w:pPr>
              <w:spacing w:after="40" w:before="0" w:line="259" w:lineRule="auto"/>
            </w:pPr>
            <w:r>
              <w:rPr>
                <w:rFonts w:ascii="Calibri" w:hAnsi="Calibri"/>
                <w:b w:val="0"/>
                <w:i w:val="0"/>
                <w:color w:val="212121"/>
                <w:sz w:val="16"/>
              </w:rPr>
              <w:t>Elevated free fraction</w:t>
            </w:r>
          </w:p>
        </w:tc>
        <w:tc>
          <w:tcPr>
            <w:tcW w:type="dxa" w:w="1036"/>
            <w:vAlign w:val="top"/>
          </w:tcPr>
          <w:p>
            <w:pPr>
              <w:spacing w:after="40" w:before="0" w:line="259" w:lineRule="auto"/>
            </w:pPr>
            <w:r>
              <w:rPr>
                <w:rFonts w:ascii="Calibri" w:hAnsi="Calibri"/>
                <w:b w:val="0"/>
                <w:i w:val="0"/>
                <w:color w:val="212121"/>
                <w:sz w:val="16"/>
              </w:rPr>
              <w:t>Most sensitive biochemical marker of hyperandrogenism, especially when SHBG is low</w:t>
            </w:r>
          </w:p>
        </w:tc>
        <w:tc>
          <w:tcPr>
            <w:tcW w:type="dxa" w:w="1036"/>
            <w:vAlign w:val="top"/>
          </w:tcPr>
          <w:p>
            <w:pPr>
              <w:spacing w:after="40" w:before="0" w:line="259" w:lineRule="auto"/>
            </w:pPr>
            <w:r>
              <w:rPr>
                <w:rFonts w:ascii="Calibri" w:hAnsi="Calibri"/>
                <w:b w:val="0"/>
                <w:i w:val="0"/>
                <w:color w:val="212121"/>
                <w:sz w:val="16"/>
              </w:rPr>
              <w:t>Hirsutism with normal total testosterone, PCOS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Most sensitive</w:t>
            </w:r>
          </w:p>
        </w:tc>
        <w:tc>
          <w:tcPr>
            <w:tcW w:type="dxa" w:w="720"/>
            <w:vAlign w:val="top"/>
          </w:tcPr>
          <w:p>
            <w:pPr>
              <w:spacing w:after="40" w:before="0" w:line="259" w:lineRule="auto"/>
            </w:pPr>
            <w:r>
              <w:rPr>
                <w:rFonts w:ascii="Calibri" w:hAnsi="Calibri"/>
                <w:b w:val="0"/>
                <w:i w:val="0"/>
                <w:color w:val="212121"/>
                <w:sz w:val="16"/>
              </w:rPr>
              <w:t>Calculated from total testosterone and SHBG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SHBG</w:t>
            </w:r>
          </w:p>
        </w:tc>
        <w:tc>
          <w:tcPr>
            <w:tcW w:type="dxa" w:w="892"/>
            <w:vAlign w:val="top"/>
          </w:tcPr>
          <w:p>
            <w:pPr>
              <w:spacing w:after="40" w:before="0" w:line="259" w:lineRule="auto"/>
            </w:pPr>
            <w:r>
              <w:rPr>
                <w:rFonts w:ascii="Calibri" w:hAnsi="Calibri"/>
                <w:b w:val="0"/>
                <w:i w:val="0"/>
                <w:color w:val="212121"/>
                <w:sz w:val="16"/>
              </w:rPr>
              <w:t>Sex-hormone-binding globulin</w:t>
            </w:r>
          </w:p>
        </w:tc>
        <w:tc>
          <w:tcPr>
            <w:tcW w:type="dxa" w:w="950"/>
            <w:vAlign w:val="top"/>
          </w:tcPr>
          <w:p>
            <w:pPr>
              <w:spacing w:after="40" w:before="0" w:line="259" w:lineRule="auto"/>
            </w:pPr>
            <w:r>
              <w:rPr>
                <w:rFonts w:ascii="Calibri" w:hAnsi="Calibri"/>
                <w:b w:val="0"/>
                <w:i w:val="0"/>
                <w:color w:val="212121"/>
                <w:sz w:val="16"/>
              </w:rPr>
              <w:t>Age/assay-specific</w:t>
            </w:r>
          </w:p>
        </w:tc>
        <w:tc>
          <w:tcPr>
            <w:tcW w:type="dxa" w:w="950"/>
            <w:vAlign w:val="top"/>
          </w:tcPr>
          <w:p>
            <w:pPr>
              <w:spacing w:after="40" w:before="0" w:line="259" w:lineRule="auto"/>
            </w:pPr>
            <w:r>
              <w:rPr>
                <w:rFonts w:ascii="Calibri" w:hAnsi="Calibri"/>
                <w:b w:val="0"/>
                <w:i w:val="0"/>
                <w:color w:val="212121"/>
                <w:sz w:val="16"/>
              </w:rPr>
              <w:t>Low (raises free testosterone)</w:t>
            </w:r>
          </w:p>
        </w:tc>
        <w:tc>
          <w:tcPr>
            <w:tcW w:type="dxa" w:w="1036"/>
            <w:vAlign w:val="top"/>
          </w:tcPr>
          <w:p>
            <w:pPr>
              <w:spacing w:after="40" w:before="0" w:line="259" w:lineRule="auto"/>
            </w:pPr>
            <w:r>
              <w:rPr>
                <w:rFonts w:ascii="Calibri" w:hAnsi="Calibri"/>
                <w:b w:val="0"/>
                <w:i w:val="0"/>
                <w:color w:val="212121"/>
                <w:sz w:val="16"/>
              </w:rPr>
              <w:t>Low SHBG reflects insulin resistance/obesity and increases bioactive androgen</w:t>
            </w:r>
          </w:p>
        </w:tc>
        <w:tc>
          <w:tcPr>
            <w:tcW w:type="dxa" w:w="1036"/>
            <w:vAlign w:val="top"/>
          </w:tcPr>
          <w:p>
            <w:pPr>
              <w:spacing w:after="40" w:before="0" w:line="259" w:lineRule="auto"/>
            </w:pPr>
            <w:r>
              <w:rPr>
                <w:rFonts w:ascii="Calibri" w:hAnsi="Calibri"/>
                <w:b w:val="0"/>
                <w:i w:val="0"/>
                <w:color w:val="212121"/>
                <w:sz w:val="16"/>
              </w:rPr>
              <w:t>Obese/insulin-resistant women, PCOS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Needed for free androgen index</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DHEAS</w:t>
            </w:r>
          </w:p>
        </w:tc>
        <w:tc>
          <w:tcPr>
            <w:tcW w:type="dxa" w:w="892"/>
            <w:vAlign w:val="top"/>
          </w:tcPr>
          <w:p>
            <w:pPr>
              <w:spacing w:after="40" w:before="0" w:line="259" w:lineRule="auto"/>
            </w:pPr>
            <w:r>
              <w:rPr>
                <w:rFonts w:ascii="Calibri" w:hAnsi="Calibri"/>
                <w:b w:val="0"/>
                <w:i w:val="0"/>
                <w:color w:val="212121"/>
                <w:sz w:val="16"/>
              </w:rPr>
              <w:t>Adrenal androgen assay</w:t>
            </w:r>
          </w:p>
        </w:tc>
        <w:tc>
          <w:tcPr>
            <w:tcW w:type="dxa" w:w="950"/>
            <w:vAlign w:val="top"/>
          </w:tcPr>
          <w:p>
            <w:pPr>
              <w:spacing w:after="40" w:before="0" w:line="259" w:lineRule="auto"/>
            </w:pPr>
            <w:r>
              <w:rPr>
                <w:rFonts w:ascii="Calibri" w:hAnsi="Calibri"/>
                <w:b w:val="0"/>
                <w:i w:val="0"/>
                <w:color w:val="212121"/>
                <w:sz w:val="16"/>
              </w:rPr>
              <w:t>Age-specific reference range</w:t>
            </w:r>
          </w:p>
        </w:tc>
        <w:tc>
          <w:tcPr>
            <w:tcW w:type="dxa" w:w="950"/>
            <w:vAlign w:val="top"/>
          </w:tcPr>
          <w:p>
            <w:pPr>
              <w:spacing w:after="40" w:before="0" w:line="259" w:lineRule="auto"/>
            </w:pPr>
            <w:r>
              <w:rPr>
                <w:rFonts w:ascii="Calibri" w:hAnsi="Calibri"/>
                <w:b w:val="0"/>
                <w:i w:val="0"/>
                <w:color w:val="212121"/>
                <w:sz w:val="16"/>
              </w:rPr>
              <w:t>Markedly elevated (adrenal source)</w:t>
            </w:r>
          </w:p>
        </w:tc>
        <w:tc>
          <w:tcPr>
            <w:tcW w:type="dxa" w:w="1036"/>
            <w:vAlign w:val="top"/>
          </w:tcPr>
          <w:p>
            <w:pPr>
              <w:spacing w:after="40" w:before="0" w:line="259" w:lineRule="auto"/>
            </w:pPr>
            <w:r>
              <w:rPr>
                <w:rFonts w:ascii="Calibri" w:hAnsi="Calibri"/>
                <w:b w:val="0"/>
                <w:i w:val="0"/>
                <w:color w:val="212121"/>
                <w:sz w:val="16"/>
              </w:rPr>
              <w:t>Very high DHEAS suggests an adrenal source or tumour</w:t>
            </w:r>
          </w:p>
        </w:tc>
        <w:tc>
          <w:tcPr>
            <w:tcW w:type="dxa" w:w="1036"/>
            <w:vAlign w:val="top"/>
          </w:tcPr>
          <w:p>
            <w:pPr>
              <w:spacing w:after="40" w:before="0" w:line="259" w:lineRule="auto"/>
            </w:pPr>
            <w:r>
              <w:rPr>
                <w:rFonts w:ascii="Calibri" w:hAnsi="Calibri"/>
                <w:b w:val="0"/>
                <w:i w:val="0"/>
                <w:color w:val="212121"/>
                <w:sz w:val="16"/>
              </w:rPr>
              <w:t>Hirsutism with suspected adrenal cause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Localising</w:t>
            </w:r>
          </w:p>
        </w:tc>
        <w:tc>
          <w:tcPr>
            <w:tcW w:type="dxa" w:w="720"/>
            <w:vAlign w:val="top"/>
          </w:tcPr>
          <w:p>
            <w:pPr>
              <w:spacing w:after="40" w:before="0" w:line="259" w:lineRule="auto"/>
            </w:pPr>
            <w:r>
              <w:rPr>
                <w:rFonts w:ascii="Calibri" w:hAnsi="Calibri"/>
                <w:b w:val="0"/>
                <w:i w:val="0"/>
                <w:color w:val="212121"/>
                <w:sz w:val="16"/>
              </w:rPr>
              <w:t>Modest elevations common and non-specific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17-hydroxyprogesterone</w:t>
            </w:r>
          </w:p>
        </w:tc>
        <w:tc>
          <w:tcPr>
            <w:tcW w:type="dxa" w:w="892"/>
            <w:vAlign w:val="top"/>
          </w:tcPr>
          <w:p>
            <w:pPr>
              <w:spacing w:after="40" w:before="0" w:line="259" w:lineRule="auto"/>
            </w:pPr>
            <w:r>
              <w:rPr>
                <w:rFonts w:ascii="Calibri" w:hAnsi="Calibri"/>
                <w:b w:val="0"/>
                <w:i w:val="0"/>
                <w:color w:val="212121"/>
                <w:sz w:val="16"/>
              </w:rPr>
              <w:t>NCAH screen</w:t>
            </w:r>
          </w:p>
        </w:tc>
        <w:tc>
          <w:tcPr>
            <w:tcW w:type="dxa" w:w="950"/>
            <w:vAlign w:val="top"/>
          </w:tcPr>
          <w:p>
            <w:pPr>
              <w:spacing w:after="40" w:before="0" w:line="259" w:lineRule="auto"/>
            </w:pPr>
            <w:r>
              <w:rPr>
                <w:rFonts w:ascii="Calibri" w:hAnsi="Calibri"/>
                <w:b w:val="0"/>
                <w:i w:val="0"/>
                <w:color w:val="212121"/>
                <w:sz w:val="16"/>
              </w:rPr>
              <w:t>&lt; 2 ng/mL (early-morning, follicular)</w:t>
            </w:r>
          </w:p>
        </w:tc>
        <w:tc>
          <w:tcPr>
            <w:tcW w:type="dxa" w:w="950"/>
            <w:vAlign w:val="top"/>
          </w:tcPr>
          <w:p>
            <w:pPr>
              <w:spacing w:after="40" w:before="0" w:line="259" w:lineRule="auto"/>
            </w:pPr>
            <w:r>
              <w:rPr>
                <w:rFonts w:ascii="Calibri" w:hAnsi="Calibri"/>
                <w:b w:val="0"/>
                <w:i w:val="0"/>
                <w:color w:val="212121"/>
                <w:sz w:val="16"/>
              </w:rPr>
              <w:t>&gt;= 2 ng/mL</w:t>
            </w:r>
          </w:p>
        </w:tc>
        <w:tc>
          <w:tcPr>
            <w:tcW w:type="dxa" w:w="1036"/>
            <w:vAlign w:val="top"/>
          </w:tcPr>
          <w:p>
            <w:pPr>
              <w:spacing w:after="40" w:before="0" w:line="259" w:lineRule="auto"/>
            </w:pPr>
            <w:r>
              <w:rPr>
                <w:rFonts w:ascii="Calibri" w:hAnsi="Calibri"/>
                <w:b w:val="0"/>
                <w:i w:val="0"/>
                <w:color w:val="212121"/>
                <w:sz w:val="16"/>
              </w:rPr>
              <w:t>Screens for non-classic 21-hydroxylase deficiency; confirm with ACTH stimulation</w:t>
            </w:r>
          </w:p>
        </w:tc>
        <w:tc>
          <w:tcPr>
            <w:tcW w:type="dxa" w:w="1036"/>
            <w:vAlign w:val="top"/>
          </w:tcPr>
          <w:p>
            <w:pPr>
              <w:spacing w:after="40" w:before="0" w:line="259" w:lineRule="auto"/>
            </w:pPr>
            <w:r>
              <w:rPr>
                <w:rFonts w:ascii="Calibri" w:hAnsi="Calibri"/>
                <w:b w:val="0"/>
                <w:i w:val="0"/>
                <w:color w:val="212121"/>
                <w:sz w:val="16"/>
              </w:rPr>
              <w:t>Hirsutism mimicking PCOS, family history/ethnic risk</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&lt; 2 ng/mL excludes NCAH with ~90% certainty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LH, FSH and prolactin, TSH</w:t>
            </w:r>
          </w:p>
        </w:tc>
        <w:tc>
          <w:tcPr>
            <w:tcW w:type="dxa" w:w="892"/>
            <w:vAlign w:val="top"/>
          </w:tcPr>
          <w:p>
            <w:pPr>
              <w:spacing w:after="40" w:before="0" w:line="259" w:lineRule="auto"/>
            </w:pPr>
            <w:r>
              <w:rPr>
                <w:rFonts w:ascii="Calibri" w:hAnsi="Calibri"/>
                <w:b w:val="0"/>
                <w:i w:val="0"/>
                <w:color w:val="212121"/>
                <w:sz w:val="16"/>
              </w:rPr>
              <w:t>Gonadotrophin/endocrine panel</w:t>
            </w:r>
          </w:p>
        </w:tc>
        <w:tc>
          <w:tcPr>
            <w:tcW w:type="dxa" w:w="950"/>
            <w:vAlign w:val="top"/>
          </w:tcPr>
          <w:p>
            <w:pPr>
              <w:spacing w:after="40" w:before="0" w:line="259" w:lineRule="auto"/>
            </w:pPr>
            <w:r>
              <w:rPr>
                <w:rFonts w:ascii="Calibri" w:hAnsi="Calibri"/>
                <w:b w:val="0"/>
                <w:i w:val="0"/>
                <w:color w:val="212121"/>
                <w:sz w:val="16"/>
              </w:rPr>
              <w:t>LH/FSH ~1; normal prolactin and TSH</w:t>
            </w:r>
          </w:p>
        </w:tc>
        <w:tc>
          <w:tcPr>
            <w:tcW w:type="dxa" w:w="950"/>
            <w:vAlign w:val="top"/>
          </w:tcPr>
          <w:p>
            <w:pPr>
              <w:spacing w:after="40" w:before="0" w:line="259" w:lineRule="auto"/>
            </w:pPr>
            <w:r>
              <w:rPr>
                <w:rFonts w:ascii="Calibri" w:hAnsi="Calibri"/>
                <w:b w:val="0"/>
                <w:i w:val="0"/>
                <w:color w:val="212121"/>
                <w:sz w:val="16"/>
              </w:rPr>
              <w:t>High LH/FSH ratio; raised prolactin or abnormal TSH</w:t>
            </w:r>
          </w:p>
        </w:tc>
        <w:tc>
          <w:tcPr>
            <w:tcW w:type="dxa" w:w="1036"/>
            <w:vAlign w:val="top"/>
          </w:tcPr>
          <w:p>
            <w:pPr>
              <w:spacing w:after="40" w:before="0" w:line="259" w:lineRule="auto"/>
            </w:pPr>
            <w:r>
              <w:rPr>
                <w:rFonts w:ascii="Calibri" w:hAnsi="Calibri"/>
                <w:b w:val="0"/>
                <w:i w:val="0"/>
                <w:color w:val="212121"/>
                <w:sz w:val="16"/>
              </w:rPr>
              <w:t>Supports PCOS and excludes hyperprolactinaemia and thyroid dysfunction</w:t>
            </w:r>
          </w:p>
        </w:tc>
        <w:tc>
          <w:tcPr>
            <w:tcW w:type="dxa" w:w="1036"/>
            <w:vAlign w:val="top"/>
          </w:tcPr>
          <w:p>
            <w:pPr>
              <w:spacing w:after="40" w:before="0" w:line="259" w:lineRule="auto"/>
            </w:pPr>
            <w:r>
              <w:rPr>
                <w:rFonts w:ascii="Calibri" w:hAnsi="Calibri"/>
                <w:b w:val="0"/>
                <w:i w:val="0"/>
                <w:color w:val="212121"/>
                <w:sz w:val="16"/>
              </w:rPr>
              <w:t>Oligomenorrhoea, galactorrhoea, thyroid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LH/FSH ratio is supportive, not diagnostic, of PCOS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Metabolic</w:t>
            </w:r>
          </w:p>
        </w:tc>
        <w:tc>
          <w:tcPr>
            <w:tcW w:type="dxa" w:w="1036"/>
            <w:vAlign w:val="top"/>
          </w:tcPr>
          <w:p>
            <w:pPr>
              <w:spacing w:after="40" w:before="0" w:line="259" w:lineRule="auto"/>
            </w:pPr>
            <w:r>
              <w:rPr>
                <w:rFonts w:ascii="Calibri" w:hAnsi="Calibri"/>
                <w:b w:val="0"/>
                <w:i w:val="0"/>
                <w:color w:val="212121"/>
                <w:sz w:val="16"/>
              </w:rPr>
              <w:t>Fasting glucose/insulin, OGTT, HbA1c, lipids</w:t>
            </w:r>
          </w:p>
        </w:tc>
        <w:tc>
          <w:tcPr>
            <w:tcW w:type="dxa" w:w="892"/>
            <w:vAlign w:val="top"/>
          </w:tcPr>
          <w:p>
            <w:pPr>
              <w:spacing w:after="40" w:before="0" w:line="259" w:lineRule="auto"/>
            </w:pPr>
            <w:r>
              <w:rPr>
                <w:rFonts w:ascii="Calibri" w:hAnsi="Calibri"/>
                <w:b w:val="0"/>
                <w:i w:val="0"/>
                <w:color w:val="212121"/>
                <w:sz w:val="16"/>
              </w:rPr>
              <w:t>Metabolic work-up</w:t>
            </w:r>
          </w:p>
        </w:tc>
        <w:tc>
          <w:tcPr>
            <w:tcW w:type="dxa" w:w="950"/>
            <w:vAlign w:val="top"/>
          </w:tcPr>
          <w:p>
            <w:pPr>
              <w:spacing w:after="40" w:before="0" w:line="259" w:lineRule="auto"/>
            </w:pPr>
            <w:r>
              <w:rPr>
                <w:rFonts w:ascii="Calibri" w:hAnsi="Calibri"/>
                <w:b w:val="0"/>
                <w:i w:val="0"/>
                <w:color w:val="212121"/>
                <w:sz w:val="16"/>
              </w:rPr>
              <w:t>Normoglycaemic, normal lipids</w:t>
            </w:r>
          </w:p>
        </w:tc>
        <w:tc>
          <w:tcPr>
            <w:tcW w:type="dxa" w:w="950"/>
            <w:vAlign w:val="top"/>
          </w:tcPr>
          <w:p>
            <w:pPr>
              <w:spacing w:after="40" w:before="0" w:line="259" w:lineRule="auto"/>
            </w:pPr>
            <w:r>
              <w:rPr>
                <w:rFonts w:ascii="Calibri" w:hAnsi="Calibri"/>
                <w:b w:val="0"/>
                <w:i w:val="0"/>
                <w:color w:val="212121"/>
                <w:sz w:val="16"/>
              </w:rPr>
              <w:t>Impaired glucose tolerance, dyslipidaemia</w:t>
            </w:r>
          </w:p>
        </w:tc>
        <w:tc>
          <w:tcPr>
            <w:tcW w:type="dxa" w:w="1036"/>
            <w:vAlign w:val="top"/>
          </w:tcPr>
          <w:p>
            <w:pPr>
              <w:spacing w:after="40" w:before="0" w:line="259" w:lineRule="auto"/>
            </w:pPr>
            <w:r>
              <w:rPr>
                <w:rFonts w:ascii="Calibri" w:hAnsi="Calibri"/>
                <w:b w:val="0"/>
                <w:i w:val="0"/>
                <w:color w:val="212121"/>
                <w:sz w:val="16"/>
              </w:rPr>
              <w:t>Detects the insulin resistance and metabolic syndrome that accompany PCOS-related hirsutism</w:t>
            </w:r>
          </w:p>
        </w:tc>
        <w:tc>
          <w:tcPr>
            <w:tcW w:type="dxa" w:w="1036"/>
            <w:vAlign w:val="top"/>
          </w:tcPr>
          <w:p>
            <w:pPr>
              <w:spacing w:after="40" w:before="0" w:line="259" w:lineRule="auto"/>
            </w:pPr>
            <w:r>
              <w:rPr>
                <w:rFonts w:ascii="Calibri" w:hAnsi="Calibri"/>
                <w:b w:val="0"/>
                <w:i w:val="0"/>
                <w:color w:val="212121"/>
                <w:sz w:val="16"/>
              </w:rPr>
              <w:t>Obese/PCOS women, acanthosis nigricans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T2DM found in ~53% of one Indian PCOS cohort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Pelvic ultrasound (+/- adrenal/ovarian CT-MRI)</w:t>
            </w:r>
          </w:p>
        </w:tc>
        <w:tc>
          <w:tcPr>
            <w:tcW w:type="dxa" w:w="892"/>
            <w:vAlign w:val="top"/>
          </w:tcPr>
          <w:p>
            <w:pPr>
              <w:spacing w:after="40" w:before="0" w:line="259" w:lineRule="auto"/>
            </w:pPr>
            <w:r>
              <w:rPr>
                <w:rFonts w:ascii="Calibri" w:hAnsi="Calibri"/>
                <w:b w:val="0"/>
                <w:i w:val="0"/>
                <w:color w:val="212121"/>
                <w:sz w:val="16"/>
              </w:rPr>
              <w:t>Imaging</w:t>
            </w:r>
          </w:p>
        </w:tc>
        <w:tc>
          <w:tcPr>
            <w:tcW w:type="dxa" w:w="950"/>
            <w:vAlign w:val="top"/>
          </w:tcPr>
          <w:p>
            <w:pPr>
              <w:spacing w:after="40" w:before="0" w:line="259" w:lineRule="auto"/>
            </w:pPr>
            <w:r>
              <w:rPr>
                <w:rFonts w:ascii="Calibri" w:hAnsi="Calibri"/>
                <w:b w:val="0"/>
                <w:i w:val="0"/>
                <w:color w:val="212121"/>
                <w:sz w:val="16"/>
              </w:rPr>
              <w:t>Normal ovaries/adrenals</w:t>
            </w:r>
          </w:p>
        </w:tc>
        <w:tc>
          <w:tcPr>
            <w:tcW w:type="dxa" w:w="950"/>
            <w:vAlign w:val="top"/>
          </w:tcPr>
          <w:p>
            <w:pPr>
              <w:spacing w:after="40" w:before="0" w:line="259" w:lineRule="auto"/>
            </w:pPr>
            <w:r>
              <w:rPr>
                <w:rFonts w:ascii="Calibri" w:hAnsi="Calibri"/>
                <w:b w:val="0"/>
                <w:i w:val="0"/>
                <w:color w:val="212121"/>
                <w:sz w:val="16"/>
              </w:rPr>
              <w:t>Polycystic ovarian morphology; adnexal/adrenal mass</w:t>
            </w:r>
          </w:p>
        </w:tc>
        <w:tc>
          <w:tcPr>
            <w:tcW w:type="dxa" w:w="1036"/>
            <w:vAlign w:val="top"/>
          </w:tcPr>
          <w:p>
            <w:pPr>
              <w:spacing w:after="40" w:before="0" w:line="259" w:lineRule="auto"/>
            </w:pPr>
            <w:r>
              <w:rPr>
                <w:rFonts w:ascii="Calibri" w:hAnsi="Calibri"/>
                <w:b w:val="0"/>
                <w:i w:val="0"/>
                <w:color w:val="212121"/>
                <w:sz w:val="16"/>
              </w:rPr>
              <w:t>Supports PCOS and, when androgens are very high, localises a tumour</w:t>
            </w:r>
          </w:p>
        </w:tc>
        <w:tc>
          <w:tcPr>
            <w:tcW w:type="dxa" w:w="1036"/>
            <w:vAlign w:val="top"/>
          </w:tcPr>
          <w:p>
            <w:pPr>
              <w:spacing w:after="40" w:before="0" w:line="259" w:lineRule="auto"/>
            </w:pPr>
            <w:r>
              <w:rPr>
                <w:rFonts w:ascii="Calibri" w:hAnsi="Calibri"/>
                <w:b w:val="0"/>
                <w:i w:val="0"/>
                <w:color w:val="212121"/>
                <w:sz w:val="16"/>
              </w:rPr>
              <w:t>PCOS phenotype; rapid virilisation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Cross-sectional imaging reserved for tumour suspicion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Onset and tempo</w:t>
            </w:r>
          </w:p>
        </w:tc>
        <w:tc>
          <w:tcPr>
            <w:tcW w:type="dxa" w:w="979"/>
            <w:vAlign w:val="top"/>
          </w:tcPr>
          <w:p>
            <w:pPr>
              <w:spacing w:after="40" w:before="0" w:line="259" w:lineRule="auto"/>
            </w:pPr>
            <w:r>
              <w:rPr>
                <w:rFonts w:ascii="Calibri" w:hAnsi="Calibri"/>
                <w:b w:val="0"/>
                <w:i w:val="0"/>
                <w:color w:val="212121"/>
                <w:sz w:val="16"/>
              </w:rPr>
              <w:t>Age at onset and speed of progression</w:t>
            </w:r>
          </w:p>
        </w:tc>
        <w:tc>
          <w:tcPr>
            <w:tcW w:type="dxa" w:w="950"/>
            <w:vAlign w:val="top"/>
          </w:tcPr>
          <w:p>
            <w:pPr>
              <w:spacing w:after="40" w:before="0" w:line="259" w:lineRule="auto"/>
            </w:pPr>
            <w:r>
              <w:rPr>
                <w:rFonts w:ascii="Calibri" w:hAnsi="Calibri"/>
                <w:b w:val="0"/>
                <w:i w:val="0"/>
                <w:color w:val="212121"/>
                <w:sz w:val="16"/>
              </w:rPr>
              <w:t>Gradual peripubertal onset</w:t>
            </w:r>
          </w:p>
        </w:tc>
        <w:tc>
          <w:tcPr>
            <w:tcW w:type="dxa" w:w="950"/>
            <w:vAlign w:val="top"/>
          </w:tcPr>
          <w:p>
            <w:pPr>
              <w:spacing w:after="40" w:before="0" w:line="259" w:lineRule="auto"/>
            </w:pPr>
            <w:r>
              <w:rPr>
                <w:rFonts w:ascii="Calibri" w:hAnsi="Calibri"/>
                <w:b w:val="0"/>
                <w:i w:val="0"/>
                <w:color w:val="212121"/>
                <w:sz w:val="16"/>
              </w:rPr>
              <w:t>Rapid onset over months in adulthood</w:t>
            </w:r>
          </w:p>
        </w:tc>
        <w:tc>
          <w:tcPr>
            <w:tcW w:type="dxa" w:w="1036"/>
            <w:vAlign w:val="top"/>
          </w:tcPr>
          <w:p>
            <w:pPr>
              <w:spacing w:after="40" w:before="0" w:line="259" w:lineRule="auto"/>
            </w:pPr>
            <w:r>
              <w:rPr>
                <w:rFonts w:ascii="Calibri" w:hAnsi="Calibri"/>
                <w:b w:val="0"/>
                <w:i w:val="0"/>
                <w:color w:val="212121"/>
                <w:sz w:val="16"/>
              </w:rPr>
              <w:t>Slow peripubertal growth favours PCOS/idiopathic; rapid onset suggests a tumour</w:t>
            </w:r>
          </w:p>
        </w:tc>
        <w:tc>
          <w:tcPr>
            <w:tcW w:type="dxa" w:w="1036"/>
            <w:vAlign w:val="top"/>
          </w:tcPr>
          <w:p>
            <w:pPr>
              <w:spacing w:after="40" w:before="0" w:line="259" w:lineRule="auto"/>
            </w:pPr>
            <w:r>
              <w:rPr>
                <w:rFonts w:ascii="Calibri" w:hAnsi="Calibri"/>
                <w:b w:val="0"/>
                <w:i w:val="0"/>
                <w:color w:val="212121"/>
                <w:sz w:val="16"/>
              </w:rPr>
              <w:t>All women with hirsutism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Rapid virilising onset is a red flag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Menstrual and reproductive history</w:t>
            </w:r>
          </w:p>
        </w:tc>
        <w:tc>
          <w:tcPr>
            <w:tcW w:type="dxa" w:w="979"/>
            <w:vAlign w:val="top"/>
          </w:tcPr>
          <w:p>
            <w:pPr>
              <w:spacing w:after="40" w:before="0" w:line="259" w:lineRule="auto"/>
            </w:pPr>
            <w:r>
              <w:rPr>
                <w:rFonts w:ascii="Calibri" w:hAnsi="Calibri"/>
                <w:b w:val="0"/>
                <w:i w:val="0"/>
                <w:color w:val="212121"/>
                <w:sz w:val="16"/>
              </w:rPr>
              <w:t>Cycle regularity, subfertility</w:t>
            </w:r>
          </w:p>
        </w:tc>
        <w:tc>
          <w:tcPr>
            <w:tcW w:type="dxa" w:w="950"/>
            <w:vAlign w:val="top"/>
          </w:tcPr>
          <w:p>
            <w:pPr>
              <w:spacing w:after="40" w:before="0" w:line="259" w:lineRule="auto"/>
            </w:pPr>
            <w:r>
              <w:rPr>
                <w:rFonts w:ascii="Calibri" w:hAnsi="Calibri"/>
                <w:b w:val="0"/>
                <w:i w:val="0"/>
                <w:color w:val="212121"/>
                <w:sz w:val="16"/>
              </w:rPr>
              <w:t>Regular ovulatory cycles</w:t>
            </w:r>
          </w:p>
        </w:tc>
        <w:tc>
          <w:tcPr>
            <w:tcW w:type="dxa" w:w="950"/>
            <w:vAlign w:val="top"/>
          </w:tcPr>
          <w:p>
            <w:pPr>
              <w:spacing w:after="40" w:before="0" w:line="259" w:lineRule="auto"/>
            </w:pPr>
            <w:r>
              <w:rPr>
                <w:rFonts w:ascii="Calibri" w:hAnsi="Calibri"/>
                <w:b w:val="0"/>
                <w:i w:val="0"/>
                <w:color w:val="212121"/>
                <w:sz w:val="16"/>
              </w:rPr>
              <w:t>Oligo-/amenorrhoea, subfertility</w:t>
            </w:r>
          </w:p>
        </w:tc>
        <w:tc>
          <w:tcPr>
            <w:tcW w:type="dxa" w:w="1036"/>
            <w:vAlign w:val="top"/>
          </w:tcPr>
          <w:p>
            <w:pPr>
              <w:spacing w:after="40" w:before="0" w:line="259" w:lineRule="auto"/>
            </w:pPr>
            <w:r>
              <w:rPr>
                <w:rFonts w:ascii="Calibri" w:hAnsi="Calibri"/>
                <w:b w:val="0"/>
                <w:i w:val="0"/>
                <w:color w:val="212121"/>
                <w:sz w:val="16"/>
              </w:rPr>
              <w:t>Menstrual irregularity points to PCOS or another ovulatory disorder</w:t>
            </w:r>
          </w:p>
        </w:tc>
        <w:tc>
          <w:tcPr>
            <w:tcW w:type="dxa" w:w="1036"/>
            <w:vAlign w:val="top"/>
          </w:tcPr>
          <w:p>
            <w:pPr>
              <w:spacing w:after="40" w:before="0" w:line="259" w:lineRule="auto"/>
            </w:pPr>
            <w:r>
              <w:rPr>
                <w:rFonts w:ascii="Calibri" w:hAnsi="Calibri"/>
                <w:b w:val="0"/>
                <w:i w:val="0"/>
                <w:color w:val="212121"/>
                <w:sz w:val="16"/>
              </w:rPr>
              <w:t>Reproductive-age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Regular cycles with normal androgens suggest idiopathic hirsutism</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history</w:t>
            </w:r>
          </w:p>
        </w:tc>
        <w:tc>
          <w:tcPr>
            <w:tcW w:type="dxa" w:w="979"/>
            <w:vAlign w:val="top"/>
          </w:tcPr>
          <w:p>
            <w:pPr>
              <w:spacing w:after="40" w:before="0" w:line="259" w:lineRule="auto"/>
            </w:pPr>
            <w:r>
              <w:rPr>
                <w:rFonts w:ascii="Calibri" w:hAnsi="Calibri"/>
                <w:b w:val="0"/>
                <w:i w:val="0"/>
                <w:color w:val="212121"/>
                <w:sz w:val="16"/>
              </w:rPr>
              <w:t>Androgens, anabolic steroids, danazol, valproate, ciclosporin, minoxidil</w:t>
            </w:r>
          </w:p>
        </w:tc>
        <w:tc>
          <w:tcPr>
            <w:tcW w:type="dxa" w:w="950"/>
            <w:vAlign w:val="top"/>
          </w:tcPr>
          <w:p>
            <w:pPr>
              <w:spacing w:after="40" w:before="0" w:line="259" w:lineRule="auto"/>
            </w:pPr>
            <w:r>
              <w:rPr>
                <w:rFonts w:ascii="Calibri" w:hAnsi="Calibri"/>
                <w:b w:val="0"/>
                <w:i w:val="0"/>
                <w:color w:val="212121"/>
                <w:sz w:val="16"/>
              </w:rPr>
              <w:t>No culprit drug</w:t>
            </w:r>
          </w:p>
        </w:tc>
        <w:tc>
          <w:tcPr>
            <w:tcW w:type="dxa" w:w="950"/>
            <w:vAlign w:val="top"/>
          </w:tcPr>
          <w:p>
            <w:pPr>
              <w:spacing w:after="40" w:before="0" w:line="259" w:lineRule="auto"/>
            </w:pPr>
            <w:r>
              <w:rPr>
                <w:rFonts w:ascii="Calibri" w:hAnsi="Calibri"/>
                <w:b w:val="0"/>
                <w:i w:val="0"/>
                <w:color w:val="212121"/>
                <w:sz w:val="16"/>
              </w:rPr>
              <w:t>Recent use of an androgenic/provoking drug</w:t>
            </w:r>
          </w:p>
        </w:tc>
        <w:tc>
          <w:tcPr>
            <w:tcW w:type="dxa" w:w="1036"/>
            <w:vAlign w:val="top"/>
          </w:tcPr>
          <w:p>
            <w:pPr>
              <w:spacing w:after="40" w:before="0" w:line="259" w:lineRule="auto"/>
            </w:pPr>
            <w:r>
              <w:rPr>
                <w:rFonts w:ascii="Calibri" w:hAnsi="Calibri"/>
                <w:b w:val="0"/>
                <w:i w:val="0"/>
                <w:color w:val="212121"/>
                <w:sz w:val="16"/>
              </w:rPr>
              <w:t>Identifies drug-induced hirsutism that may reverse on withdrawal</w:t>
            </w:r>
          </w:p>
        </w:tc>
        <w:tc>
          <w:tcPr>
            <w:tcW w:type="dxa" w:w="1036"/>
            <w:vAlign w:val="top"/>
          </w:tcPr>
          <w:p>
            <w:pPr>
              <w:spacing w:after="40" w:before="0" w:line="259" w:lineRule="auto"/>
            </w:pPr>
            <w:r>
              <w:rPr>
                <w:rFonts w:ascii="Calibri" w:hAnsi="Calibri"/>
                <w:b w:val="0"/>
                <w:i w:val="0"/>
                <w:color w:val="212121"/>
                <w:sz w:val="16"/>
              </w:rPr>
              <w:t>Women on relevant medication, athletes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Also ask about herbal/'strength' supplements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Modified Ferriman-Gallwey scoring</w:t>
            </w:r>
          </w:p>
        </w:tc>
        <w:tc>
          <w:tcPr>
            <w:tcW w:type="dxa" w:w="979"/>
            <w:vAlign w:val="top"/>
          </w:tcPr>
          <w:p>
            <w:pPr>
              <w:spacing w:after="40" w:before="0" w:line="259" w:lineRule="auto"/>
            </w:pPr>
            <w:r>
              <w:rPr>
                <w:rFonts w:ascii="Calibri" w:hAnsi="Calibri"/>
                <w:b w:val="0"/>
                <w:i w:val="0"/>
                <w:color w:val="212121"/>
                <w:sz w:val="16"/>
              </w:rPr>
              <w:t>Terminal hair in 9 androgen-sensitive areas</w:t>
            </w:r>
          </w:p>
        </w:tc>
        <w:tc>
          <w:tcPr>
            <w:tcW w:type="dxa" w:w="950"/>
            <w:vAlign w:val="top"/>
          </w:tcPr>
          <w:p>
            <w:pPr>
              <w:spacing w:after="40" w:before="0" w:line="259" w:lineRule="auto"/>
            </w:pPr>
            <w:r>
              <w:rPr>
                <w:rFonts w:ascii="Calibri" w:hAnsi="Calibri"/>
                <w:b w:val="0"/>
                <w:i w:val="0"/>
                <w:color w:val="212121"/>
                <w:sz w:val="16"/>
              </w:rPr>
              <w:t>mFG &lt; 8 (&lt; 5 South-Indian norm)</w:t>
            </w:r>
          </w:p>
        </w:tc>
        <w:tc>
          <w:tcPr>
            <w:tcW w:type="dxa" w:w="950"/>
            <w:vAlign w:val="top"/>
          </w:tcPr>
          <w:p>
            <w:pPr>
              <w:spacing w:after="40" w:before="0" w:line="259" w:lineRule="auto"/>
            </w:pPr>
            <w:r>
              <w:rPr>
                <w:rFonts w:ascii="Calibri" w:hAnsi="Calibri"/>
                <w:b w:val="0"/>
                <w:i w:val="0"/>
                <w:color w:val="212121"/>
                <w:sz w:val="16"/>
              </w:rPr>
              <w:t>mFG &gt;= 8 (&gt;= 5 South-Indian norm)</w:t>
            </w:r>
          </w:p>
        </w:tc>
        <w:tc>
          <w:tcPr>
            <w:tcW w:type="dxa" w:w="1036"/>
            <w:vAlign w:val="top"/>
          </w:tcPr>
          <w:p>
            <w:pPr>
              <w:spacing w:after="40" w:before="0" w:line="259" w:lineRule="auto"/>
            </w:pPr>
            <w:r>
              <w:rPr>
                <w:rFonts w:ascii="Calibri" w:hAnsi="Calibri"/>
                <w:b w:val="0"/>
                <w:i w:val="0"/>
                <w:color w:val="212121"/>
                <w:sz w:val="16"/>
              </w:rPr>
              <w:t>Objectively grades severity and distribution of hirsutism</w:t>
            </w:r>
          </w:p>
        </w:tc>
        <w:tc>
          <w:tcPr>
            <w:tcW w:type="dxa" w:w="1036"/>
            <w:vAlign w:val="top"/>
          </w:tcPr>
          <w:p>
            <w:pPr>
              <w:spacing w:after="40" w:before="0" w:line="259" w:lineRule="auto"/>
            </w:pPr>
            <w:r>
              <w:rPr>
                <w:rFonts w:ascii="Calibri" w:hAnsi="Calibri"/>
                <w:b w:val="0"/>
                <w:i w:val="0"/>
                <w:color w:val="212121"/>
                <w:sz w:val="16"/>
              </w:rPr>
              <w:t>All women being assessed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Withhold lasers/waxing for &gt;= 3 months before scoring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Signs of virilisation</w:t>
            </w:r>
          </w:p>
        </w:tc>
        <w:tc>
          <w:tcPr>
            <w:tcW w:type="dxa" w:w="979"/>
            <w:vAlign w:val="top"/>
          </w:tcPr>
          <w:p>
            <w:pPr>
              <w:spacing w:after="40" w:before="0" w:line="259" w:lineRule="auto"/>
            </w:pPr>
            <w:r>
              <w:rPr>
                <w:rFonts w:ascii="Calibri" w:hAnsi="Calibri"/>
                <w:b w:val="0"/>
                <w:i w:val="0"/>
                <w:color w:val="212121"/>
                <w:sz w:val="16"/>
              </w:rPr>
              <w:t>Voice deepening, clitoromegaly, temporal balding, muscle bulk</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virilising feature present</w:t>
            </w:r>
          </w:p>
        </w:tc>
        <w:tc>
          <w:tcPr>
            <w:tcW w:type="dxa" w:w="1036"/>
            <w:vAlign w:val="top"/>
          </w:tcPr>
          <w:p>
            <w:pPr>
              <w:spacing w:after="40" w:before="0" w:line="259" w:lineRule="auto"/>
            </w:pPr>
            <w:r>
              <w:rPr>
                <w:rFonts w:ascii="Calibri" w:hAnsi="Calibri"/>
                <w:b w:val="0"/>
                <w:i w:val="0"/>
                <w:color w:val="212121"/>
                <w:sz w:val="16"/>
              </w:rPr>
              <w:t>Virilisation with high androgens strongly suggests a tumour</w:t>
            </w:r>
          </w:p>
        </w:tc>
        <w:tc>
          <w:tcPr>
            <w:tcW w:type="dxa" w:w="1036"/>
            <w:vAlign w:val="top"/>
          </w:tcPr>
          <w:p>
            <w:pPr>
              <w:spacing w:after="40" w:before="0" w:line="259" w:lineRule="auto"/>
            </w:pPr>
            <w:r>
              <w:rPr>
                <w:rFonts w:ascii="Calibri" w:hAnsi="Calibri"/>
                <w:b w:val="0"/>
                <w:i w:val="0"/>
                <w:color w:val="212121"/>
                <w:sz w:val="16"/>
              </w:rPr>
              <w:t>Rapid-onset or severe hirsutism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 flag</w:t>
            </w:r>
          </w:p>
        </w:tc>
        <w:tc>
          <w:tcPr>
            <w:tcW w:type="dxa" w:w="720"/>
            <w:vAlign w:val="top"/>
          </w:tcPr>
          <w:p>
            <w:pPr>
              <w:spacing w:after="40" w:before="0" w:line="259" w:lineRule="auto"/>
            </w:pPr>
            <w:r>
              <w:rPr>
                <w:rFonts w:ascii="Calibri" w:hAnsi="Calibri"/>
                <w:b w:val="0"/>
                <w:i w:val="0"/>
                <w:color w:val="212121"/>
                <w:sz w:val="16"/>
              </w:rPr>
              <w:t>Prompts urgent biochemical and imaging work-up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Skin markers of insulin resistance</w:t>
            </w:r>
          </w:p>
        </w:tc>
        <w:tc>
          <w:tcPr>
            <w:tcW w:type="dxa" w:w="979"/>
            <w:vAlign w:val="top"/>
          </w:tcPr>
          <w:p>
            <w:pPr>
              <w:spacing w:after="40" w:before="0" w:line="259" w:lineRule="auto"/>
            </w:pPr>
            <w:r>
              <w:rPr>
                <w:rFonts w:ascii="Calibri" w:hAnsi="Calibri"/>
                <w:b w:val="0"/>
                <w:i w:val="0"/>
                <w:color w:val="212121"/>
                <w:sz w:val="16"/>
              </w:rPr>
              <w:t>Acanthosis nigricans, skin tags, acne, seborrhoea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Velvety hyperpigmentation of neck/axillae, acrochordons</w:t>
            </w:r>
          </w:p>
        </w:tc>
        <w:tc>
          <w:tcPr>
            <w:tcW w:type="dxa" w:w="1036"/>
            <w:vAlign w:val="top"/>
          </w:tcPr>
          <w:p>
            <w:pPr>
              <w:spacing w:after="40" w:before="0" w:line="259" w:lineRule="auto"/>
            </w:pPr>
            <w:r>
              <w:rPr>
                <w:rFonts w:ascii="Calibri" w:hAnsi="Calibri"/>
                <w:b w:val="0"/>
                <w:i w:val="0"/>
                <w:color w:val="212121"/>
                <w:sz w:val="16"/>
              </w:rPr>
              <w:t>Acanthosis nigricans signals insulin resistance and the HAIR-AN spectrum</w:t>
            </w:r>
          </w:p>
        </w:tc>
        <w:tc>
          <w:tcPr>
            <w:tcW w:type="dxa" w:w="1036"/>
            <w:vAlign w:val="top"/>
          </w:tcPr>
          <w:p>
            <w:pPr>
              <w:spacing w:after="40" w:before="0" w:line="259" w:lineRule="auto"/>
            </w:pPr>
            <w:r>
              <w:rPr>
                <w:rFonts w:ascii="Calibri" w:hAnsi="Calibri"/>
                <w:b w:val="0"/>
                <w:i w:val="0"/>
                <w:color w:val="212121"/>
                <w:sz w:val="16"/>
              </w:rPr>
              <w:t>Obese/PCOS women</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Guides metabolic evaluation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Anthropometry and Cushingoid screen</w:t>
            </w:r>
          </w:p>
        </w:tc>
        <w:tc>
          <w:tcPr>
            <w:tcW w:type="dxa" w:w="979"/>
            <w:vAlign w:val="top"/>
          </w:tcPr>
          <w:p>
            <w:pPr>
              <w:spacing w:after="40" w:before="0" w:line="259" w:lineRule="auto"/>
            </w:pPr>
            <w:r>
              <w:rPr>
                <w:rFonts w:ascii="Calibri" w:hAnsi="Calibri"/>
                <w:b w:val="0"/>
                <w:i w:val="0"/>
                <w:color w:val="212121"/>
                <w:sz w:val="16"/>
              </w:rPr>
              <w:t>BMI, waist circumference, striae, moon face, abdominal/pelvic mass</w:t>
            </w:r>
          </w:p>
        </w:tc>
        <w:tc>
          <w:tcPr>
            <w:tcW w:type="dxa" w:w="950"/>
            <w:vAlign w:val="top"/>
          </w:tcPr>
          <w:p>
            <w:pPr>
              <w:spacing w:after="40" w:before="0" w:line="259" w:lineRule="auto"/>
            </w:pPr>
            <w:r>
              <w:rPr>
                <w:rFonts w:ascii="Calibri" w:hAnsi="Calibri"/>
                <w:b w:val="0"/>
                <w:i w:val="0"/>
                <w:color w:val="212121"/>
                <w:sz w:val="16"/>
              </w:rPr>
              <w:t>Normal habitus, no mass</w:t>
            </w:r>
          </w:p>
        </w:tc>
        <w:tc>
          <w:tcPr>
            <w:tcW w:type="dxa" w:w="950"/>
            <w:vAlign w:val="top"/>
          </w:tcPr>
          <w:p>
            <w:pPr>
              <w:spacing w:after="40" w:before="0" w:line="259" w:lineRule="auto"/>
            </w:pPr>
            <w:r>
              <w:rPr>
                <w:rFonts w:ascii="Calibri" w:hAnsi="Calibri"/>
                <w:b w:val="0"/>
                <w:i w:val="0"/>
                <w:color w:val="212121"/>
                <w:sz w:val="16"/>
              </w:rPr>
              <w:t>Central obesity, Cushingoid features, palpable mass</w:t>
            </w:r>
          </w:p>
        </w:tc>
        <w:tc>
          <w:tcPr>
            <w:tcW w:type="dxa" w:w="1036"/>
            <w:vAlign w:val="top"/>
          </w:tcPr>
          <w:p>
            <w:pPr>
              <w:spacing w:after="40" w:before="0" w:line="259" w:lineRule="auto"/>
            </w:pPr>
            <w:r>
              <w:rPr>
                <w:rFonts w:ascii="Calibri" w:hAnsi="Calibri"/>
                <w:b w:val="0"/>
                <w:i w:val="0"/>
                <w:color w:val="212121"/>
                <w:sz w:val="16"/>
              </w:rPr>
              <w:t>Screens for obesity-driven hyperandrogenism, Cushing syndrome and tumours</w:t>
            </w:r>
          </w:p>
        </w:tc>
        <w:tc>
          <w:tcPr>
            <w:tcW w:type="dxa" w:w="1036"/>
            <w:vAlign w:val="top"/>
          </w:tcPr>
          <w:p>
            <w:pPr>
              <w:spacing w:after="40" w:before="0" w:line="259" w:lineRule="auto"/>
            </w:pPr>
            <w:r>
              <w:rPr>
                <w:rFonts w:ascii="Calibri" w:hAnsi="Calibri"/>
                <w:b w:val="0"/>
                <w:i w:val="0"/>
                <w:color w:val="212121"/>
                <w:sz w:val="16"/>
              </w:rPr>
              <w:t>All women with hirsutism</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Use Asian-Indian anthropometric cut-offs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Coarse dark hair on the upper lip and chin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classic complaint - visible terminal hair on the face in an adult woman, often requiring frequent removal.</w:t>
            </w:r>
          </w:p>
        </w:tc>
      </w:tr>
      <w:tr>
        <w:trPr>
          <w:cantSplit/>
        </w:trPr>
        <w:tc>
          <w:tcPr>
            <w:tcW w:type="dxa" w:w="2304"/>
            <w:vAlign w:val="top"/>
          </w:tcPr>
          <w:p>
            <w:pPr>
              <w:spacing w:after="40" w:before="0" w:line="259" w:lineRule="auto"/>
            </w:pPr>
            <w:r>
              <w:rPr>
                <w:rFonts w:ascii="Calibri" w:hAnsi="Calibri"/>
                <w:b/>
                <w:i w:val="0"/>
                <w:color w:val="212121"/>
                <w:sz w:val="19"/>
              </w:rPr>
              <w:t>Male-pattern hair on chest, mid-line abdomen, back and inner thighs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Terminal hair spreading to androgen-sensitive body areas beyond the face.</w:t>
            </w:r>
          </w:p>
        </w:tc>
      </w:tr>
      <w:tr>
        <w:trPr>
          <w:cantSplit/>
        </w:trPr>
        <w:tc>
          <w:tcPr>
            <w:tcW w:type="dxa" w:w="2304"/>
            <w:vAlign w:val="top"/>
          </w:tcPr>
          <w:p>
            <w:pPr>
              <w:spacing w:after="40" w:before="0" w:line="259" w:lineRule="auto"/>
            </w:pPr>
            <w:r>
              <w:rPr>
                <w:rFonts w:ascii="Calibri" w:hAnsi="Calibri"/>
                <w:b/>
                <w:i w:val="0"/>
                <w:color w:val="212121"/>
                <w:sz w:val="19"/>
              </w:rPr>
              <w:t>Irregular or absent periods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Oligo- or amenorrhoea accompanying hirsutism strongly suggests underlying PCOS.</w:t>
            </w:r>
          </w:p>
        </w:tc>
      </w:tr>
      <w:tr>
        <w:trPr>
          <w:cantSplit/>
        </w:trPr>
        <w:tc>
          <w:tcPr>
            <w:tcW w:type="dxa" w:w="2304"/>
            <w:vAlign w:val="top"/>
          </w:tcPr>
          <w:p>
            <w:pPr>
              <w:spacing w:after="40" w:before="0" w:line="259" w:lineRule="auto"/>
            </w:pPr>
            <w:r>
              <w:rPr>
                <w:rFonts w:ascii="Calibri" w:hAnsi="Calibri"/>
                <w:b/>
                <w:i w:val="0"/>
                <w:color w:val="212121"/>
                <w:sz w:val="19"/>
              </w:rPr>
              <w:t>Acne and oily (seborrhoeic) 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Other cutaneous signs of androgen excess frequently coexist with hirsutism.</w:t>
            </w:r>
          </w:p>
        </w:tc>
      </w:tr>
      <w:tr>
        <w:trPr>
          <w:cantSplit/>
        </w:trPr>
        <w:tc>
          <w:tcPr>
            <w:tcW w:type="dxa" w:w="2304"/>
            <w:vAlign w:val="top"/>
          </w:tcPr>
          <w:p>
            <w:pPr>
              <w:spacing w:after="40" w:before="0" w:line="259" w:lineRule="auto"/>
            </w:pPr>
            <w:r>
              <w:rPr>
                <w:rFonts w:ascii="Calibri" w:hAnsi="Calibri"/>
                <w:b/>
                <w:i w:val="0"/>
                <w:color w:val="212121"/>
                <w:sz w:val="19"/>
              </w:rPr>
              <w:t>Thinning of scalp hair (female-pattern)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Androgenetic scalp hair loss can accompany excess facial/body hair in hyperandrogenism.</w:t>
            </w:r>
          </w:p>
        </w:tc>
      </w:tr>
      <w:tr>
        <w:trPr>
          <w:cantSplit/>
        </w:trPr>
        <w:tc>
          <w:tcPr>
            <w:tcW w:type="dxa" w:w="2304"/>
            <w:vAlign w:val="top"/>
          </w:tcPr>
          <w:p>
            <w:pPr>
              <w:spacing w:after="40" w:before="0" w:line="259" w:lineRule="auto"/>
            </w:pPr>
            <w:r>
              <w:rPr>
                <w:rFonts w:ascii="Calibri" w:hAnsi="Calibri"/>
                <w:b/>
                <w:i w:val="0"/>
                <w:color w:val="212121"/>
                <w:sz w:val="19"/>
              </w:rPr>
              <w:t>Emotional distress, embarrassment and low self-esteem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Major psychosocial burden with anxiety and social avoidance, especially in young unmarried women.</w:t>
            </w:r>
          </w:p>
        </w:tc>
      </w:tr>
      <w:tr>
        <w:trPr>
          <w:cantSplit/>
        </w:trPr>
        <w:tc>
          <w:tcPr>
            <w:tcW w:type="dxa" w:w="2304"/>
            <w:vAlign w:val="top"/>
          </w:tcPr>
          <w:p>
            <w:pPr>
              <w:spacing w:after="40" w:before="0" w:line="259" w:lineRule="auto"/>
            </w:pPr>
            <w:r>
              <w:rPr>
                <w:rFonts w:ascii="Calibri" w:hAnsi="Calibri"/>
                <w:b/>
                <w:i w:val="0"/>
                <w:color w:val="212121"/>
                <w:sz w:val="19"/>
              </w:rPr>
              <w:t>Weight gain / difficulty losing weight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the insulin resistance and PCOS that commonly underlie hirsutism.</w:t>
            </w:r>
          </w:p>
        </w:tc>
      </w:tr>
      <w:tr>
        <w:trPr>
          <w:cantSplit/>
        </w:trPr>
        <w:tc>
          <w:tcPr>
            <w:tcW w:type="dxa" w:w="2304"/>
            <w:vAlign w:val="top"/>
          </w:tcPr>
          <w:p>
            <w:pPr>
              <w:spacing w:after="40" w:before="0" w:line="259" w:lineRule="auto"/>
            </w:pPr>
            <w:r>
              <w:rPr>
                <w:rFonts w:ascii="Calibri" w:hAnsi="Calibri"/>
                <w:b/>
                <w:i w:val="0"/>
                <w:color w:val="212121"/>
                <w:sz w:val="19"/>
              </w:rPr>
              <w:t>Darkened velvety skin in folds (acanthosis nigricans)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Patient-noticed pigmentation of neck/axillae is a marker of insulin resistance.</w:t>
            </w:r>
          </w:p>
        </w:tc>
      </w:tr>
      <w:tr>
        <w:trPr>
          <w:cantSplit/>
        </w:trPr>
        <w:tc>
          <w:tcPr>
            <w:tcW w:type="dxa" w:w="2304"/>
            <w:vAlign w:val="top"/>
          </w:tcPr>
          <w:p>
            <w:pPr>
              <w:spacing w:after="40" w:before="0" w:line="259" w:lineRule="auto"/>
            </w:pPr>
            <w:r>
              <w:rPr>
                <w:rFonts w:ascii="Calibri" w:hAnsi="Calibri"/>
                <w:b/>
                <w:i w:val="0"/>
                <w:color w:val="212121"/>
                <w:sz w:val="19"/>
              </w:rPr>
              <w:t>Rapid onset of hair growth over a few months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red-flag history suggesting an androgen-secreting tumour.</w:t>
            </w:r>
          </w:p>
        </w:tc>
      </w:tr>
      <w:tr>
        <w:trPr>
          <w:cantSplit/>
        </w:trPr>
        <w:tc>
          <w:tcPr>
            <w:tcW w:type="dxa" w:w="2304"/>
            <w:vAlign w:val="top"/>
          </w:tcPr>
          <w:p>
            <w:pPr>
              <w:spacing w:after="40" w:before="0" w:line="259" w:lineRule="auto"/>
            </w:pPr>
            <w:r>
              <w:rPr>
                <w:rFonts w:ascii="Calibri" w:hAnsi="Calibri"/>
                <w:b/>
                <w:i w:val="0"/>
                <w:color w:val="212121"/>
                <w:sz w:val="19"/>
              </w:rPr>
              <w:t>Deepening of the voice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virilising symptom pointing to marked androgen excess and possible tumour.</w:t>
            </w:r>
          </w:p>
        </w:tc>
      </w:tr>
      <w:tr>
        <w:trPr>
          <w:cantSplit/>
        </w:trPr>
        <w:tc>
          <w:tcPr>
            <w:tcW w:type="dxa" w:w="2304"/>
            <w:vAlign w:val="top"/>
          </w:tcPr>
          <w:p>
            <w:pPr>
              <w:spacing w:after="40" w:before="0" w:line="259" w:lineRule="auto"/>
            </w:pPr>
            <w:r>
              <w:rPr>
                <w:rFonts w:ascii="Calibri" w:hAnsi="Calibri"/>
                <w:b/>
                <w:i w:val="0"/>
                <w:color w:val="212121"/>
                <w:sz w:val="19"/>
              </w:rPr>
              <w:t>Increased libido or clitoral enlargement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Further virilising features that warrant urgent endocrine evaluation.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Terminal hair in androgen-dependent areas (raised mFG score)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Documented on the modified Ferriman-Gallwey chart; the objective hallmark of hirsutism.</w:t>
            </w:r>
          </w:p>
        </w:tc>
      </w:tr>
      <w:tr>
        <w:trPr>
          <w:cantSplit/>
        </w:trPr>
        <w:tc>
          <w:tcPr>
            <w:tcW w:type="dxa" w:w="3456"/>
            <w:vAlign w:val="top"/>
          </w:tcPr>
          <w:p>
            <w:pPr>
              <w:spacing w:after="40" w:before="0" w:line="259" w:lineRule="auto"/>
            </w:pPr>
            <w:r>
              <w:rPr>
                <w:rFonts w:ascii="Calibri" w:hAnsi="Calibri"/>
                <w:b/>
                <w:i w:val="0"/>
                <w:color w:val="212121"/>
                <w:sz w:val="19"/>
              </w:rPr>
              <w:t>Acne and seborrhoea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Cutaneous androgenisation frequently accompanies the excess hair.</w:t>
            </w:r>
          </w:p>
        </w:tc>
      </w:tr>
      <w:tr>
        <w:trPr>
          <w:cantSplit/>
        </w:trPr>
        <w:tc>
          <w:tcPr>
            <w:tcW w:type="dxa" w:w="3456"/>
            <w:vAlign w:val="top"/>
          </w:tcPr>
          <w:p>
            <w:pPr>
              <w:spacing w:after="40" w:before="0" w:line="259" w:lineRule="auto"/>
            </w:pPr>
            <w:r>
              <w:rPr>
                <w:rFonts w:ascii="Calibri" w:hAnsi="Calibri"/>
                <w:b/>
                <w:i w:val="0"/>
                <w:color w:val="212121"/>
                <w:sz w:val="19"/>
              </w:rPr>
              <w:t>Acanthosis nigricans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Velvety hyperpigmented plaques on the neck and axillae - a marker of insulin resistance.</w:t>
            </w:r>
          </w:p>
        </w:tc>
      </w:tr>
      <w:tr>
        <w:trPr>
          <w:cantSplit/>
        </w:trPr>
        <w:tc>
          <w:tcPr>
            <w:tcW w:type="dxa" w:w="3456"/>
            <w:vAlign w:val="top"/>
          </w:tcPr>
          <w:p>
            <w:pPr>
              <w:spacing w:after="40" w:before="0" w:line="259" w:lineRule="auto"/>
            </w:pPr>
            <w:r>
              <w:rPr>
                <w:rFonts w:ascii="Calibri" w:hAnsi="Calibri"/>
                <w:b/>
                <w:i w:val="0"/>
                <w:color w:val="212121"/>
                <w:sz w:val="19"/>
              </w:rPr>
              <w:t>Central obesity / raised waist circumference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Common in PCOS-related hirsutism; assessed with Asian-Indian anthropometric cut-offs.</w:t>
            </w:r>
          </w:p>
        </w:tc>
      </w:tr>
      <w:tr>
        <w:trPr>
          <w:cantSplit/>
        </w:trPr>
        <w:tc>
          <w:tcPr>
            <w:tcW w:type="dxa" w:w="3456"/>
            <w:vAlign w:val="top"/>
          </w:tcPr>
          <w:p>
            <w:pPr>
              <w:spacing w:after="40" w:before="0" w:line="259" w:lineRule="auto"/>
            </w:pPr>
            <w:r>
              <w:rPr>
                <w:rFonts w:ascii="Calibri" w:hAnsi="Calibri"/>
                <w:b/>
                <w:i w:val="0"/>
                <w:color w:val="212121"/>
                <w:sz w:val="19"/>
              </w:rPr>
              <w:t>Female-pattern (androgenetic) scalp hair loss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Diffuse crown thinning or widened part reflecting scalp androgen sensitivity.</w:t>
            </w:r>
          </w:p>
        </w:tc>
      </w:tr>
      <w:tr>
        <w:trPr>
          <w:cantSplit/>
        </w:trPr>
        <w:tc>
          <w:tcPr>
            <w:tcW w:type="dxa" w:w="3456"/>
            <w:vAlign w:val="top"/>
          </w:tcPr>
          <w:p>
            <w:pPr>
              <w:spacing w:after="40" w:before="0" w:line="259" w:lineRule="auto"/>
            </w:pPr>
            <w:r>
              <w:rPr>
                <w:rFonts w:ascii="Calibri" w:hAnsi="Calibri"/>
                <w:b/>
                <w:i w:val="0"/>
                <w:color w:val="212121"/>
                <w:sz w:val="19"/>
              </w:rPr>
              <w:t>Skin tags (acrochordons)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Associated with insulin resistance and the HAIR-AN spectrum.</w:t>
            </w:r>
          </w:p>
        </w:tc>
      </w:tr>
      <w:tr>
        <w:trPr>
          <w:cantSplit/>
        </w:trPr>
        <w:tc>
          <w:tcPr>
            <w:tcW w:type="dxa" w:w="3456"/>
            <w:vAlign w:val="top"/>
          </w:tcPr>
          <w:p>
            <w:pPr>
              <w:spacing w:after="40" w:before="0" w:line="259" w:lineRule="auto"/>
            </w:pPr>
            <w:r>
              <w:rPr>
                <w:rFonts w:ascii="Calibri" w:hAnsi="Calibri"/>
                <w:b/>
                <w:i w:val="0"/>
                <w:color w:val="212121"/>
                <w:sz w:val="19"/>
              </w:rPr>
              <w:t>Polycystic ovarian morphology on ultrasound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Multiple small follicles and increased ovarian volume supporting a PCOS diagnosis.</w:t>
            </w:r>
          </w:p>
        </w:tc>
      </w:tr>
      <w:tr>
        <w:trPr>
          <w:cantSplit/>
        </w:trPr>
        <w:tc>
          <w:tcPr>
            <w:tcW w:type="dxa" w:w="3456"/>
            <w:vAlign w:val="top"/>
          </w:tcPr>
          <w:p>
            <w:pPr>
              <w:spacing w:after="40" w:before="0" w:line="259" w:lineRule="auto"/>
            </w:pPr>
            <w:r>
              <w:rPr>
                <w:rFonts w:ascii="Calibri" w:hAnsi="Calibri"/>
                <w:b/>
                <w:i w:val="0"/>
                <w:color w:val="212121"/>
                <w:sz w:val="19"/>
              </w:rPr>
              <w:t>Clitoromegaly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virilising sign indicating significant androgen excess, often tumoral.</w:t>
            </w:r>
          </w:p>
        </w:tc>
      </w:tr>
      <w:tr>
        <w:trPr>
          <w:cantSplit/>
        </w:trPr>
        <w:tc>
          <w:tcPr>
            <w:tcW w:type="dxa" w:w="3456"/>
            <w:vAlign w:val="top"/>
          </w:tcPr>
          <w:p>
            <w:pPr>
              <w:spacing w:after="40" w:before="0" w:line="259" w:lineRule="auto"/>
            </w:pPr>
            <w:r>
              <w:rPr>
                <w:rFonts w:ascii="Calibri" w:hAnsi="Calibri"/>
                <w:b/>
                <w:i w:val="0"/>
                <w:color w:val="212121"/>
                <w:sz w:val="19"/>
              </w:rPr>
              <w:t>Temporal balding and increased muscle bulk</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Further virilisation suggesting a high-androgen state.</w:t>
            </w:r>
          </w:p>
        </w:tc>
      </w:tr>
      <w:tr>
        <w:trPr>
          <w:cantSplit/>
        </w:trPr>
        <w:tc>
          <w:tcPr>
            <w:tcW w:type="dxa" w:w="3456"/>
            <w:vAlign w:val="top"/>
          </w:tcPr>
          <w:p>
            <w:pPr>
              <w:spacing w:after="40" w:before="0" w:line="259" w:lineRule="auto"/>
            </w:pPr>
            <w:r>
              <w:rPr>
                <w:rFonts w:ascii="Calibri" w:hAnsi="Calibri"/>
                <w:b/>
                <w:i w:val="0"/>
                <w:color w:val="212121"/>
                <w:sz w:val="19"/>
              </w:rPr>
              <w:t>Cushingoid features (moon face, purple striae)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Point to Cushing syndrome as an uncommon secondary cause.</w:t>
            </w:r>
          </w:p>
        </w:tc>
      </w:tr>
      <w:tr>
        <w:trPr>
          <w:cantSplit/>
        </w:trPr>
        <w:tc>
          <w:tcPr>
            <w:tcW w:type="dxa" w:w="3456"/>
            <w:vAlign w:val="top"/>
          </w:tcPr>
          <w:p>
            <w:pPr>
              <w:spacing w:after="40" w:before="0" w:line="259" w:lineRule="auto"/>
            </w:pPr>
            <w:r>
              <w:rPr>
                <w:rFonts w:ascii="Calibri" w:hAnsi="Calibri"/>
                <w:b/>
                <w:i w:val="0"/>
                <w:color w:val="212121"/>
                <w:sz w:val="19"/>
              </w:rPr>
              <w:t>Palpable abdominal or pelvic mass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May indicate an androgen-secreting ovarian or adrenal tumour.</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Cosmetically distressing excess terminal facial and body hair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Associated acne, seborrhoea and androgenetic scalp thinning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Significant psychological distress, anxiety and impaired quality of life</w:t>
            </w:r>
          </w:p>
        </w:tc>
        <w:tc>
          <w:tcPr>
            <w:tcW w:type="dxa" w:w="2980"/>
            <w:vAlign w:val="top"/>
          </w:tcPr>
          <w:p>
            <w:pPr>
              <w:spacing w:after="40" w:before="0" w:line="259" w:lineRule="auto"/>
            </w:pPr>
            <w:r>
              <w:rPr>
                <w:rFonts w:ascii="Calibri" w:hAnsi="Calibri"/>
                <w:b w:val="0"/>
                <w:i w:val="0"/>
                <w:color w:val="212121"/>
                <w:sz w:val="19"/>
              </w:rPr>
              <w:t>Direct consequences of androgen excess/sensitivity and its visible, stigmatising hair growth.</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PCOS sequelae: menstrual dysfunction, chronic anovulation and subfertility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Insulin resistance, obesity and the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Skin complications of repeated hair removal (folliculitis, pseudofolliculitis, post-inflammatory hyperpigmentation, 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social withdrawal and low self-esteem</w:t>
            </w:r>
          </w:p>
        </w:tc>
        <w:tc>
          <w:tcPr>
            <w:tcW w:type="dxa" w:w="2980"/>
            <w:vAlign w:val="top"/>
          </w:tcPr>
          <w:p>
            <w:pPr>
              <w:spacing w:after="40" w:before="0" w:line="259" w:lineRule="auto"/>
            </w:pPr>
            <w:r>
              <w:rPr>
                <w:rFonts w:ascii="Calibri" w:hAnsi="Calibri"/>
                <w:b w:val="0"/>
                <w:i w:val="0"/>
                <w:color w:val="212121"/>
                <w:sz w:val="19"/>
              </w:rPr>
              <w:t>Downstream effects of the underlying hyperandrogenic disorder and of cosmetic management.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Type 2 diabetes, dyslipidaemia, non-alcoholic fatty liver disease and increased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Endometrial hyperplasia or carcinoma from chronic anovulation and unopposed oestrogen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anxiety or depression from persistent, treatment-refractory hirsutism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virilisation and sequelae of an untreated androgen-secreting tumour</w:t>
            </w:r>
          </w:p>
        </w:tc>
        <w:tc>
          <w:tcPr>
            <w:tcW w:type="dxa" w:w="2980"/>
            <w:vAlign w:val="top"/>
          </w:tcPr>
          <w:p>
            <w:pPr>
              <w:spacing w:after="40" w:before="0" w:line="259" w:lineRule="auto"/>
            </w:pPr>
            <w:r>
              <w:rPr>
                <w:rFonts w:ascii="Calibri" w:hAnsi="Calibri"/>
                <w:b w:val="0"/>
                <w:i w:val="0"/>
                <w:color w:val="212121"/>
                <w:sz w:val="19"/>
              </w:rPr>
              <w:t>Long-term, potentially serious outcomes of untreated PCOS-related metabolic disease or of a missed tumour.</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Polycystic ovary syndrome (PCOS)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The dominant cause of hirsutism; ovarian androgen excess with insulin resistance.</w:t>
            </w:r>
          </w:p>
          <w:p>
            <w:pPr>
              <w:spacing w:after="40" w:before="0" w:line="259" w:lineRule="auto"/>
            </w:pPr>
            <w:r>
              <w:rPr>
                <w:rFonts w:ascii="Calibri" w:hAnsi="Calibri"/>
                <w:b/>
                <w:i w:val="0"/>
                <w:color w:val="212121"/>
                <w:sz w:val="19"/>
              </w:rPr>
              <w:t>~70-75% of hirsutism</w:t>
            </w:r>
          </w:p>
        </w:tc>
      </w:tr>
      <w:tr>
        <w:trPr>
          <w:cantSplit/>
        </w:trPr>
        <w:tc>
          <w:tcPr>
            <w:tcW w:type="dxa" w:w="2232"/>
            <w:vAlign w:val="top"/>
          </w:tcPr>
          <w:p>
            <w:pPr>
              <w:spacing w:after="40" w:before="0" w:line="259" w:lineRule="auto"/>
            </w:pPr>
            <w:r>
              <w:rPr>
                <w:rFonts w:ascii="Calibri" w:hAnsi="Calibri"/>
                <w:b/>
                <w:i w:val="0"/>
                <w:color w:val="212121"/>
                <w:sz w:val="19"/>
              </w:rPr>
              <w:t>Insulin resistance / type 2 diabetes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Hyperinsulinaemia drives androgen excess and is marked by acanthosis nigricans.</w:t>
            </w:r>
          </w:p>
          <w:p>
            <w:pPr>
              <w:spacing w:after="40" w:before="0" w:line="259" w:lineRule="auto"/>
            </w:pPr>
            <w:r>
              <w:rPr>
                <w:rFonts w:ascii="Calibri" w:hAnsi="Calibri"/>
                <w:b/>
                <w:i w:val="0"/>
                <w:color w:val="212121"/>
                <w:sz w:val="19"/>
              </w:rPr>
              <w:t>Up to ~53% (PCOS cohort)</w:t>
            </w:r>
          </w:p>
        </w:tc>
      </w:tr>
      <w:tr>
        <w:trPr>
          <w:cantSplit/>
        </w:trPr>
        <w:tc>
          <w:tcPr>
            <w:tcW w:type="dxa" w:w="2232"/>
            <w:vAlign w:val="top"/>
          </w:tcPr>
          <w:p>
            <w:pPr>
              <w:spacing w:after="40" w:before="0" w:line="259" w:lineRule="auto"/>
            </w:pPr>
            <w:r>
              <w:rPr>
                <w:rFonts w:ascii="Calibri" w:hAnsi="Calibri"/>
                <w:b/>
                <w:i w:val="0"/>
                <w:color w:val="212121"/>
                <w:sz w:val="19"/>
              </w:rPr>
              <w:t>Menstrual dysfunction (oligo-/amenorrhoea)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Reflects the anovulation of underlying PCOS.</w:t>
            </w:r>
          </w:p>
          <w:p>
            <w:pPr>
              <w:spacing w:after="40" w:before="0" w:line="259" w:lineRule="auto"/>
            </w:pPr>
            <w:r>
              <w:rPr>
                <w:rFonts w:ascii="Calibri" w:hAnsi="Calibri"/>
                <w:b/>
                <w:i w:val="0"/>
                <w:color w:val="212121"/>
                <w:sz w:val="19"/>
              </w:rPr>
              <w:t>Up to ~45% (PCOS cohort)</w:t>
            </w:r>
          </w:p>
        </w:tc>
      </w:tr>
      <w:tr>
        <w:trPr>
          <w:cantSplit/>
        </w:trPr>
        <w:tc>
          <w:tcPr>
            <w:tcW w:type="dxa" w:w="2232"/>
            <w:vAlign w:val="top"/>
          </w:tcPr>
          <w:p>
            <w:pPr>
              <w:spacing w:after="40" w:before="0" w:line="259" w:lineRule="auto"/>
            </w:pPr>
            <w:r>
              <w:rPr>
                <w:rFonts w:ascii="Calibri" w:hAnsi="Calibri"/>
                <w:b/>
                <w:i w:val="0"/>
                <w:color w:val="212121"/>
                <w:sz w:val="19"/>
              </w:rPr>
              <w:t>Acne / seborrhoea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Coexisting cutaneous signs of androgen excess.</w:t>
            </w:r>
          </w:p>
          <w:p>
            <w:pPr>
              <w:spacing w:after="40" w:before="0" w:line="259" w:lineRule="auto"/>
            </w:pPr>
            <w:r>
              <w:rPr>
                <w:rFonts w:ascii="Calibri" w:hAnsi="Calibri"/>
                <w:b/>
                <w:i w:val="0"/>
                <w:color w:val="212121"/>
                <w:sz w:val="19"/>
              </w:rPr>
              <w:t>Up to ~49% (PCOS cohort)</w:t>
            </w:r>
          </w:p>
        </w:tc>
      </w:tr>
      <w:tr>
        <w:trPr>
          <w:cantSplit/>
        </w:trPr>
        <w:tc>
          <w:tcPr>
            <w:tcW w:type="dxa" w:w="2232"/>
            <w:vAlign w:val="top"/>
          </w:tcPr>
          <w:p>
            <w:pPr>
              <w:spacing w:after="40" w:before="0" w:line="259" w:lineRule="auto"/>
            </w:pPr>
            <w:r>
              <w:rPr>
                <w:rFonts w:ascii="Calibri" w:hAnsi="Calibri"/>
                <w:b/>
                <w:i w:val="0"/>
                <w:color w:val="212121"/>
                <w:sz w:val="19"/>
              </w:rPr>
              <w:t>Androgenetic alopecia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Scalp androgen sensitivity accompanying excess body hair.</w:t>
            </w:r>
          </w:p>
          <w:p>
            <w:pPr>
              <w:spacing w:after="40" w:before="0" w:line="259" w:lineRule="auto"/>
            </w:pPr>
            <w:r>
              <w:rPr>
                <w:rFonts w:ascii="Calibri" w:hAnsi="Calibri"/>
                <w:b/>
                <w:i w:val="0"/>
                <w:color w:val="212121"/>
                <w:sz w:val="19"/>
              </w:rPr>
              <w:t>Up to ~28% (PCOS cohort)</w:t>
            </w:r>
          </w:p>
        </w:tc>
      </w:tr>
      <w:tr>
        <w:trPr>
          <w:cantSplit/>
        </w:trPr>
        <w:tc>
          <w:tcPr>
            <w:tcW w:type="dxa" w:w="2232"/>
            <w:vAlign w:val="top"/>
          </w:tcPr>
          <w:p>
            <w:pPr>
              <w:spacing w:after="40" w:before="0" w:line="259" w:lineRule="auto"/>
            </w:pPr>
            <w:r>
              <w:rPr>
                <w:rFonts w:ascii="Calibri" w:hAnsi="Calibri"/>
                <w:b/>
                <w:i w:val="0"/>
                <w:color w:val="212121"/>
                <w:sz w:val="19"/>
              </w:rPr>
              <w:t>Overweight / obesity</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Lowers SHBG and worsens insulin resistance and hirsutism.</w:t>
            </w:r>
          </w:p>
          <w:p>
            <w:pPr>
              <w:spacing w:after="40" w:before="0" w:line="259" w:lineRule="auto"/>
            </w:pPr>
            <w:r>
              <w:rPr>
                <w:rFonts w:ascii="Calibri" w:hAnsi="Calibri"/>
                <w:b/>
                <w:i w:val="0"/>
                <w:color w:val="212121"/>
                <w:sz w:val="19"/>
              </w:rPr>
              <w:t>~30% overweight (PCOS cohort)</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Common in PCOS and worsens insulin resistance.</w:t>
            </w:r>
          </w:p>
          <w:p>
            <w:pPr>
              <w:spacing w:after="40" w:before="0" w:line="259" w:lineRule="auto"/>
            </w:pPr>
            <w:r>
              <w:rPr>
                <w:rFonts w:ascii="Calibri" w:hAnsi="Calibri"/>
                <w:b/>
                <w:i w:val="0"/>
                <w:color w:val="212121"/>
                <w:sz w:val="19"/>
              </w:rPr>
              <w:t>Up to ~38% (PCOS cohort)</w:t>
            </w:r>
          </w:p>
        </w:tc>
      </w:tr>
      <w:tr>
        <w:trPr>
          <w:cantSplit/>
        </w:trPr>
        <w:tc>
          <w:tcPr>
            <w:tcW w:type="dxa" w:w="2232"/>
            <w:vAlign w:val="top"/>
          </w:tcPr>
          <w:p>
            <w:pPr>
              <w:spacing w:after="40" w:before="0" w:line="259" w:lineRule="auto"/>
            </w:pPr>
            <w:r>
              <w:rPr>
                <w:rFonts w:ascii="Calibri" w:hAnsi="Calibri"/>
                <w:b/>
                <w:i w:val="0"/>
                <w:color w:val="212121"/>
                <w:sz w:val="19"/>
              </w:rPr>
              <w:t>Anxiety and depression</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 - hirsutism causes distress and impaired quality of life.</w:t>
            </w:r>
          </w:p>
        </w:tc>
      </w:tr>
      <w:tr>
        <w:trPr>
          <w:cantSplit/>
        </w:trPr>
        <w:tc>
          <w:tcPr>
            <w:tcW w:type="dxa" w:w="2232"/>
            <w:vAlign w:val="top"/>
          </w:tcPr>
          <w:p>
            <w:pPr>
              <w:spacing w:after="40" w:before="0" w:line="259" w:lineRule="auto"/>
            </w:pPr>
            <w:r>
              <w:rPr>
                <w:rFonts w:ascii="Calibri" w:hAnsi="Calibri"/>
                <w:b/>
                <w:i w:val="0"/>
                <w:color w:val="212121"/>
                <w:sz w:val="19"/>
              </w:rPr>
              <w:t>Non-classic congenital adrenal hyperplasia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Commonest adrenal cause; screened with 17-OHP.</w:t>
            </w:r>
          </w:p>
          <w:p>
            <w:pPr>
              <w:spacing w:after="40" w:before="0" w:line="259" w:lineRule="auto"/>
            </w:pPr>
            <w:r>
              <w:rPr>
                <w:rFonts w:ascii="Calibri" w:hAnsi="Calibri"/>
                <w:b/>
                <w:i w:val="0"/>
                <w:color w:val="212121"/>
                <w:sz w:val="19"/>
              </w:rPr>
              <w:t>~1-2% of hirsutism</w:t>
            </w:r>
          </w:p>
        </w:tc>
      </w:tr>
      <w:tr>
        <w:trPr>
          <w:cantSplit/>
        </w:trPr>
        <w:tc>
          <w:tcPr>
            <w:tcW w:type="dxa" w:w="2232"/>
            <w:vAlign w:val="top"/>
          </w:tcPr>
          <w:p>
            <w:pPr>
              <w:spacing w:after="40" w:before="0" w:line="259" w:lineRule="auto"/>
            </w:pPr>
            <w:r>
              <w:rPr>
                <w:rFonts w:ascii="Calibri" w:hAnsi="Calibri"/>
                <w:b/>
                <w:i w:val="0"/>
                <w:color w:val="212121"/>
                <w:sz w:val="19"/>
              </w:rPr>
              <w:t>Subfertility / infertility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From chronic anovulation in PCOS.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hirsutism reflects androgen excess and/or heightened follicular sensitivity, and that PCOS is by far the commonest cause.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associated features that need evaluation - irregular periods, acne, weight gain and darkened skin folds (acanthosis nigricans).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medical assessment rather than relying only on cosmetic removal, especially if hair growth is rapid, severe or accompanied by voice deepening.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hair-directed treatments work slowly and must be continued for at least 6 months (one hair cycle) before judging benefit.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unsupervised use of androgenic or anabolic 'strength'/'bodybuilding' supplements and steroids, which can provoke hirsutism.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Undergo periodic screening for the metabolic consequences of PCOS (blood sugar, lipids, blood pressure).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women with new or worsening hair growth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Adolescents/young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women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Combined oral contraceptive pills are first-line pharmacotherapy, suppressing ovarian and adrenal androgen production.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an anti-androgen (e.g., spironolactone 100 to 200 mg/day, or finasteride) when the response to a COCP after ~6 months is inadequate, with reliable contraception.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metformin where insulin resistance or glucose intolerance is prominent, alongside lifestyle change.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topical eflornithine to slow facial hair growth and combine mechanical/photo-epilation (laser or electrolysis) for durable cosmetic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the specific cause where identified (glucocorticoids for NCAH, surgery for an androgen-secreting tumour, stopping a culprit drug).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expectations - reassess only after at least 6 months, since existing hairs must cycle out.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not seeking immediate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PCOS-related hirsutism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NCAH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Insulin-resistant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at least 150 minutes/week of moderate-to-vigorous activity with 2 to 3 resistance sessions to improve insulin sensitivity.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Target a gradual 5 to 10% reduction in body weight in overweight/obese women, which lowers androgens and improves hirsutism and cycles.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regular activity as a core, non-pharmacological treatment of PCOS-related hyperandrogenism.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prolonged sitting and build daily incidental activity, particularly for sedentary office workers and homemakers.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Insulin-resistant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a low-glycaemic, high-fibre diet based on whole grains and millets (ragi, jowar, bajra), pulses, vegetables and fruit.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refined carbohydrates, bakery and fried foods, sweets and sugar-sweetened beverages that drive hyperinsulinaemia.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portion control and balanced meals to prevent weight gain and reduce insulin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Distribute carbohydrate evenly across meals and pair with protein and healthy fats to blunt glucose spikes.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at risk of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Refined-carbohydrate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a sustained calorie-controlled, low-glycaemic dietary pattern to achieve and maintain 5 to 10% weight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coexisting metabolic problems (dyslipidaemia, impaired glucose tolerance) with diet alongside medical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a dietitian for structured, culturally appropriate Indian meal planning in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and micronutrients while restricting energy, avoiding crash dieting.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Insulin-resistant/obese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Prediabetic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7 to 9 hours of good-quality sleep to support insulin sensitivity.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which is common in PCOS and worsens metabolic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shift-work and screen-related sleep disruption as part of overall metabolic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Snorers / suspected OSA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quit smoking to reduce the added cardiometabolic risk that compounds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recognising the raised cardiovascular risk in hyperandrogenic women.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 and metabolic risk</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intake low to protect liver function and metabolic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drinking, which can worsen weight and metabolic parameters in PCOS.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Overweight/insulin-resistant women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substantial emotional and social burden of hirsutism and provide empathetic counselling and reassurance.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anxiety and depression, which are more marked when PCOS coexists.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realistic expectations about treatment timelines and combine medical with cosmetic options to improve confidence.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psychological support or peer/PCOS support groups where distress is significant.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Distressed women with hirsutism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unmarried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9371657/" TargetMode="External"/><Relationship Id="rId10" Type="http://schemas.openxmlformats.org/officeDocument/2006/relationships/hyperlink" Target="https://pubmed.ncbi.nlm.nih.gov/11937114/" TargetMode="External"/><Relationship Id="rId11" Type="http://schemas.openxmlformats.org/officeDocument/2006/relationships/hyperlink" Target="https://www.ncbi.nlm.nih.gov/books/NBK470417/" TargetMode="External"/><Relationship Id="rId12" Type="http://schemas.openxmlformats.org/officeDocument/2006/relationships/hyperlink" Target="https://www.ijord.com/index.php/ijord/article/download/276/165/1274" TargetMode="External"/><Relationship Id="rId13" Type="http://schemas.openxmlformats.org/officeDocument/2006/relationships/hyperlink" Target="https://pmc.ncbi.nlm.nih.gov/articles/PMC12592665/" TargetMode="External"/><Relationship Id="rId14" Type="http://schemas.openxmlformats.org/officeDocument/2006/relationships/hyperlink" Target="https://www.aafp.org/pubs/afp/issues/2001/0615/p2385.html" TargetMode="External"/><Relationship Id="rId15" Type="http://schemas.openxmlformats.org/officeDocument/2006/relationships/hyperlink" Target="https://academic.oup.com/jcem/article/110/10/e3503/81088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