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Rosacea</w:t>
      </w:r>
    </w:p>
    <w:p>
      <w:pPr>
        <w:spacing w:before="0" w:after="160"/>
      </w:pPr>
      <w:r>
        <w:rPr>
          <w:rFonts w:ascii="Calibri" w:hAnsi="Calibri"/>
          <w:b/>
          <w:i w:val="0"/>
          <w:color w:val="212121"/>
          <w:sz w:val="22"/>
        </w:rPr>
        <w:t xml:space="preserve">AKA </w:t>
      </w:r>
      <w:r>
        <w:rPr>
          <w:rFonts w:ascii="Calibri" w:hAnsi="Calibri"/>
          <w:b w:val="0"/>
          <w:i w:val="0"/>
          <w:color w:val="212121"/>
          <w:sz w:val="22"/>
        </w:rPr>
        <w:t>i.e., Acne rosacea, Adult acne, Gutta rosacea; rhinophyma (bulbous nose); steroid-induced rosacea-like dermatitis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Rosacea is a common, chronic, relapsing–remitting inflammatory dermatosis of the central face (cheeks, nose, chin, glabella and forehead) characterised by recurrent flushing, persistent erythema, telangiectasia and inflammatory papules and pustules, and in some patients by phymatous (fibrous) skin thickening and ocular surface disease. Its pathogenesis combines innate-immune dysregulation (cathelicidin/LL-37, kallikrein-5, Toll-like receptor 2), neurovascular hyper-reactivity (TRPV channels), Demodex mite overgrowth and ultraviolet-driven vascular damage. Unlike acne vulgaris it lacks comedones, and in pigmented Indian skin the erythema is often masked, leading to under-recognition.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Rosacea is historically regarded as uncommon in Indian and other skin-of-colour populations, but it is increasingly recognised and remains under-reported. Rosacea and rhinophyma together account for roughly 0.5% of all dermatology out-patient consultations in India, and a distinct iatrogenic steroid-induced (rosacea-like) dermatitis from over-the-counter topical-corticosteroid and fairness-cream misuse is a growing driver of facial rosacea across the country. Global estimates suggest rosacea affects roughly 5% of adults, with the erythematotelangiectatic form the commonest presentation worldwide.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Rosacea is a clinical diagnosis; no laboratory or histological test is confirmatory. The 2017 global ROSacea COnsensus (ROSCO) phenotype-based approach is applied: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either one diagnostic phenotype is sufficient — (a) persistent (fixed) centrofacial erythema in a characteristic pattern that periodically intensifies with triggers, or (b) phymatous changes (skin thickening with irregular surface nodularity);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the absence of a diagnostic phenotype, two or more major phenotypes are required — papules and pustules; flushing (transient centrofacial erythema); telangiectasia; and ocular manifestations (lid-margin telangiectasia, blepharitis, keratitis, conjunctivitis);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secondary/supportive features add weight but are not diagnostic alone — burning or stinging, oedema, and dryness or roughness of the central facial skin;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comedones and a predominantly centrofacial (convex-surface) distribution help distinguish rosacea from acne vulgaris;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pigmented Indian skin where erythema is masked, burning/stinging (aggravated by a warm cloth), dermoscopic polygonal vessels and an elevated Demodex density support the diagnosis; skin biopsy is reserved for atypical or granulomatous cases to exclude lupus erythematosus and sarcoidosis.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Rosacea has traditionally been divided into four subtypes (2002 US National Rosacea Society Expert Committee), now increasingly described as overlapping phenotypes:</w:t>
      </w:r>
    </w:p>
    <w:p>
      <w:pPr>
        <w:spacing w:before="0" w:after="80"/>
      </w:pPr>
      <w:r>
        <w:rPr>
          <w:rFonts w:ascii="Calibri" w:hAnsi="Calibri"/>
          <w:b w:val="0"/>
          <w:i w:val="0"/>
          <w:color w:val="212121"/>
          <w:sz w:val="21"/>
        </w:rPr>
        <w:t>(1) Erythematotelangiectatic rosacea (ETR): persistent central-facial erythema with flushing and telangiectasia; the commonest presentation, about 56.7% of rosacea globally;</w:t>
      </w:r>
    </w:p>
    <w:p>
      <w:pPr>
        <w:spacing w:before="0" w:after="80"/>
      </w:pPr>
      <w:r>
        <w:rPr>
          <w:rFonts w:ascii="Calibri" w:hAnsi="Calibri"/>
          <w:b w:val="0"/>
          <w:i w:val="0"/>
          <w:color w:val="212121"/>
          <w:sz w:val="21"/>
        </w:rPr>
        <w:t>(2) Papulopustular rosacea (PPR): persistent erythema with crops of transient inflammatory papules and pustules and no comedones (about 43.2%); frequently mistaken for acne;</w:t>
      </w:r>
    </w:p>
    <w:p>
      <w:pPr>
        <w:spacing w:before="0" w:after="80"/>
      </w:pPr>
      <w:r>
        <w:rPr>
          <w:rFonts w:ascii="Calibri" w:hAnsi="Calibri"/>
          <w:b w:val="0"/>
          <w:i w:val="0"/>
          <w:color w:val="212121"/>
          <w:sz w:val="21"/>
        </w:rPr>
        <w:t>(3) Phymatous rosacea: thickened skin, patulous follicles and fibrous/sebaceous overgrowth — classically rhinophyma of the nose — chiefly in older men (about 7.4%);</w:t>
      </w:r>
    </w:p>
    <w:p>
      <w:pPr>
        <w:spacing w:before="0" w:after="80"/>
      </w:pPr>
      <w:r>
        <w:rPr>
          <w:rFonts w:ascii="Calibri" w:hAnsi="Calibri"/>
          <w:b w:val="0"/>
          <w:i w:val="0"/>
          <w:color w:val="212121"/>
          <w:sz w:val="21"/>
        </w:rPr>
        <w:t>(4) Ocular rosacea: lid-margin telangiectasia, blepharitis, meibomian-gland dysfunction, dryness and, if untreated, keratitis; it may precede skin disease (about 11% pooled, but up to ~42% in Indian facial-rosacea cohorts);</w:t>
      </w:r>
    </w:p>
    <w:p>
      <w:pPr>
        <w:spacing w:before="0" w:after="80"/>
      </w:pPr>
      <w:r>
        <w:rPr>
          <w:rFonts w:ascii="Calibri" w:hAnsi="Calibri"/>
          <w:b w:val="0"/>
          <w:i w:val="0"/>
          <w:color w:val="212121"/>
          <w:sz w:val="21"/>
        </w:rPr>
        <w:t>a granulomatous variant (firm yellow-brown to red papules on relatively non-inflamed skin) is recognised separately, and a distinct iatrogenic steroid-induced (rosacea-like) dermatitis from topical-corticosteroid misuse is prominent in India.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Innate-immune dysregulation: Over-expression of Toll-like receptor 2 and kallikrein-5 (KLK5) generates abnormal cathelicidin peptides (LL-37) that drive inflammation, angiogenesis and erythema.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Demodex mite overgrowth: A high follicular density of Demodex folliculorum (and associated bacterial antigens) activates TLR2 and the innate-immune cascade; mites are markedly more numerous in rosacea skin.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Neurovascular dysregulation: Hyper-reactive TRPV1/TRPA1 ion channels and vasoactive neuropeptides cause exaggerated vasodilation and flushing in response to heat, spice, ultraviolet light and emotional stress.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Ultraviolet radiation and vascular damage: Chronic sun exposure degrades dermal matrix, generates reactive oxygen species and up-regulates cathelicidin and angiogenesis, aggravating erythema and telangiectasia.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predisposition: Familial clustering and heritable variation in innate immunity and vascular reactivity raise susceptibility, particularly in fair phototypes.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Iatrogenic (steroid-induced): Prolonged application of potent topical corticosteroids to the face causes a rosacea-like dermatitis with rebound erythema on withdrawal — a major driver in India owing to OTC availability and fairness-cream culture.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(30–50 years)</w:t>
            </w:r>
          </w:p>
        </w:tc>
        <w:tc>
          <w:tcPr>
            <w:tcW w:type="dxa" w:w="4276"/>
            <w:vAlign w:val="top"/>
          </w:tcPr>
          <w:p>
            <w:pPr>
              <w:spacing w:after="60" w:line="259" w:lineRule="auto"/>
            </w:pPr>
            <w:r>
              <w:rPr>
                <w:rFonts w:ascii="Calibri" w:hAnsi="Calibri"/>
                <w:b w:val="0"/>
                <w:i w:val="0"/>
                <w:color w:val="212121"/>
                <w:sz w:val="19"/>
              </w:rPr>
              <w:t>Rosacea characteristically emerges in the third to fifth decades as cumulative UV exposure, neurovascular sensitisation and Demodex colonisation increase; onset before 30 is unusual except in steroid-induced disease.</w:t>
            </w:r>
          </w:p>
          <w:p>
            <w:pPr>
              <w:spacing w:after="40" w:before="60" w:line="259" w:lineRule="auto"/>
            </w:pPr>
            <w:r>
              <w:rPr>
                <w:rFonts w:ascii="Calibri" w:hAnsi="Calibri"/>
                <w:b w:val="0"/>
                <w:i w:val="0"/>
                <w:color w:val="212121"/>
                <w:sz w:val="19"/>
              </w:rPr>
              <w:t>Erythematotelangiectatic rosacea, the commonest presentation of this age group, accounts for about 56.7% of rosacea globally.</w:t>
            </w:r>
          </w:p>
          <w:p>
            <w:pPr>
              <w:spacing w:after="40" w:line="252" w:lineRule="auto"/>
            </w:pPr>
            <w:hyperlink r:id="rId9">
              <w:r>
                <w:rPr>
                  <w:rFonts w:ascii="Calibri" w:hAnsi="Calibri" w:cs="Calibri"/>
                  <w:sz w:val="18"/>
                  <w:color w:val="1155CC"/>
                  <w:u w:val="single"/>
                </w:rPr>
                <w:t xml:space="preserve">jamanetwork.com — rosacea subtype frequencies meta-analysis</w:t>
              </w:r>
            </w:hyperlink>
          </w:p>
          <w:p>
            <w:pPr>
              <w:spacing w:before="60" w:after="40"/>
            </w:pPr>
            <w:r>
              <w:rPr>
                <w:rFonts w:ascii="Calibri" w:hAnsi="Calibri"/>
                <w:b w:val="0"/>
                <w:i w:val="0"/>
                <w:color w:val="5A5A5A"/>
                <w:sz w:val="18"/>
              </w:rPr>
              <w:t>#rosacea  #centrofacial  #flushing  #ETR  #neurovascular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(&gt;50 years)</w:t>
            </w:r>
          </w:p>
        </w:tc>
        <w:tc>
          <w:tcPr>
            <w:tcW w:type="dxa" w:w="4276"/>
            <w:vAlign w:val="top"/>
          </w:tcPr>
          <w:p>
            <w:pPr>
              <w:spacing w:after="60" w:line="259" w:lineRule="auto"/>
            </w:pPr>
            <w:r>
              <w:rPr>
                <w:rFonts w:ascii="Calibri" w:hAnsi="Calibri"/>
                <w:b w:val="0"/>
                <w:i w:val="0"/>
                <w:color w:val="212121"/>
                <w:sz w:val="19"/>
              </w:rPr>
              <w:t>Long-standing vasodilation and chronic inflammation favour fixed telangiectasia and phymatous (fibrous) change; sebaceous overgrowth of the nose (rhinophyma) is a late outcome, chiefly in older men.</w:t>
            </w:r>
          </w:p>
          <w:p>
            <w:pPr>
              <w:spacing w:after="40" w:before="60" w:line="259" w:lineRule="auto"/>
            </w:pPr>
            <w:r>
              <w:rPr>
                <w:rFonts w:ascii="Calibri" w:hAnsi="Calibri"/>
                <w:b w:val="0"/>
                <w:i w:val="0"/>
                <w:color w:val="212121"/>
                <w:sz w:val="19"/>
              </w:rPr>
              <w:t>Phymatous rosacea accounts for about 7.4% of cases and clusters in older adults.</w:t>
            </w:r>
          </w:p>
          <w:p>
            <w:pPr>
              <w:spacing w:after="40" w:line="252" w:lineRule="auto"/>
            </w:pPr>
            <w:hyperlink r:id="rId9">
              <w:r>
                <w:rPr>
                  <w:rFonts w:ascii="Calibri" w:hAnsi="Calibri" w:cs="Calibri"/>
                  <w:sz w:val="18"/>
                  <w:color w:val="1155CC"/>
                  <w:u w:val="single"/>
                </w:rPr>
                <w:t xml:space="preserve">jamanetwork.com — rosacea subtype frequencies meta-analysis</w:t>
              </w:r>
            </w:hyperlink>
          </w:p>
          <w:p>
            <w:pPr>
              <w:spacing w:before="60" w:after="40"/>
            </w:pPr>
            <w:r>
              <w:rPr>
                <w:rFonts w:ascii="Calibri" w:hAnsi="Calibri"/>
                <w:b w:val="0"/>
                <w:i w:val="0"/>
                <w:color w:val="5A5A5A"/>
                <w:sz w:val="18"/>
              </w:rPr>
              <w:t>#rhinophyma  #phyma  #telangiectasia  #ageing</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develop rosacea more often overall and tend to present earlier; perimenopausal hormonal flushing and heavier use of cosmetics and skincare products contribute.</w:t>
            </w:r>
          </w:p>
          <w:p>
            <w:pPr>
              <w:spacing w:after="40" w:before="60" w:line="259" w:lineRule="auto"/>
            </w:pPr>
            <w:r>
              <w:rPr>
                <w:rFonts w:ascii="Calibri" w:hAnsi="Calibri"/>
                <w:b w:val="0"/>
                <w:i w:val="0"/>
                <w:color w:val="212121"/>
                <w:sz w:val="19"/>
              </w:rPr>
              <w:t>In an Indian facial-rosacea cohort the male:female ratio was 1:1.5, with a mean age of 35.8 years.</w:t>
            </w:r>
          </w:p>
          <w:p>
            <w:pPr>
              <w:spacing w:after="40" w:line="252" w:lineRule="auto"/>
            </w:pPr>
            <w:hyperlink r:id="rId10">
              <w:r>
                <w:rPr>
                  <w:rFonts w:ascii="Calibri" w:hAnsi="Calibri" w:cs="Calibri"/>
                  <w:sz w:val="18"/>
                  <w:color w:val="1155CC"/>
                  <w:u w:val="single"/>
                </w:rPr>
                <w:t xml:space="preserve">ijced.org — ocular rosacea in an Indian cohort</w:t>
              </w:r>
            </w:hyperlink>
          </w:p>
          <w:p>
            <w:pPr>
              <w:spacing w:before="60" w:after="40"/>
            </w:pPr>
            <w:r>
              <w:rPr>
                <w:rFonts w:ascii="Calibri" w:hAnsi="Calibri"/>
                <w:b w:val="0"/>
                <w:i w:val="0"/>
                <w:color w:val="5A5A5A"/>
                <w:sz w:val="18"/>
              </w:rPr>
              <w:t>#female  #flushing  #menopause  #cosmetics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Although less commonly affected overall, men develop phymatous disease and rhinophyma far more often and tend to present later with more severe fibrotic change.</w:t>
            </w:r>
          </w:p>
          <w:p>
            <w:pPr>
              <w:spacing w:after="40" w:before="60" w:line="259" w:lineRule="auto"/>
            </w:pPr>
            <w:r>
              <w:rPr>
                <w:rFonts w:ascii="Calibri" w:hAnsi="Calibri"/>
                <w:b w:val="0"/>
                <w:i w:val="0"/>
                <w:color w:val="212121"/>
                <w:sz w:val="19"/>
              </w:rPr>
              <w:t>Rhinophyma is overwhelmingly a male phenotype; the phymatous subtype represents about 7.4% of rosacea overall.</w:t>
            </w:r>
          </w:p>
          <w:p>
            <w:pPr>
              <w:spacing w:after="40" w:line="252" w:lineRule="auto"/>
            </w:pPr>
            <w:hyperlink r:id="rId9">
              <w:r>
                <w:rPr>
                  <w:rFonts w:ascii="Calibri" w:hAnsi="Calibri" w:cs="Calibri"/>
                  <w:sz w:val="18"/>
                  <w:color w:val="1155CC"/>
                  <w:u w:val="single"/>
                </w:rPr>
                <w:t xml:space="preserve">jamanetwork.com — rosacea subtype frequencies meta-analysis</w:t>
              </w:r>
            </w:hyperlink>
          </w:p>
          <w:p>
            <w:pPr>
              <w:spacing w:before="60" w:after="40"/>
            </w:pPr>
            <w:r>
              <w:rPr>
                <w:rFonts w:ascii="Calibri" w:hAnsi="Calibri"/>
                <w:b w:val="0"/>
                <w:i w:val="0"/>
                <w:color w:val="5A5A5A"/>
                <w:sz w:val="18"/>
              </w:rPr>
              <w:t>#male  #rhinophyma  #phyma  #severe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Users of OTC topical-steroid &amp; fairness creams</w:t>
            </w:r>
          </w:p>
        </w:tc>
        <w:tc>
          <w:tcPr>
            <w:tcW w:type="dxa" w:w="4276"/>
            <w:vAlign w:val="top"/>
          </w:tcPr>
          <w:p>
            <w:pPr>
              <w:spacing w:after="60" w:line="259" w:lineRule="auto"/>
            </w:pPr>
            <w:r>
              <w:rPr>
                <w:rFonts w:ascii="Calibri" w:hAnsi="Calibri"/>
                <w:b w:val="0"/>
                <w:i w:val="0"/>
                <w:color w:val="212121"/>
                <w:sz w:val="19"/>
              </w:rPr>
              <w:t>Easy over-the-counter access to potent topical corticosteroids and a widespread fairness-cream culture drive steroid-induced (rosacea-like) dermatitis in India, with rebound erythema on withdrawal.</w:t>
            </w:r>
          </w:p>
          <w:p>
            <w:pPr>
              <w:spacing w:after="40" w:before="60" w:line="259" w:lineRule="auto"/>
            </w:pPr>
            <w:r>
              <w:rPr>
                <w:rFonts w:ascii="Calibri" w:hAnsi="Calibri"/>
                <w:b w:val="0"/>
                <w:i w:val="0"/>
                <w:color w:val="212121"/>
                <w:sz w:val="19"/>
              </w:rPr>
              <w:t>Among 110 Indian cases, 98 were women; betamethasone valerate (58%) was the commonest agent, recommended by friends (55.5%) or chemists (25.4%) and by a physician in only 0.9%.</w:t>
            </w:r>
          </w:p>
          <w:p>
            <w:pPr>
              <w:spacing w:after="40" w:line="252" w:lineRule="auto"/>
            </w:pPr>
            <w:hyperlink r:id="rId11">
              <w:r>
                <w:rPr>
                  <w:rFonts w:ascii="Calibri" w:hAnsi="Calibri" w:cs="Calibri"/>
                  <w:sz w:val="18"/>
                  <w:color w:val="1155CC"/>
                  <w:u w:val="single"/>
                </w:rPr>
                <w:t xml:space="preserve">ijdvl.com — topical steroid-induced rosacea-like dermatitis (110 cases)</w:t>
              </w:r>
            </w:hyperlink>
          </w:p>
          <w:p>
            <w:pPr>
              <w:spacing w:before="60" w:after="40"/>
            </w:pPr>
            <w:r>
              <w:rPr>
                <w:rFonts w:ascii="Calibri" w:hAnsi="Calibri"/>
                <w:b w:val="0"/>
                <w:i w:val="0"/>
                <w:color w:val="5A5A5A"/>
                <w:sz w:val="18"/>
              </w:rPr>
              <w:t>#steroidrosacea  #TSDF  #fairnesscream  #rebound  #selfmedication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Fair-skinned (Fitzpatrick I–II)</w:t>
            </w:r>
          </w:p>
        </w:tc>
        <w:tc>
          <w:tcPr>
            <w:tcW w:type="dxa" w:w="4276"/>
            <w:vAlign w:val="top"/>
          </w:tcPr>
          <w:p>
            <w:pPr>
              <w:spacing w:after="60" w:line="259" w:lineRule="auto"/>
            </w:pPr>
            <w:r>
              <w:rPr>
                <w:rFonts w:ascii="Calibri" w:hAnsi="Calibri"/>
                <w:b w:val="0"/>
                <w:i w:val="0"/>
                <w:color w:val="212121"/>
                <w:sz w:val="19"/>
              </w:rPr>
              <w:t>Classical rosacea is most prevalent and most visible in light phototypes of Celtic/North European lineage, where erythema and telangiectasia are readily apparent against pale skin.</w:t>
            </w:r>
          </w:p>
          <w:p>
            <w:pPr>
              <w:spacing w:after="40" w:before="60" w:line="259" w:lineRule="auto"/>
            </w:pPr>
            <w:r>
              <w:rPr>
                <w:rFonts w:ascii="Calibri" w:hAnsi="Calibri"/>
                <w:b w:val="0"/>
                <w:i w:val="0"/>
                <w:color w:val="212121"/>
                <w:sz w:val="19"/>
              </w:rPr>
              <w:t>Prevalence is historically highest in light-skinned populations, in whom the erythematotelangiectatic pattern predominates.</w:t>
            </w:r>
          </w:p>
          <w:p>
            <w:pPr>
              <w:spacing w:after="40" w:line="252" w:lineRule="auto"/>
            </w:pPr>
            <w:hyperlink r:id="rId12">
              <w:r>
                <w:rPr>
                  <w:rFonts w:ascii="Calibri" w:hAnsi="Calibri" w:cs="Calibri"/>
                  <w:sz w:val="18"/>
                  <w:color w:val="1155CC"/>
                  <w:u w:val="single"/>
                </w:rPr>
                <w:t xml:space="preserve">ijdvl.com — rosacea in skin of colour (review)</w:t>
              </w:r>
            </w:hyperlink>
          </w:p>
          <w:p>
            <w:pPr>
              <w:spacing w:before="60" w:after="40"/>
            </w:pPr>
            <w:r>
              <w:rPr>
                <w:rFonts w:ascii="Calibri" w:hAnsi="Calibri"/>
                <w:b w:val="0"/>
                <w:i w:val="0"/>
                <w:color w:val="5A5A5A"/>
                <w:sz w:val="18"/>
              </w:rPr>
              <w:t>#Fitzpatrick  #fairskin  #erythema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Indian &amp; skin-of-colour patients (Fitzpatrick IV–VI)</w:t>
            </w:r>
          </w:p>
        </w:tc>
        <w:tc>
          <w:tcPr>
            <w:tcW w:type="dxa" w:w="4276"/>
            <w:vAlign w:val="top"/>
          </w:tcPr>
          <w:p>
            <w:pPr>
              <w:spacing w:after="60" w:line="259" w:lineRule="auto"/>
            </w:pPr>
            <w:r>
              <w:rPr>
                <w:rFonts w:ascii="Calibri" w:hAnsi="Calibri"/>
                <w:b w:val="0"/>
                <w:i w:val="0"/>
                <w:color w:val="212121"/>
                <w:sz w:val="19"/>
              </w:rPr>
              <w:t>Background pigmentation masks erythema, so rosacea is under-recognised and commonly mistaken for acne, photodermatitis or lupus; burning and stinging become key diagnostic cues.</w:t>
            </w:r>
          </w:p>
          <w:p>
            <w:pPr>
              <w:spacing w:after="40" w:before="60" w:line="259" w:lineRule="auto"/>
            </w:pPr>
            <w:r>
              <w:rPr>
                <w:rFonts w:ascii="Calibri" w:hAnsi="Calibri"/>
                <w:b w:val="0"/>
                <w:i w:val="0"/>
                <w:color w:val="212121"/>
                <w:sz w:val="19"/>
              </w:rPr>
              <w:t>Rosacea and rhinophyma comprise roughly 0.5% of dermatology consultations in India and remain under-reported.</w:t>
            </w:r>
          </w:p>
          <w:p>
            <w:pPr>
              <w:spacing w:after="40" w:line="252" w:lineRule="auto"/>
            </w:pPr>
            <w:hyperlink r:id="rId12">
              <w:r>
                <w:rPr>
                  <w:rFonts w:ascii="Calibri" w:hAnsi="Calibri" w:cs="Calibri"/>
                  <w:sz w:val="18"/>
                  <w:color w:val="1155CC"/>
                  <w:u w:val="single"/>
                </w:rPr>
                <w:t xml:space="preserve">ijdvl.com — rosacea in skin of colour (review)</w:t>
              </w:r>
            </w:hyperlink>
          </w:p>
          <w:p>
            <w:pPr>
              <w:spacing w:before="60" w:after="40"/>
            </w:pPr>
            <w:r>
              <w:rPr>
                <w:rFonts w:ascii="Calibri" w:hAnsi="Calibri"/>
                <w:b w:val="0"/>
                <w:i w:val="0"/>
                <w:color w:val="5A5A5A"/>
                <w:sz w:val="18"/>
              </w:rPr>
              <w:t>#skinofcolor  #underdiagnosed  #India  #misdiagnosis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UV exposure</w:t>
            </w:r>
          </w:p>
        </w:tc>
        <w:tc>
          <w:tcPr>
            <w:tcW w:type="dxa" w:w="2160"/>
            <w:vAlign w:val="top"/>
          </w:tcPr>
          <w:p>
            <w:pPr>
              <w:spacing w:after="40" w:before="0" w:line="259" w:lineRule="auto"/>
            </w:pPr>
            <w:r>
              <w:rPr>
                <w:rFonts w:ascii="Calibri" w:hAnsi="Calibri"/>
                <w:b w:val="0"/>
                <w:i w:val="0"/>
                <w:color w:val="212121"/>
                <w:sz w:val="19"/>
              </w:rPr>
              <w:t>High-UV &amp; outdoor settings (tropical sun, high altitude)</w:t>
            </w:r>
          </w:p>
        </w:tc>
        <w:tc>
          <w:tcPr>
            <w:tcW w:type="dxa" w:w="4276"/>
            <w:vAlign w:val="top"/>
          </w:tcPr>
          <w:p>
            <w:pPr>
              <w:spacing w:after="60" w:line="259" w:lineRule="auto"/>
            </w:pPr>
            <w:r>
              <w:rPr>
                <w:rFonts w:ascii="Calibri" w:hAnsi="Calibri"/>
                <w:b w:val="0"/>
                <w:i w:val="0"/>
                <w:color w:val="212121"/>
                <w:sz w:val="19"/>
              </w:rPr>
              <w:t>Chronic ultraviolet exposure degrades dermal collagen, promotes reactive vasodilation and up-regulates cathelicidin, aggravating erythema; India's intense sun and Himalayan high-altitude UV heighten risk for outdoor workers.</w:t>
            </w:r>
          </w:p>
          <w:p>
            <w:pPr>
              <w:spacing w:after="40" w:before="60" w:line="259" w:lineRule="auto"/>
            </w:pPr>
            <w:r>
              <w:rPr>
                <w:rFonts w:ascii="Calibri" w:hAnsi="Calibri"/>
                <w:b w:val="0"/>
                <w:i w:val="0"/>
                <w:color w:val="212121"/>
                <w:sz w:val="19"/>
              </w:rPr>
              <w:t>Sun exposure is the single most common trigger, reported by 81% of patients.</w:t>
            </w:r>
          </w:p>
          <w:p>
            <w:pPr>
              <w:spacing w:after="40" w:line="252" w:lineRule="auto"/>
            </w:pPr>
            <w:hyperlink r:id="rId13">
              <w:r>
                <w:rPr>
                  <w:rFonts w:ascii="Calibri" w:hAnsi="Calibri" w:cs="Calibri"/>
                  <w:sz w:val="18"/>
                  <w:color w:val="1155CC"/>
                  <w:u w:val="single"/>
                </w:rPr>
                <w:t xml:space="preserve">rosacea.org — NRS trigger survey (1,066 patients)</w:t>
              </w:r>
            </w:hyperlink>
          </w:p>
          <w:p>
            <w:pPr>
              <w:spacing w:before="60" w:after="40"/>
            </w:pPr>
            <w:r>
              <w:rPr>
                <w:rFonts w:ascii="Calibri" w:hAnsi="Calibri"/>
                <w:b w:val="0"/>
                <w:i w:val="0"/>
                <w:color w:val="5A5A5A"/>
                <w:sz w:val="18"/>
              </w:rPr>
              <w:t>#UV  #photoaggravation  #outdoorwork  #highaltitude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Sun &amp; heat exposure</w:t>
            </w:r>
          </w:p>
        </w:tc>
        <w:tc>
          <w:tcPr>
            <w:tcW w:type="dxa" w:w="2160"/>
            <w:vAlign w:val="top"/>
          </w:tcPr>
          <w:p>
            <w:pPr>
              <w:spacing w:after="40" w:before="0" w:line="259" w:lineRule="auto"/>
            </w:pPr>
            <w:r>
              <w:rPr>
                <w:rFonts w:ascii="Calibri" w:hAnsi="Calibri"/>
                <w:b w:val="0"/>
                <w:i w:val="0"/>
                <w:color w:val="212121"/>
                <w:sz w:val="19"/>
              </w:rPr>
              <w:t>Outdoor workers, cooks, hot-kitchen staff</w:t>
            </w:r>
          </w:p>
        </w:tc>
        <w:tc>
          <w:tcPr>
            <w:tcW w:type="dxa" w:w="4276"/>
            <w:vAlign w:val="top"/>
          </w:tcPr>
          <w:p>
            <w:pPr>
              <w:spacing w:after="60" w:line="259" w:lineRule="auto"/>
            </w:pPr>
            <w:r>
              <w:rPr>
                <w:rFonts w:ascii="Calibri" w:hAnsi="Calibri"/>
                <w:b w:val="0"/>
                <w:i w:val="0"/>
                <w:color w:val="212121"/>
                <w:sz w:val="19"/>
              </w:rPr>
              <w:t>Radiant and ambient heat provoke flushing through thermoregulatory vasodilation and TRPV activation; sustained occupational heat exposure maintains flares.</w:t>
            </w:r>
          </w:p>
          <w:p>
            <w:pPr>
              <w:spacing w:after="40" w:before="60" w:line="259" w:lineRule="auto"/>
            </w:pPr>
            <w:r>
              <w:rPr>
                <w:rFonts w:ascii="Calibri" w:hAnsi="Calibri"/>
                <w:b w:val="0"/>
                <w:i w:val="0"/>
                <w:color w:val="212121"/>
                <w:sz w:val="19"/>
              </w:rPr>
              <w:t>Hot weather triggers 75% of patients, indoor heat 41% and hot baths 51%.</w:t>
            </w:r>
          </w:p>
          <w:p>
            <w:pPr>
              <w:spacing w:after="40" w:line="252" w:lineRule="auto"/>
            </w:pPr>
            <w:hyperlink r:id="rId13">
              <w:r>
                <w:rPr>
                  <w:rFonts w:ascii="Calibri" w:hAnsi="Calibri" w:cs="Calibri"/>
                  <w:sz w:val="18"/>
                  <w:color w:val="1155CC"/>
                  <w:u w:val="single"/>
                </w:rPr>
                <w:t xml:space="preserve">rosacea.org — NRS trigger survey (1,066 patients)</w:t>
              </w:r>
            </w:hyperlink>
          </w:p>
          <w:p>
            <w:pPr>
              <w:spacing w:before="60" w:after="40"/>
            </w:pPr>
            <w:r>
              <w:rPr>
                <w:rFonts w:ascii="Calibri" w:hAnsi="Calibri"/>
                <w:b w:val="0"/>
                <w:i w:val="0"/>
                <w:color w:val="5A5A5A"/>
                <w:sz w:val="18"/>
              </w:rPr>
              <w:t>#heat  #flushing  #thermoregulation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and former smokers</w:t>
            </w:r>
          </w:p>
        </w:tc>
        <w:tc>
          <w:tcPr>
            <w:tcW w:type="dxa" w:w="4276"/>
            <w:vAlign w:val="top"/>
          </w:tcPr>
          <w:p>
            <w:pPr>
              <w:spacing w:after="60" w:line="259" w:lineRule="auto"/>
            </w:pPr>
            <w:r>
              <w:rPr>
                <w:rFonts w:ascii="Calibri" w:hAnsi="Calibri"/>
                <w:b w:val="0"/>
                <w:i w:val="0"/>
                <w:color w:val="212121"/>
                <w:sz w:val="19"/>
              </w:rPr>
              <w:t>Smoking alters the cutaneous microvasculature and dermal matrix and accelerates telangiectasia and skin ageing; former smoking is associated with increased rosacea risk, while current-smoking associations are inconsistent.</w:t>
            </w:r>
          </w:p>
          <w:p>
            <w:pPr>
              <w:spacing w:before="60" w:after="40"/>
            </w:pPr>
            <w:r>
              <w:rPr>
                <w:rFonts w:ascii="Calibri" w:hAnsi="Calibri"/>
                <w:b w:val="0"/>
                <w:i w:val="0"/>
                <w:color w:val="5A5A5A"/>
                <w:sz w:val="18"/>
              </w:rPr>
              <w:t>#smoking  #vascular  #telangiectasia  #skinageing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drinkers</w:t>
            </w:r>
          </w:p>
        </w:tc>
        <w:tc>
          <w:tcPr>
            <w:tcW w:type="dxa" w:w="4276"/>
            <w:vAlign w:val="top"/>
          </w:tcPr>
          <w:p>
            <w:pPr>
              <w:spacing w:after="60" w:line="259" w:lineRule="auto"/>
            </w:pPr>
            <w:r>
              <w:rPr>
                <w:rFonts w:ascii="Calibri" w:hAnsi="Calibri"/>
                <w:b w:val="0"/>
                <w:i w:val="0"/>
                <w:color w:val="212121"/>
                <w:sz w:val="19"/>
              </w:rPr>
              <w:t>Alcohol, especially red wine and spirits, causes acetaldehyde-mediated vasodilation and flushing and shows a dose-dependent association with rosacea risk in women.</w:t>
            </w:r>
          </w:p>
          <w:p>
            <w:pPr>
              <w:spacing w:after="40" w:before="60" w:line="259" w:lineRule="auto"/>
            </w:pPr>
            <w:r>
              <w:rPr>
                <w:rFonts w:ascii="Calibri" w:hAnsi="Calibri"/>
                <w:b w:val="0"/>
                <w:i w:val="0"/>
                <w:color w:val="212121"/>
                <w:sz w:val="19"/>
              </w:rPr>
              <w:t>Alcohol triggers flares in 52% of patients.</w:t>
            </w:r>
          </w:p>
          <w:p>
            <w:pPr>
              <w:spacing w:after="40" w:line="252" w:lineRule="auto"/>
            </w:pPr>
            <w:hyperlink r:id="rId13">
              <w:r>
                <w:rPr>
                  <w:rFonts w:ascii="Calibri" w:hAnsi="Calibri" w:cs="Calibri"/>
                  <w:sz w:val="18"/>
                  <w:color w:val="1155CC"/>
                  <w:u w:val="single"/>
                </w:rPr>
                <w:t xml:space="preserve">rosacea.org — NRS trigger survey (1,066 patients)</w:t>
              </w:r>
            </w:hyperlink>
          </w:p>
          <w:p>
            <w:pPr>
              <w:spacing w:before="60" w:after="40"/>
            </w:pPr>
            <w:r>
              <w:rPr>
                <w:rFonts w:ascii="Calibri" w:hAnsi="Calibri"/>
                <w:b w:val="0"/>
                <w:i w:val="0"/>
                <w:color w:val="5A5A5A"/>
                <w:sz w:val="18"/>
              </w:rPr>
              <w:t>#alcohol  #redwine  #vasodilation  #flushing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cardiometabolic</w:t>
            </w:r>
          </w:p>
        </w:tc>
        <w:tc>
          <w:tcPr>
            <w:tcW w:type="dxa" w:w="2160"/>
            <w:vAlign w:val="top"/>
          </w:tcPr>
          <w:p>
            <w:pPr>
              <w:spacing w:after="40" w:before="0" w:line="259" w:lineRule="auto"/>
            </w:pPr>
            <w:r>
              <w:rPr>
                <w:rFonts w:ascii="Calibri" w:hAnsi="Calibri"/>
                <w:b w:val="0"/>
                <w:i w:val="0"/>
                <w:color w:val="212121"/>
                <w:sz w:val="19"/>
              </w:rPr>
              <w:t>High-BMI adults with dyslipidaemia/hypertension</w:t>
            </w:r>
          </w:p>
        </w:tc>
        <w:tc>
          <w:tcPr>
            <w:tcW w:type="dxa" w:w="4276"/>
            <w:vAlign w:val="top"/>
          </w:tcPr>
          <w:p>
            <w:pPr>
              <w:spacing w:after="60" w:line="259" w:lineRule="auto"/>
            </w:pPr>
            <w:r>
              <w:rPr>
                <w:rFonts w:ascii="Calibri" w:hAnsi="Calibri"/>
                <w:b w:val="0"/>
                <w:i w:val="0"/>
                <w:color w:val="212121"/>
                <w:sz w:val="19"/>
              </w:rPr>
              <w:t>Rosacea shares low-grade systemic inflammation with cardiometabolic disease; higher BMI, dyslipidaemia and hypertension associate with increased risk and severity.</w:t>
            </w:r>
          </w:p>
          <w:p>
            <w:pPr>
              <w:spacing w:after="40" w:before="60" w:line="259" w:lineRule="auto"/>
            </w:pPr>
            <w:r>
              <w:rPr>
                <w:rFonts w:ascii="Calibri" w:hAnsi="Calibri"/>
                <w:b w:val="0"/>
                <w:i w:val="0"/>
                <w:color w:val="212121"/>
                <w:sz w:val="19"/>
              </w:rPr>
              <w:t>Rosacea is associated with dyslipidaemia (OR 1.41), hypertension (OR ~1.17–1.20) and insulin resistance (OR 2.34).</w:t>
            </w:r>
          </w:p>
          <w:p>
            <w:pPr>
              <w:spacing w:after="40" w:line="252" w:lineRule="auto"/>
            </w:pPr>
            <w:hyperlink r:id="rId14">
              <w:r>
                <w:rPr>
                  <w:rFonts w:ascii="Calibri" w:hAnsi="Calibri" w:cs="Calibri"/>
                  <w:sz w:val="18"/>
                  <w:color w:val="1155CC"/>
                  <w:u w:val="single"/>
                </w:rPr>
                <w:t xml:space="preserve">pmc.ncbi.nlm.nih.gov — cardiovascular risk &amp; comorbidities meta-analysis</w:t>
              </w:r>
            </w:hyperlink>
          </w:p>
          <w:p>
            <w:pPr>
              <w:spacing w:before="60" w:after="40"/>
            </w:pPr>
            <w:r>
              <w:rPr>
                <w:rFonts w:ascii="Calibri" w:hAnsi="Calibri"/>
                <w:b w:val="0"/>
                <w:i w:val="0"/>
                <w:color w:val="5A5A5A"/>
                <w:sz w:val="18"/>
              </w:rPr>
              <w:t>#cardiometabolic  #dyslipidemia  #hypertension  #inflammation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Spicy &amp; capsaicin-rich food</w:t>
            </w:r>
          </w:p>
        </w:tc>
        <w:tc>
          <w:tcPr>
            <w:tcW w:type="dxa" w:w="2160"/>
            <w:vAlign w:val="top"/>
          </w:tcPr>
          <w:p>
            <w:pPr>
              <w:spacing w:after="40" w:before="0" w:line="259" w:lineRule="auto"/>
            </w:pPr>
            <w:r>
              <w:rPr>
                <w:rFonts w:ascii="Calibri" w:hAnsi="Calibri"/>
                <w:b w:val="0"/>
                <w:i w:val="0"/>
                <w:color w:val="212121"/>
                <w:sz w:val="19"/>
              </w:rPr>
              <w:t>Chilli-heavy Indian diets</w:t>
            </w:r>
          </w:p>
        </w:tc>
        <w:tc>
          <w:tcPr>
            <w:tcW w:type="dxa" w:w="4276"/>
            <w:vAlign w:val="top"/>
          </w:tcPr>
          <w:p>
            <w:pPr>
              <w:spacing w:after="60" w:line="259" w:lineRule="auto"/>
            </w:pPr>
            <w:r>
              <w:rPr>
                <w:rFonts w:ascii="Calibri" w:hAnsi="Calibri"/>
                <w:b w:val="0"/>
                <w:i w:val="0"/>
                <w:color w:val="212121"/>
                <w:sz w:val="19"/>
              </w:rPr>
              <w:t>Capsaicin activates TRPV1 receptors while the temperature of hot food triggers neurogenic flushing; the chilli content of much Indian cuisine is a frequent provoker.</w:t>
            </w:r>
          </w:p>
          <w:p>
            <w:pPr>
              <w:spacing w:after="40" w:before="60" w:line="259" w:lineRule="auto"/>
            </w:pPr>
            <w:r>
              <w:rPr>
                <w:rFonts w:ascii="Calibri" w:hAnsi="Calibri"/>
                <w:b w:val="0"/>
                <w:i w:val="0"/>
                <w:color w:val="212121"/>
                <w:sz w:val="19"/>
              </w:rPr>
              <w:t>Spicy foods trigger flares in 45% of patients.</w:t>
            </w:r>
          </w:p>
          <w:p>
            <w:pPr>
              <w:spacing w:after="40" w:line="252" w:lineRule="auto"/>
            </w:pPr>
            <w:hyperlink r:id="rId13">
              <w:r>
                <w:rPr>
                  <w:rFonts w:ascii="Calibri" w:hAnsi="Calibri" w:cs="Calibri"/>
                  <w:sz w:val="18"/>
                  <w:color w:val="1155CC"/>
                  <w:u w:val="single"/>
                </w:rPr>
                <w:t xml:space="preserve">rosacea.org — NRS trigger survey (1,066 patients)</w:t>
              </w:r>
            </w:hyperlink>
          </w:p>
          <w:p>
            <w:pPr>
              <w:spacing w:before="60" w:after="40"/>
            </w:pPr>
            <w:r>
              <w:rPr>
                <w:rFonts w:ascii="Calibri" w:hAnsi="Calibri"/>
                <w:b w:val="0"/>
                <w:i w:val="0"/>
                <w:color w:val="5A5A5A"/>
                <w:sz w:val="18"/>
              </w:rPr>
              <w:t>#capsaicin  #TRPV1  #spicyfood  #chilli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Hot beverages</w:t>
            </w:r>
          </w:p>
        </w:tc>
        <w:tc>
          <w:tcPr>
            <w:tcW w:type="dxa" w:w="2160"/>
            <w:vAlign w:val="top"/>
          </w:tcPr>
          <w:p>
            <w:pPr>
              <w:spacing w:after="40" w:before="0" w:line="259" w:lineRule="auto"/>
            </w:pPr>
            <w:r>
              <w:rPr>
                <w:rFonts w:ascii="Calibri" w:hAnsi="Calibri"/>
                <w:b w:val="0"/>
                <w:i w:val="0"/>
                <w:color w:val="212121"/>
                <w:sz w:val="19"/>
              </w:rPr>
              <w:t>Frequent hot chai/coffee drinkers</w:t>
            </w:r>
          </w:p>
        </w:tc>
        <w:tc>
          <w:tcPr>
            <w:tcW w:type="dxa" w:w="4276"/>
            <w:vAlign w:val="top"/>
          </w:tcPr>
          <w:p>
            <w:pPr>
              <w:spacing w:after="60" w:line="259" w:lineRule="auto"/>
            </w:pPr>
            <w:r>
              <w:rPr>
                <w:rFonts w:ascii="Calibri" w:hAnsi="Calibri"/>
                <w:b w:val="0"/>
                <w:i w:val="0"/>
                <w:color w:val="212121"/>
                <w:sz w:val="19"/>
              </w:rPr>
              <w:t>The thermal load of very hot drinks — rather than caffeine itself — drives flushing; cinnamaldehyde- and histamine-rich foods may add to the effect.</w:t>
            </w:r>
          </w:p>
          <w:p>
            <w:pPr>
              <w:spacing w:after="40" w:before="60" w:line="259" w:lineRule="auto"/>
            </w:pPr>
            <w:r>
              <w:rPr>
                <w:rFonts w:ascii="Calibri" w:hAnsi="Calibri"/>
                <w:b w:val="0"/>
                <w:i w:val="0"/>
                <w:color w:val="212121"/>
                <w:sz w:val="19"/>
              </w:rPr>
              <w:t>Heated beverages provoke flares in 36% of patients.</w:t>
            </w:r>
          </w:p>
          <w:p>
            <w:pPr>
              <w:spacing w:after="40" w:line="252" w:lineRule="auto"/>
            </w:pPr>
            <w:hyperlink r:id="rId13">
              <w:r>
                <w:rPr>
                  <w:rFonts w:ascii="Calibri" w:hAnsi="Calibri" w:cs="Calibri"/>
                  <w:sz w:val="18"/>
                  <w:color w:val="1155CC"/>
                  <w:u w:val="single"/>
                </w:rPr>
                <w:t xml:space="preserve">rosacea.org — NRS trigger survey (1,066 patients)</w:t>
              </w:r>
            </w:hyperlink>
          </w:p>
          <w:p>
            <w:pPr>
              <w:spacing w:before="60" w:after="40"/>
            </w:pPr>
            <w:r>
              <w:rPr>
                <w:rFonts w:ascii="Calibri" w:hAnsi="Calibri"/>
                <w:b w:val="0"/>
                <w:i w:val="0"/>
                <w:color w:val="5A5A5A"/>
                <w:sz w:val="18"/>
              </w:rPr>
              <w:t>#hotbeverage  #chai  #coffee  #flushing</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rosacea</w:t>
            </w:r>
          </w:p>
        </w:tc>
        <w:tc>
          <w:tcPr>
            <w:tcW w:type="dxa" w:w="4276"/>
            <w:vAlign w:val="top"/>
          </w:tcPr>
          <w:p>
            <w:pPr>
              <w:spacing w:after="60" w:line="259" w:lineRule="auto"/>
            </w:pPr>
            <w:r>
              <w:rPr>
                <w:rFonts w:ascii="Calibri" w:hAnsi="Calibri"/>
                <w:b w:val="0"/>
                <w:i w:val="0"/>
                <w:color w:val="212121"/>
                <w:sz w:val="19"/>
              </w:rPr>
              <w:t>Rosacea clusters in families; heritable variation in innate immunity (cathelicidin/KLK5) and vascular reactivity predisposes, alongside shared phototype and environment.</w:t>
            </w:r>
          </w:p>
          <w:p>
            <w:pPr>
              <w:spacing w:after="40" w:before="60" w:line="259" w:lineRule="auto"/>
            </w:pPr>
            <w:r>
              <w:rPr>
                <w:rFonts w:ascii="Calibri" w:hAnsi="Calibri"/>
                <w:b w:val="0"/>
                <w:i w:val="0"/>
                <w:color w:val="212121"/>
                <w:sz w:val="19"/>
              </w:rPr>
              <w:t>Genetic predisposition and familial clustering are well recognised, particularly in fair phototypes.</w:t>
            </w:r>
          </w:p>
          <w:p>
            <w:pPr>
              <w:spacing w:after="40" w:line="252" w:lineRule="auto"/>
            </w:pPr>
            <w:hyperlink r:id="rId15">
              <w:r>
                <w:rPr>
                  <w:rFonts w:ascii="Calibri" w:hAnsi="Calibri" w:cs="Calibri"/>
                  <w:sz w:val="18"/>
                  <w:color w:val="1155CC"/>
                  <w:u w:val="single"/>
                </w:rPr>
                <w:t xml:space="preserve">ncbi.nlm.nih.gov — Rosacea (StatPearls)</w:t>
              </w:r>
            </w:hyperlink>
          </w:p>
          <w:p>
            <w:pPr>
              <w:spacing w:before="60" w:after="40"/>
            </w:pPr>
            <w:r>
              <w:rPr>
                <w:rFonts w:ascii="Calibri" w:hAnsi="Calibri"/>
                <w:b w:val="0"/>
                <w:i w:val="0"/>
                <w:color w:val="5A5A5A"/>
                <w:sz w:val="18"/>
              </w:rPr>
              <w:t>#familyhistory  #genetic  #innateimmunity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Demodicosis</w:t>
            </w:r>
          </w:p>
        </w:tc>
        <w:tc>
          <w:tcPr>
            <w:tcW w:type="dxa" w:w="2160"/>
            <w:vAlign w:val="top"/>
          </w:tcPr>
          <w:p>
            <w:pPr>
              <w:spacing w:after="40" w:before="0" w:line="259" w:lineRule="auto"/>
            </w:pPr>
            <w:r>
              <w:rPr>
                <w:rFonts w:ascii="Calibri" w:hAnsi="Calibri"/>
                <w:b w:val="0"/>
                <w:i w:val="0"/>
                <w:color w:val="212121"/>
                <w:sz w:val="19"/>
              </w:rPr>
              <w:t>Patients with high Demodex density</w:t>
            </w:r>
          </w:p>
        </w:tc>
        <w:tc>
          <w:tcPr>
            <w:tcW w:type="dxa" w:w="4276"/>
            <w:vAlign w:val="top"/>
          </w:tcPr>
          <w:p>
            <w:pPr>
              <w:spacing w:after="60" w:line="259" w:lineRule="auto"/>
            </w:pPr>
            <w:r>
              <w:rPr>
                <w:rFonts w:ascii="Calibri" w:hAnsi="Calibri"/>
                <w:b w:val="0"/>
                <w:i w:val="0"/>
                <w:color w:val="212121"/>
                <w:sz w:val="19"/>
              </w:rPr>
              <w:t>Demodex folliculorum overgrowth activates Toll-like receptor 2 and the innate-immune cascade, amplifying papulopustular inflammation; mite density is markedly higher in rosacea skin.</w:t>
            </w:r>
          </w:p>
          <w:p>
            <w:pPr>
              <w:spacing w:after="40" w:before="60" w:line="259" w:lineRule="auto"/>
            </w:pPr>
            <w:r>
              <w:rPr>
                <w:rFonts w:ascii="Calibri" w:hAnsi="Calibri"/>
                <w:b w:val="0"/>
                <w:i w:val="0"/>
                <w:color w:val="212121"/>
                <w:sz w:val="19"/>
              </w:rPr>
              <w:t>Pooled Demodex prevalence is 70.4% in rosacea versus 31.8% in controls (OR 9.04, 95% CI 4.83–16.93).</w:t>
            </w:r>
          </w:p>
          <w:p>
            <w:pPr>
              <w:spacing w:after="40" w:line="252" w:lineRule="auto"/>
            </w:pPr>
            <w:hyperlink r:id="rId16">
              <w:r>
                <w:rPr>
                  <w:rFonts w:ascii="Calibri" w:hAnsi="Calibri" w:cs="Calibri"/>
                  <w:sz w:val="18"/>
                  <w:color w:val="1155CC"/>
                  <w:u w:val="single"/>
                </w:rPr>
                <w:t xml:space="preserve">dovepress.com — Rosacea: practical guidance (review)</w:t>
              </w:r>
            </w:hyperlink>
          </w:p>
          <w:p>
            <w:pPr>
              <w:spacing w:before="60" w:after="40"/>
            </w:pPr>
            <w:r>
              <w:rPr>
                <w:rFonts w:ascii="Calibri" w:hAnsi="Calibri"/>
                <w:b w:val="0"/>
                <w:i w:val="0"/>
                <w:color w:val="5A5A5A"/>
                <w:sz w:val="18"/>
              </w:rPr>
              <w:t>#Demodex  #TLR2  #mites  #papulopustular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Ocular surface disease</w:t>
            </w:r>
          </w:p>
        </w:tc>
        <w:tc>
          <w:tcPr>
            <w:tcW w:type="dxa" w:w="2160"/>
            <w:vAlign w:val="top"/>
          </w:tcPr>
          <w:p>
            <w:pPr>
              <w:spacing w:after="40" w:before="0" w:line="259" w:lineRule="auto"/>
            </w:pPr>
            <w:r>
              <w:rPr>
                <w:rFonts w:ascii="Calibri" w:hAnsi="Calibri"/>
                <w:b w:val="0"/>
                <w:i w:val="0"/>
                <w:color w:val="212121"/>
                <w:sz w:val="19"/>
              </w:rPr>
              <w:t>Ocular rosacea</w:t>
            </w:r>
          </w:p>
        </w:tc>
        <w:tc>
          <w:tcPr>
            <w:tcW w:type="dxa" w:w="4276"/>
            <w:vAlign w:val="top"/>
          </w:tcPr>
          <w:p>
            <w:pPr>
              <w:spacing w:after="60" w:line="259" w:lineRule="auto"/>
            </w:pPr>
            <w:r>
              <w:rPr>
                <w:rFonts w:ascii="Calibri" w:hAnsi="Calibri"/>
                <w:b w:val="0"/>
                <w:i w:val="0"/>
                <w:color w:val="212121"/>
                <w:sz w:val="19"/>
              </w:rPr>
              <w:t>Meibomian-gland dysfunction and lid-margin inflammation cause dry, gritty, burning eyes; ocular involvement often coexists with or precedes skin disease and is easily overlooked.</w:t>
            </w:r>
          </w:p>
          <w:p>
            <w:pPr>
              <w:spacing w:after="40" w:before="60" w:line="259" w:lineRule="auto"/>
            </w:pPr>
            <w:r>
              <w:rPr>
                <w:rFonts w:ascii="Calibri" w:hAnsi="Calibri"/>
                <w:b w:val="0"/>
                <w:i w:val="0"/>
                <w:color w:val="212121"/>
                <w:sz w:val="19"/>
              </w:rPr>
              <w:t>Ocular involvement was present in 41.62% of an Indian facial-rosacea cohort (30/72); dryness 66.7% and stinging 46.7% were the leading symptoms.</w:t>
            </w:r>
          </w:p>
          <w:p>
            <w:pPr>
              <w:spacing w:after="40" w:line="252" w:lineRule="auto"/>
            </w:pPr>
            <w:hyperlink r:id="rId10">
              <w:r>
                <w:rPr>
                  <w:rFonts w:ascii="Calibri" w:hAnsi="Calibri" w:cs="Calibri"/>
                  <w:sz w:val="18"/>
                  <w:color w:val="1155CC"/>
                  <w:u w:val="single"/>
                </w:rPr>
                <w:t xml:space="preserve">ijced.org — ocular rosacea in an Indian cohort</w:t>
              </w:r>
            </w:hyperlink>
          </w:p>
          <w:p>
            <w:pPr>
              <w:spacing w:before="60" w:after="40"/>
            </w:pPr>
            <w:r>
              <w:rPr>
                <w:rFonts w:ascii="Calibri" w:hAnsi="Calibri"/>
                <w:b w:val="0"/>
                <w:i w:val="0"/>
                <w:color w:val="5A5A5A"/>
                <w:sz w:val="18"/>
              </w:rPr>
              <w:t>#ocularrosacea  #blepharitis  #dryeye  #meibomian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&amp; anxiety</w:t>
            </w:r>
          </w:p>
        </w:tc>
        <w:tc>
          <w:tcPr>
            <w:tcW w:type="dxa" w:w="2160"/>
            <w:vAlign w:val="top"/>
          </w:tcPr>
          <w:p>
            <w:pPr>
              <w:spacing w:after="40" w:before="0" w:line="259" w:lineRule="auto"/>
            </w:pPr>
            <w:r>
              <w:rPr>
                <w:rFonts w:ascii="Calibri" w:hAnsi="Calibri"/>
                <w:b w:val="0"/>
                <w:i w:val="0"/>
                <w:color w:val="212121"/>
                <w:sz w:val="19"/>
              </w:rPr>
              <w:t>Patients with visible facial disease</w:t>
            </w:r>
          </w:p>
        </w:tc>
        <w:tc>
          <w:tcPr>
            <w:tcW w:type="dxa" w:w="4276"/>
            <w:vAlign w:val="top"/>
          </w:tcPr>
          <w:p>
            <w:pPr>
              <w:spacing w:after="60" w:line="259" w:lineRule="auto"/>
            </w:pPr>
            <w:r>
              <w:rPr>
                <w:rFonts w:ascii="Calibri" w:hAnsi="Calibri"/>
                <w:b w:val="0"/>
                <w:i w:val="0"/>
                <w:color w:val="212121"/>
                <w:sz w:val="19"/>
              </w:rPr>
              <w:t>Visible facial redness, unpredictable flares and stress-flushing feedback loops raise psychiatric burden; the relationship is bidirectional.</w:t>
            </w:r>
          </w:p>
          <w:p>
            <w:pPr>
              <w:spacing w:after="40" w:before="60" w:line="259" w:lineRule="auto"/>
            </w:pPr>
            <w:r>
              <w:rPr>
                <w:rFonts w:ascii="Calibri" w:hAnsi="Calibri"/>
                <w:b w:val="0"/>
                <w:i w:val="0"/>
                <w:color w:val="212121"/>
                <w:sz w:val="19"/>
              </w:rPr>
              <w:t>Rosacea patients have higher odds of depression (OR 2.86) and anxiety (OR 2.37), with cohort risks of incident depression (IRR 2.44) and anxiety (IRR 2.18).</w:t>
            </w:r>
          </w:p>
          <w:p>
            <w:pPr>
              <w:spacing w:after="40" w:line="252" w:lineRule="auto"/>
            </w:pPr>
            <w:hyperlink r:id="rId17">
              <w:r>
                <w:rPr>
                  <w:rFonts w:ascii="Calibri" w:hAnsi="Calibri" w:cs="Calibri"/>
                  <w:sz w:val="18"/>
                  <w:color w:val="1155CC"/>
                  <w:u w:val="single"/>
                </w:rPr>
                <w:t xml:space="preserve">ajmc.com — rosacea linked with anxiety &amp; depression (meta-analysis)</w:t>
              </w:r>
            </w:hyperlink>
          </w:p>
          <w:p>
            <w:pPr>
              <w:spacing w:before="60" w:after="40"/>
            </w:pPr>
            <w:r>
              <w:rPr>
                <w:rFonts w:ascii="Calibri" w:hAnsi="Calibri"/>
                <w:b w:val="0"/>
                <w:i w:val="0"/>
                <w:color w:val="5A5A5A"/>
                <w:sz w:val="18"/>
              </w:rPr>
              <w:t>#depression  #anxiety  #psychodermatology  #qualityoflife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Gut dysbiosis (SIBO)</w:t>
            </w:r>
          </w:p>
        </w:tc>
        <w:tc>
          <w:tcPr>
            <w:tcW w:type="dxa" w:w="2160"/>
            <w:vAlign w:val="top"/>
          </w:tcPr>
          <w:p>
            <w:pPr>
              <w:spacing w:after="40" w:before="0" w:line="259" w:lineRule="auto"/>
            </w:pPr>
            <w:r>
              <w:rPr>
                <w:rFonts w:ascii="Calibri" w:hAnsi="Calibri"/>
                <w:b w:val="0"/>
                <w:i w:val="0"/>
                <w:color w:val="212121"/>
                <w:sz w:val="19"/>
              </w:rPr>
              <w:t>Papulopustular rosacea with GI symptoms</w:t>
            </w:r>
          </w:p>
        </w:tc>
        <w:tc>
          <w:tcPr>
            <w:tcW w:type="dxa" w:w="4276"/>
            <w:vAlign w:val="top"/>
          </w:tcPr>
          <w:p>
            <w:pPr>
              <w:spacing w:after="60" w:line="259" w:lineRule="auto"/>
            </w:pPr>
            <w:r>
              <w:rPr>
                <w:rFonts w:ascii="Calibri" w:hAnsi="Calibri"/>
                <w:b w:val="0"/>
                <w:i w:val="0"/>
                <w:color w:val="212121"/>
                <w:sz w:val="19"/>
              </w:rPr>
              <w:t>Small intestinal bacterial overgrowth is over-represented in rosacea, especially the papulopustular form; eradication can markedly improve the skin.</w:t>
            </w:r>
          </w:p>
          <w:p>
            <w:pPr>
              <w:spacing w:after="40" w:before="60" w:line="259" w:lineRule="auto"/>
            </w:pPr>
            <w:r>
              <w:rPr>
                <w:rFonts w:ascii="Calibri" w:hAnsi="Calibri"/>
                <w:b w:val="0"/>
                <w:i w:val="0"/>
                <w:color w:val="212121"/>
                <w:sz w:val="19"/>
              </w:rPr>
              <w:t>Patients with rosacea (particularly PPR) are about 13 times more likely to have SIBO; 64.5% cleared after a course of rifaximin.</w:t>
            </w:r>
          </w:p>
          <w:p>
            <w:pPr>
              <w:spacing w:after="40" w:line="252" w:lineRule="auto"/>
            </w:pPr>
            <w:hyperlink r:id="rId16">
              <w:r>
                <w:rPr>
                  <w:rFonts w:ascii="Calibri" w:hAnsi="Calibri" w:cs="Calibri"/>
                  <w:sz w:val="18"/>
                  <w:color w:val="1155CC"/>
                  <w:u w:val="single"/>
                </w:rPr>
                <w:t xml:space="preserve">dovepress.com — Rosacea: practical guidance (review)</w:t>
              </w:r>
            </w:hyperlink>
          </w:p>
          <w:p>
            <w:pPr>
              <w:spacing w:before="60" w:after="40"/>
            </w:pPr>
            <w:r>
              <w:rPr>
                <w:rFonts w:ascii="Calibri" w:hAnsi="Calibri"/>
                <w:b w:val="0"/>
                <w:i w:val="0"/>
                <w:color w:val="5A5A5A"/>
                <w:sz w:val="18"/>
              </w:rPr>
              <w:t>#SIBO  #gutskinaxis  #PPR  #rifaximin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Vigorous, overheating exercise triggers flushing in about 56% of patients through thermoregulatory vasodilation; moderate activity in a cool environment is safe and helps the associated cardiometabolic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Spicy/capsaicin-rich food (45%) and very hot beverages (36%) provoke neurogenic flushing via TRPV1 channels; histamine- and cinnamaldehyde-rich foods may add.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quality worsens stress, flushing and quality of life, but direct causal links to rosacea onset are weak.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Former smoking is associated with increased rosacea risk and smoking accelerates telangiectasia and dermal ageing; current-smoking associations are inconsistent.</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particularly red wine and spirits, triggers flares in about 52% of patients and shows a dose-dependent association with rosacea risk in women.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Emotional stress is a trigger in about 79% of patients, and rosacea is bidirectionally linked with anxiety and depression.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thermoregulation and barrier function but has no proven direct effect on rosacea activity.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Flushing from tea or coffee is driven mainly by the drink's heat rather than caffeine; caffeine itself appears neutral or mildly protective.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Harsh cleansers, scrubs, alcohol/astringent toners and fragrances damage the skin barrier and aggravate rosacea, while gentle pH-balanced skincare, photoprotection and lid hygiene reduce flares.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Sun/UV (81%), hot weather (75%), wind (57%), temperature extremes, topical corticosteroids and vasodilator drugs are the principal external provokers.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Ultraviolet exposure (UV index)</w:t>
            </w:r>
          </w:p>
        </w:tc>
        <w:tc>
          <w:tcPr>
            <w:tcW w:type="dxa" w:w="1655"/>
            <w:vAlign w:val="top"/>
          </w:tcPr>
          <w:p>
            <w:pPr>
              <w:spacing w:after="40" w:before="0" w:line="259" w:lineRule="auto"/>
            </w:pPr>
            <w:r>
              <w:rPr>
                <w:rFonts w:ascii="Calibri" w:hAnsi="Calibri"/>
                <w:b w:val="0"/>
                <w:i w:val="0"/>
                <w:color w:val="212121"/>
                <w:sz w:val="19"/>
              </w:rPr>
              <w:t>All rosacea patients, outdoor workers</w:t>
            </w:r>
          </w:p>
        </w:tc>
        <w:tc>
          <w:tcPr>
            <w:tcW w:type="dxa" w:w="1512"/>
            <w:vAlign w:val="top"/>
          </w:tcPr>
          <w:p>
            <w:pPr>
              <w:spacing w:after="40" w:before="0" w:line="259" w:lineRule="auto"/>
            </w:pPr>
            <w:r>
              <w:rPr>
                <w:rFonts w:ascii="Calibri" w:hAnsi="Calibri"/>
                <w:b w:val="0"/>
                <w:i w:val="0"/>
                <w:color w:val="212121"/>
                <w:sz w:val="19"/>
              </w:rPr>
              <w:t>Minimise midday sun; daily broad-spectrum SPF 30+</w:t>
            </w:r>
          </w:p>
        </w:tc>
        <w:tc>
          <w:tcPr>
            <w:tcW w:type="dxa" w:w="1512"/>
            <w:vAlign w:val="top"/>
          </w:tcPr>
          <w:p>
            <w:pPr>
              <w:spacing w:after="40" w:before="0" w:line="259" w:lineRule="auto"/>
            </w:pPr>
            <w:r>
              <w:rPr>
                <w:rFonts w:ascii="Calibri" w:hAnsi="Calibri"/>
                <w:b w:val="0"/>
                <w:i w:val="0"/>
                <w:color w:val="212121"/>
                <w:sz w:val="19"/>
              </w:rPr>
              <w:t>UV index ≥ 6; prolonged unprotected exposure</w:t>
            </w:r>
          </w:p>
        </w:tc>
        <w:tc>
          <w:tcPr>
            <w:tcW w:type="dxa" w:w="1468"/>
            <w:vAlign w:val="top"/>
          </w:tcPr>
          <w:p>
            <w:pPr>
              <w:spacing w:after="60" w:line="259" w:lineRule="auto"/>
            </w:pPr>
            <w:r>
              <w:rPr>
                <w:rFonts w:ascii="Calibri" w:hAnsi="Calibri"/>
                <w:b w:val="0"/>
                <w:i w:val="0"/>
                <w:color w:val="212121"/>
                <w:sz w:val="19"/>
              </w:rPr>
              <w:t>Sun is the leading trigger (81%); photoprotection reduces flares</w:t>
            </w:r>
          </w:p>
          <w:p>
            <w:pPr>
              <w:spacing w:after="40" w:line="252" w:lineRule="auto"/>
            </w:pPr>
            <w:hyperlink r:id="rId13">
              <w:r>
                <w:rPr>
                  <w:rFonts w:ascii="Calibri" w:hAnsi="Calibri" w:cs="Calibri"/>
                  <w:sz w:val="18"/>
                  <w:color w:val="1155CC"/>
                  <w:u w:val="single"/>
                </w:rPr>
                <w:t xml:space="preserve">https://www.rosacea.org/rosacea-review/2002/summer/new-survey-pinpoints-leading-factors-that-trigger-symptoms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Ambient / radiant heat</w:t>
            </w:r>
          </w:p>
        </w:tc>
        <w:tc>
          <w:tcPr>
            <w:tcW w:type="dxa" w:w="1655"/>
            <w:vAlign w:val="top"/>
          </w:tcPr>
          <w:p>
            <w:pPr>
              <w:spacing w:after="40" w:before="0" w:line="259" w:lineRule="auto"/>
            </w:pPr>
            <w:r>
              <w:rPr>
                <w:rFonts w:ascii="Calibri" w:hAnsi="Calibri"/>
                <w:b w:val="0"/>
                <w:i w:val="0"/>
                <w:color w:val="212121"/>
                <w:sz w:val="19"/>
              </w:rPr>
              <w:t>Cooks, outdoor &amp; hot-climate workers</w:t>
            </w:r>
          </w:p>
        </w:tc>
        <w:tc>
          <w:tcPr>
            <w:tcW w:type="dxa" w:w="1512"/>
            <w:vAlign w:val="top"/>
          </w:tcPr>
          <w:p>
            <w:pPr>
              <w:spacing w:after="40" w:before="0" w:line="259" w:lineRule="auto"/>
            </w:pPr>
            <w:r>
              <w:rPr>
                <w:rFonts w:ascii="Calibri" w:hAnsi="Calibri"/>
                <w:b w:val="0"/>
                <w:i w:val="0"/>
                <w:color w:val="212121"/>
                <w:sz w:val="19"/>
              </w:rPr>
              <w:t>Cool environment; avoid saunas &amp; very hot baths</w:t>
            </w:r>
          </w:p>
        </w:tc>
        <w:tc>
          <w:tcPr>
            <w:tcW w:type="dxa" w:w="1512"/>
            <w:vAlign w:val="top"/>
          </w:tcPr>
          <w:p>
            <w:pPr>
              <w:spacing w:after="40" w:before="0" w:line="259" w:lineRule="auto"/>
            </w:pPr>
            <w:r>
              <w:rPr>
                <w:rFonts w:ascii="Calibri" w:hAnsi="Calibri"/>
                <w:b w:val="0"/>
                <w:i w:val="0"/>
                <w:color w:val="212121"/>
                <w:sz w:val="19"/>
              </w:rPr>
              <w:t>Hot weather, indoor heat, hot baths</w:t>
            </w:r>
          </w:p>
        </w:tc>
        <w:tc>
          <w:tcPr>
            <w:tcW w:type="dxa" w:w="1468"/>
            <w:vAlign w:val="top"/>
          </w:tcPr>
          <w:p>
            <w:pPr>
              <w:spacing w:after="60" w:line="259" w:lineRule="auto"/>
            </w:pPr>
            <w:r>
              <w:rPr>
                <w:rFonts w:ascii="Calibri" w:hAnsi="Calibri"/>
                <w:b w:val="0"/>
                <w:i w:val="0"/>
                <w:color w:val="212121"/>
                <w:sz w:val="19"/>
              </w:rPr>
              <w:t>Hot weather triggers 75%, hot baths 51%, indoor heat 41%</w:t>
            </w:r>
          </w:p>
          <w:p>
            <w:pPr>
              <w:spacing w:after="40" w:line="252" w:lineRule="auto"/>
            </w:pPr>
            <w:hyperlink r:id="rId13">
              <w:r>
                <w:rPr>
                  <w:rFonts w:ascii="Calibri" w:hAnsi="Calibri" w:cs="Calibri"/>
                  <w:sz w:val="18"/>
                  <w:color w:val="1155CC"/>
                  <w:u w:val="single"/>
                </w:rPr>
                <w:t xml:space="preserve">https://www.rosacea.org/rosacea-review/2002/summer/new-survey-pinpoints-leading-factors-that-trigger-symptoms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Demodex density (mites/cm²)</w:t>
            </w:r>
          </w:p>
        </w:tc>
        <w:tc>
          <w:tcPr>
            <w:tcW w:type="dxa" w:w="1655"/>
            <w:vAlign w:val="top"/>
          </w:tcPr>
          <w:p>
            <w:pPr>
              <w:spacing w:after="40" w:before="0" w:line="259" w:lineRule="auto"/>
            </w:pPr>
            <w:r>
              <w:rPr>
                <w:rFonts w:ascii="Calibri" w:hAnsi="Calibri"/>
                <w:b w:val="0"/>
                <w:i w:val="0"/>
                <w:color w:val="212121"/>
                <w:sz w:val="19"/>
              </w:rPr>
              <w:t>Papulopustular / refractory rosacea</w:t>
            </w:r>
          </w:p>
        </w:tc>
        <w:tc>
          <w:tcPr>
            <w:tcW w:type="dxa" w:w="1512"/>
            <w:vAlign w:val="top"/>
          </w:tcPr>
          <w:p>
            <w:pPr>
              <w:spacing w:after="40" w:before="0" w:line="259" w:lineRule="auto"/>
            </w:pPr>
            <w:r>
              <w:rPr>
                <w:rFonts w:ascii="Calibri" w:hAnsi="Calibri"/>
                <w:b w:val="0"/>
                <w:i w:val="0"/>
                <w:color w:val="212121"/>
                <w:sz w:val="19"/>
              </w:rPr>
              <w:t>&lt; 5 mites/cm²</w:t>
            </w:r>
          </w:p>
        </w:tc>
        <w:tc>
          <w:tcPr>
            <w:tcW w:type="dxa" w:w="1512"/>
            <w:vAlign w:val="top"/>
          </w:tcPr>
          <w:p>
            <w:pPr>
              <w:spacing w:after="40" w:before="0" w:line="259" w:lineRule="auto"/>
            </w:pPr>
            <w:r>
              <w:rPr>
                <w:rFonts w:ascii="Calibri" w:hAnsi="Calibri"/>
                <w:b w:val="0"/>
                <w:i w:val="0"/>
                <w:color w:val="212121"/>
                <w:sz w:val="19"/>
              </w:rPr>
              <w:t>≥ 5 mites/cm²</w:t>
            </w:r>
          </w:p>
        </w:tc>
        <w:tc>
          <w:tcPr>
            <w:tcW w:type="dxa" w:w="1468"/>
            <w:vAlign w:val="top"/>
          </w:tcPr>
          <w:p>
            <w:pPr>
              <w:spacing w:after="60" w:line="259" w:lineRule="auto"/>
            </w:pPr>
            <w:r>
              <w:rPr>
                <w:rFonts w:ascii="Calibri" w:hAnsi="Calibri"/>
                <w:b w:val="0"/>
                <w:i w:val="0"/>
                <w:color w:val="212121"/>
                <w:sz w:val="19"/>
              </w:rPr>
              <w:t>Overgrowth drives TLR2 inflammation; guides acaricidal therapy</w:t>
            </w:r>
          </w:p>
          <w:p>
            <w:pPr>
              <w:spacing w:after="40" w:line="252" w:lineRule="auto"/>
            </w:pPr>
            <w:hyperlink r:id="rId16">
              <w:r>
                <w:rPr>
                  <w:rFonts w:ascii="Calibri" w:hAnsi="Calibri" w:cs="Calibri"/>
                  <w:sz w:val="18"/>
                  <w:color w:val="1155CC"/>
                  <w:u w:val="single"/>
                </w:rPr>
                <w:t xml:space="preserve">https://www.dovepress.com/rosacea-practical-guidance-and-challenges-for-clinical-management-peer-reviewed-fulltext-article-CCID</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Spicy/capsaicin food frequency</w:t>
            </w:r>
          </w:p>
        </w:tc>
        <w:tc>
          <w:tcPr>
            <w:tcW w:type="dxa" w:w="1655"/>
            <w:vAlign w:val="top"/>
          </w:tcPr>
          <w:p>
            <w:pPr>
              <w:spacing w:after="40" w:before="0" w:line="259" w:lineRule="auto"/>
            </w:pPr>
            <w:r>
              <w:rPr>
                <w:rFonts w:ascii="Calibri" w:hAnsi="Calibri"/>
                <w:b w:val="0"/>
                <w:i w:val="0"/>
                <w:color w:val="212121"/>
                <w:sz w:val="19"/>
              </w:rPr>
              <w:t>Chilli-heavy diets</w:t>
            </w:r>
          </w:p>
        </w:tc>
        <w:tc>
          <w:tcPr>
            <w:tcW w:type="dxa" w:w="1512"/>
            <w:vAlign w:val="top"/>
          </w:tcPr>
          <w:p>
            <w:pPr>
              <w:spacing w:after="40" w:before="0" w:line="259" w:lineRule="auto"/>
            </w:pPr>
            <w:r>
              <w:rPr>
                <w:rFonts w:ascii="Calibri" w:hAnsi="Calibri"/>
                <w:b w:val="0"/>
                <w:i w:val="0"/>
                <w:color w:val="212121"/>
                <w:sz w:val="19"/>
              </w:rPr>
              <w:t>Minimal chilli/capsaicin</w:t>
            </w:r>
          </w:p>
        </w:tc>
        <w:tc>
          <w:tcPr>
            <w:tcW w:type="dxa" w:w="1512"/>
            <w:vAlign w:val="top"/>
          </w:tcPr>
          <w:p>
            <w:pPr>
              <w:spacing w:after="40" w:before="0" w:line="259" w:lineRule="auto"/>
            </w:pPr>
            <w:r>
              <w:rPr>
                <w:rFonts w:ascii="Calibri" w:hAnsi="Calibri"/>
                <w:b w:val="0"/>
                <w:i w:val="0"/>
                <w:color w:val="212121"/>
                <w:sz w:val="19"/>
              </w:rPr>
              <w:t>Frequent spicy meals</w:t>
            </w:r>
          </w:p>
        </w:tc>
        <w:tc>
          <w:tcPr>
            <w:tcW w:type="dxa" w:w="1468"/>
            <w:vAlign w:val="top"/>
          </w:tcPr>
          <w:p>
            <w:pPr>
              <w:spacing w:after="60" w:line="259" w:lineRule="auto"/>
            </w:pPr>
            <w:r>
              <w:rPr>
                <w:rFonts w:ascii="Calibri" w:hAnsi="Calibri"/>
                <w:b w:val="0"/>
                <w:i w:val="0"/>
                <w:color w:val="212121"/>
                <w:sz w:val="19"/>
              </w:rPr>
              <w:t>Spicy food triggers 45% via TRPV1 activation</w:t>
            </w:r>
          </w:p>
          <w:p>
            <w:pPr>
              <w:spacing w:after="40" w:line="252" w:lineRule="auto"/>
            </w:pPr>
            <w:hyperlink r:id="rId13">
              <w:r>
                <w:rPr>
                  <w:rFonts w:ascii="Calibri" w:hAnsi="Calibri" w:cs="Calibri"/>
                  <w:sz w:val="18"/>
                  <w:color w:val="1155CC"/>
                  <w:u w:val="single"/>
                </w:rPr>
                <w:t xml:space="preserve">https://www.rosacea.org/rosacea-review/2002/summer/new-survey-pinpoints-leading-factors-that-trigger-symptoms</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Hot-beverage temperature</w:t>
            </w:r>
          </w:p>
        </w:tc>
        <w:tc>
          <w:tcPr>
            <w:tcW w:type="dxa" w:w="1655"/>
            <w:vAlign w:val="top"/>
          </w:tcPr>
          <w:p>
            <w:pPr>
              <w:spacing w:after="40" w:before="0" w:line="259" w:lineRule="auto"/>
            </w:pPr>
            <w:r>
              <w:rPr>
                <w:rFonts w:ascii="Calibri" w:hAnsi="Calibri"/>
                <w:b w:val="0"/>
                <w:i w:val="0"/>
                <w:color w:val="212121"/>
                <w:sz w:val="19"/>
              </w:rPr>
              <w:t>Frequent chai/coffee drinkers</w:t>
            </w:r>
          </w:p>
        </w:tc>
        <w:tc>
          <w:tcPr>
            <w:tcW w:type="dxa" w:w="1512"/>
            <w:vAlign w:val="top"/>
          </w:tcPr>
          <w:p>
            <w:pPr>
              <w:spacing w:after="40" w:before="0" w:line="259" w:lineRule="auto"/>
            </w:pPr>
            <w:r>
              <w:rPr>
                <w:rFonts w:ascii="Calibri" w:hAnsi="Calibri"/>
                <w:b w:val="0"/>
                <w:i w:val="0"/>
                <w:color w:val="212121"/>
                <w:sz w:val="19"/>
              </w:rPr>
              <w:t>Warm, not scalding (&lt; 60 °C)</w:t>
            </w:r>
          </w:p>
        </w:tc>
        <w:tc>
          <w:tcPr>
            <w:tcW w:type="dxa" w:w="1512"/>
            <w:vAlign w:val="top"/>
          </w:tcPr>
          <w:p>
            <w:pPr>
              <w:spacing w:after="40" w:before="0" w:line="259" w:lineRule="auto"/>
            </w:pPr>
            <w:r>
              <w:rPr>
                <w:rFonts w:ascii="Calibri" w:hAnsi="Calibri"/>
                <w:b w:val="0"/>
                <w:i w:val="0"/>
                <w:color w:val="212121"/>
                <w:sz w:val="19"/>
              </w:rPr>
              <w:t>Very hot drinks</w:t>
            </w:r>
          </w:p>
        </w:tc>
        <w:tc>
          <w:tcPr>
            <w:tcW w:type="dxa" w:w="1468"/>
            <w:vAlign w:val="top"/>
          </w:tcPr>
          <w:p>
            <w:pPr>
              <w:spacing w:after="60" w:line="259" w:lineRule="auto"/>
            </w:pPr>
            <w:r>
              <w:rPr>
                <w:rFonts w:ascii="Calibri" w:hAnsi="Calibri"/>
                <w:b w:val="0"/>
                <w:i w:val="0"/>
                <w:color w:val="212121"/>
                <w:sz w:val="19"/>
              </w:rPr>
              <w:t>Flushing is thermal, not caffeine-driven; heated drinks trigger 36%</w:t>
            </w:r>
          </w:p>
          <w:p>
            <w:pPr>
              <w:spacing w:after="40" w:line="252" w:lineRule="auto"/>
            </w:pPr>
            <w:hyperlink r:id="rId13">
              <w:r>
                <w:rPr>
                  <w:rFonts w:ascii="Calibri" w:hAnsi="Calibri" w:cs="Calibri"/>
                  <w:sz w:val="18"/>
                  <w:color w:val="1155CC"/>
                  <w:u w:val="single"/>
                </w:rPr>
                <w:t xml:space="preserve">https://www.rosacea.org/rosacea-review/2002/summer/new-survey-pinpoints-leading-factors-that-trigger-symptoms</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Regular drinkers</w:t>
            </w:r>
          </w:p>
        </w:tc>
        <w:tc>
          <w:tcPr>
            <w:tcW w:type="dxa" w:w="1512"/>
            <w:vAlign w:val="top"/>
          </w:tcPr>
          <w:p>
            <w:pPr>
              <w:spacing w:after="40" w:before="0" w:line="259" w:lineRule="auto"/>
            </w:pPr>
            <w:r>
              <w:rPr>
                <w:rFonts w:ascii="Calibri" w:hAnsi="Calibri"/>
                <w:b w:val="0"/>
                <w:i w:val="0"/>
                <w:color w:val="212121"/>
                <w:sz w:val="19"/>
              </w:rPr>
              <w:t>Minimal or none; avoid red wine</w:t>
            </w:r>
          </w:p>
        </w:tc>
        <w:tc>
          <w:tcPr>
            <w:tcW w:type="dxa" w:w="1512"/>
            <w:vAlign w:val="top"/>
          </w:tcPr>
          <w:p>
            <w:pPr>
              <w:spacing w:after="40" w:before="0" w:line="259" w:lineRule="auto"/>
            </w:pPr>
            <w:r>
              <w:rPr>
                <w:rFonts w:ascii="Calibri" w:hAnsi="Calibri"/>
                <w:b w:val="0"/>
                <w:i w:val="0"/>
                <w:color w:val="212121"/>
                <w:sz w:val="19"/>
              </w:rPr>
              <w:t>Any intake, especially red wine/spirits</w:t>
            </w:r>
          </w:p>
        </w:tc>
        <w:tc>
          <w:tcPr>
            <w:tcW w:type="dxa" w:w="1468"/>
            <w:vAlign w:val="top"/>
          </w:tcPr>
          <w:p>
            <w:pPr>
              <w:spacing w:after="60" w:line="259" w:lineRule="auto"/>
            </w:pPr>
            <w:r>
              <w:rPr>
                <w:rFonts w:ascii="Calibri" w:hAnsi="Calibri"/>
                <w:b w:val="0"/>
                <w:i w:val="0"/>
                <w:color w:val="212121"/>
                <w:sz w:val="19"/>
              </w:rPr>
              <w:t>Alcohol triggers 52%; dose-dependent risk in women</w:t>
            </w:r>
          </w:p>
          <w:p>
            <w:pPr>
              <w:spacing w:after="40" w:line="252" w:lineRule="auto"/>
            </w:pPr>
            <w:hyperlink r:id="rId13">
              <w:r>
                <w:rPr>
                  <w:rFonts w:ascii="Calibri" w:hAnsi="Calibri" w:cs="Calibri"/>
                  <w:sz w:val="18"/>
                  <w:color w:val="1155CC"/>
                  <w:u w:val="single"/>
                </w:rPr>
                <w:t xml:space="preserve">https://www.rosacea.org/rosacea-review/2002/summer/new-survey-pinpoints-leading-factors-that-trigger-symptoms</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Exercise intensity/heat load</w:t>
            </w:r>
          </w:p>
        </w:tc>
        <w:tc>
          <w:tcPr>
            <w:tcW w:type="dxa" w:w="1655"/>
            <w:vAlign w:val="top"/>
          </w:tcPr>
          <w:p>
            <w:pPr>
              <w:spacing w:after="40" w:before="0" w:line="259" w:lineRule="auto"/>
            </w:pPr>
            <w:r>
              <w:rPr>
                <w:rFonts w:ascii="Calibri" w:hAnsi="Calibri"/>
                <w:b w:val="0"/>
                <w:i w:val="0"/>
                <w:color w:val="212121"/>
                <w:sz w:val="19"/>
              </w:rPr>
              <w:t>Adults with rosacea</w:t>
            </w:r>
          </w:p>
        </w:tc>
        <w:tc>
          <w:tcPr>
            <w:tcW w:type="dxa" w:w="1512"/>
            <w:vAlign w:val="top"/>
          </w:tcPr>
          <w:p>
            <w:pPr>
              <w:spacing w:after="40" w:before="0" w:line="259" w:lineRule="auto"/>
            </w:pPr>
            <w:r>
              <w:rPr>
                <w:rFonts w:ascii="Calibri" w:hAnsi="Calibri"/>
                <w:b w:val="0"/>
                <w:i w:val="0"/>
                <w:color w:val="212121"/>
                <w:sz w:val="19"/>
              </w:rPr>
              <w:t>Moderate, cool setting; split sessions; hydrate/cool the face</w:t>
            </w:r>
          </w:p>
        </w:tc>
        <w:tc>
          <w:tcPr>
            <w:tcW w:type="dxa" w:w="1512"/>
            <w:vAlign w:val="top"/>
          </w:tcPr>
          <w:p>
            <w:pPr>
              <w:spacing w:after="40" w:before="0" w:line="259" w:lineRule="auto"/>
            </w:pPr>
            <w:r>
              <w:rPr>
                <w:rFonts w:ascii="Calibri" w:hAnsi="Calibri"/>
                <w:b w:val="0"/>
                <w:i w:val="0"/>
                <w:color w:val="212121"/>
                <w:sz w:val="19"/>
              </w:rPr>
              <w:t>Vigorous exercise causing overheating</w:t>
            </w:r>
          </w:p>
        </w:tc>
        <w:tc>
          <w:tcPr>
            <w:tcW w:type="dxa" w:w="1468"/>
            <w:vAlign w:val="top"/>
          </w:tcPr>
          <w:p>
            <w:pPr>
              <w:spacing w:after="60" w:line="259" w:lineRule="auto"/>
            </w:pPr>
            <w:r>
              <w:rPr>
                <w:rFonts w:ascii="Calibri" w:hAnsi="Calibri"/>
                <w:b w:val="0"/>
                <w:i w:val="0"/>
                <w:color w:val="212121"/>
                <w:sz w:val="19"/>
              </w:rPr>
              <w:t>Exercise triggers flushing in 56%</w:t>
            </w:r>
          </w:p>
          <w:p>
            <w:pPr>
              <w:spacing w:after="40" w:line="252" w:lineRule="auto"/>
            </w:pPr>
            <w:hyperlink r:id="rId13">
              <w:r>
                <w:rPr>
                  <w:rFonts w:ascii="Calibri" w:hAnsi="Calibri" w:cs="Calibri"/>
                  <w:sz w:val="18"/>
                  <w:color w:val="1155CC"/>
                  <w:u w:val="single"/>
                </w:rPr>
                <w:t xml:space="preserve">https://www.rosacea.org/rosacea-review/2002/summer/new-survey-pinpoints-leading-factors-that-trigger-symptoms</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w:t>
            </w:r>
          </w:p>
        </w:tc>
        <w:tc>
          <w:tcPr>
            <w:tcW w:type="dxa" w:w="1655"/>
            <w:vAlign w:val="top"/>
          </w:tcPr>
          <w:p>
            <w:pPr>
              <w:spacing w:after="40" w:before="0" w:line="259" w:lineRule="auto"/>
            </w:pPr>
            <w:r>
              <w:rPr>
                <w:rFonts w:ascii="Calibri" w:hAnsi="Calibri"/>
                <w:b w:val="0"/>
                <w:i w:val="0"/>
                <w:color w:val="212121"/>
                <w:sz w:val="19"/>
              </w:rPr>
              <w:t>All rosacea patients</w:t>
            </w:r>
          </w:p>
        </w:tc>
        <w:tc>
          <w:tcPr>
            <w:tcW w:type="dxa" w:w="1512"/>
            <w:vAlign w:val="top"/>
          </w:tcPr>
          <w:p>
            <w:pPr>
              <w:spacing w:after="40" w:before="0" w:line="259" w:lineRule="auto"/>
            </w:pPr>
            <w:r>
              <w:rPr>
                <w:rFonts w:ascii="Calibri" w:hAnsi="Calibri"/>
                <w:b w:val="0"/>
                <w:i w:val="0"/>
                <w:color w:val="212121"/>
                <w:sz w:val="19"/>
              </w:rPr>
              <w:t>Low; regular stress-reduction practice</w:t>
            </w:r>
          </w:p>
        </w:tc>
        <w:tc>
          <w:tcPr>
            <w:tcW w:type="dxa" w:w="1512"/>
            <w:vAlign w:val="top"/>
          </w:tcPr>
          <w:p>
            <w:pPr>
              <w:spacing w:after="40" w:before="0" w:line="259" w:lineRule="auto"/>
            </w:pPr>
            <w:r>
              <w:rPr>
                <w:rFonts w:ascii="Calibri" w:hAnsi="Calibri"/>
                <w:b w:val="0"/>
                <w:i w:val="0"/>
                <w:color w:val="212121"/>
                <w:sz w:val="19"/>
              </w:rPr>
              <w:t>High emotional stress</w:t>
            </w:r>
          </w:p>
        </w:tc>
        <w:tc>
          <w:tcPr>
            <w:tcW w:type="dxa" w:w="1468"/>
            <w:vAlign w:val="top"/>
          </w:tcPr>
          <w:p>
            <w:pPr>
              <w:spacing w:after="60" w:line="259" w:lineRule="auto"/>
            </w:pPr>
            <w:r>
              <w:rPr>
                <w:rFonts w:ascii="Calibri" w:hAnsi="Calibri"/>
                <w:b w:val="0"/>
                <w:i w:val="0"/>
                <w:color w:val="212121"/>
                <w:sz w:val="19"/>
              </w:rPr>
              <w:t>Stress triggers 79% and worsens quality of life</w:t>
            </w:r>
          </w:p>
          <w:p>
            <w:pPr>
              <w:spacing w:after="40" w:line="252" w:lineRule="auto"/>
            </w:pPr>
            <w:hyperlink r:id="rId13">
              <w:r>
                <w:rPr>
                  <w:rFonts w:ascii="Calibri" w:hAnsi="Calibri" w:cs="Calibri"/>
                  <w:sz w:val="18"/>
                  <w:color w:val="1155CC"/>
                  <w:u w:val="single"/>
                </w:rPr>
                <w:t xml:space="preserve">https://www.rosacea.org/rosacea-review/2002/summer/new-survey-pinpoints-leading-factors-that-trigger-symptoms</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duration/quality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 of good-quality sleep</w:t>
            </w:r>
          </w:p>
        </w:tc>
        <w:tc>
          <w:tcPr>
            <w:tcW w:type="dxa" w:w="1512"/>
            <w:vAlign w:val="top"/>
          </w:tcPr>
          <w:p>
            <w:pPr>
              <w:spacing w:after="40" w:before="0" w:line="259" w:lineRule="auto"/>
            </w:pPr>
            <w:r>
              <w:rPr>
                <w:rFonts w:ascii="Calibri" w:hAnsi="Calibri"/>
                <w:b w:val="0"/>
                <w:i w:val="0"/>
                <w:color w:val="212121"/>
                <w:sz w:val="19"/>
              </w:rPr>
              <w:t>Chronic poor-quality/short sleep</w:t>
            </w:r>
          </w:p>
        </w:tc>
        <w:tc>
          <w:tcPr>
            <w:tcW w:type="dxa" w:w="1468"/>
            <w:vAlign w:val="top"/>
          </w:tcPr>
          <w:p>
            <w:pPr>
              <w:spacing w:after="40" w:before="0" w:line="259" w:lineRule="auto"/>
            </w:pPr>
            <w:r>
              <w:rPr>
                <w:rFonts w:ascii="Calibri" w:hAnsi="Calibri"/>
                <w:b w:val="0"/>
                <w:i w:val="0"/>
                <w:color w:val="212121"/>
                <w:sz w:val="19"/>
              </w:rPr>
              <w:t>Poor sleep amplifies stress-related flushing</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Smokers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Smoking accelerates telangiectasia and dermal ageing</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Skincare regimen (cleanser/pH)</w:t>
            </w:r>
          </w:p>
        </w:tc>
        <w:tc>
          <w:tcPr>
            <w:tcW w:type="dxa" w:w="1655"/>
            <w:vAlign w:val="top"/>
          </w:tcPr>
          <w:p>
            <w:pPr>
              <w:spacing w:after="40" w:before="0" w:line="259" w:lineRule="auto"/>
            </w:pPr>
            <w:r>
              <w:rPr>
                <w:rFonts w:ascii="Calibri" w:hAnsi="Calibri"/>
                <w:b w:val="0"/>
                <w:i w:val="0"/>
                <w:color w:val="212121"/>
                <w:sz w:val="19"/>
              </w:rPr>
              <w:t>All rosacea patients</w:t>
            </w:r>
          </w:p>
        </w:tc>
        <w:tc>
          <w:tcPr>
            <w:tcW w:type="dxa" w:w="1512"/>
            <w:vAlign w:val="top"/>
          </w:tcPr>
          <w:p>
            <w:pPr>
              <w:spacing w:after="40" w:before="0" w:line="259" w:lineRule="auto"/>
            </w:pPr>
            <w:r>
              <w:rPr>
                <w:rFonts w:ascii="Calibri" w:hAnsi="Calibri"/>
                <w:b w:val="0"/>
                <w:i w:val="0"/>
                <w:color w:val="212121"/>
                <w:sz w:val="19"/>
              </w:rPr>
              <w:t>Gentle, fragrance-free, pH ~5.5 non-soap cleanser; bland moisturiser</w:t>
            </w:r>
          </w:p>
        </w:tc>
        <w:tc>
          <w:tcPr>
            <w:tcW w:type="dxa" w:w="1512"/>
            <w:vAlign w:val="top"/>
          </w:tcPr>
          <w:p>
            <w:pPr>
              <w:spacing w:after="40" w:before="0" w:line="259" w:lineRule="auto"/>
            </w:pPr>
            <w:r>
              <w:rPr>
                <w:rFonts w:ascii="Calibri" w:hAnsi="Calibri"/>
                <w:b w:val="0"/>
                <w:i w:val="0"/>
                <w:color w:val="212121"/>
                <w:sz w:val="19"/>
              </w:rPr>
              <w:t>Harsh scrubs, alcohol/astringent toners, fragrances</w:t>
            </w:r>
          </w:p>
        </w:tc>
        <w:tc>
          <w:tcPr>
            <w:tcW w:type="dxa" w:w="1468"/>
            <w:vAlign w:val="top"/>
          </w:tcPr>
          <w:p>
            <w:pPr>
              <w:spacing w:after="40" w:before="0" w:line="259" w:lineRule="auto"/>
            </w:pPr>
            <w:r>
              <w:rPr>
                <w:rFonts w:ascii="Calibri" w:hAnsi="Calibri"/>
                <w:b w:val="0"/>
                <w:i w:val="0"/>
                <w:color w:val="212121"/>
                <w:sz w:val="19"/>
              </w:rPr>
              <w:t>Barrier-friendly routine and lid hygiene reduce flares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Microscopy</w:t>
            </w:r>
          </w:p>
        </w:tc>
        <w:tc>
          <w:tcPr>
            <w:tcW w:type="dxa" w:w="1036"/>
            <w:vAlign w:val="top"/>
          </w:tcPr>
          <w:p>
            <w:pPr>
              <w:spacing w:after="40" w:before="0" w:line="259" w:lineRule="auto"/>
            </w:pPr>
            <w:r>
              <w:rPr>
                <w:rFonts w:ascii="Calibri" w:hAnsi="Calibri"/>
                <w:b w:val="0"/>
                <w:i w:val="0"/>
                <w:color w:val="212121"/>
                <w:sz w:val="16"/>
              </w:rPr>
              <w:t>Demodex density</w:t>
            </w:r>
          </w:p>
        </w:tc>
        <w:tc>
          <w:tcPr>
            <w:tcW w:type="dxa" w:w="892"/>
            <w:vAlign w:val="top"/>
          </w:tcPr>
          <w:p>
            <w:pPr>
              <w:spacing w:after="40" w:before="0" w:line="259" w:lineRule="auto"/>
            </w:pPr>
            <w:r>
              <w:rPr>
                <w:rFonts w:ascii="Calibri" w:hAnsi="Calibri"/>
                <w:b w:val="0"/>
                <w:i w:val="0"/>
                <w:color w:val="212121"/>
                <w:sz w:val="16"/>
              </w:rPr>
              <w:t>Standardised skin-surface biopsy (SSSB)</w:t>
            </w:r>
          </w:p>
        </w:tc>
        <w:tc>
          <w:tcPr>
            <w:tcW w:type="dxa" w:w="950"/>
            <w:vAlign w:val="top"/>
          </w:tcPr>
          <w:p>
            <w:pPr>
              <w:spacing w:after="40" w:before="0" w:line="259" w:lineRule="auto"/>
            </w:pPr>
            <w:r>
              <w:rPr>
                <w:rFonts w:ascii="Calibri" w:hAnsi="Calibri"/>
                <w:b w:val="0"/>
                <w:i w:val="0"/>
                <w:color w:val="212121"/>
                <w:sz w:val="16"/>
              </w:rPr>
              <w:t>&lt; 5 mites/cm²</w:t>
            </w:r>
          </w:p>
        </w:tc>
        <w:tc>
          <w:tcPr>
            <w:tcW w:type="dxa" w:w="950"/>
            <w:vAlign w:val="top"/>
          </w:tcPr>
          <w:p>
            <w:pPr>
              <w:spacing w:after="40" w:before="0" w:line="259" w:lineRule="auto"/>
            </w:pPr>
            <w:r>
              <w:rPr>
                <w:rFonts w:ascii="Calibri" w:hAnsi="Calibri"/>
                <w:b w:val="0"/>
                <w:i w:val="0"/>
                <w:color w:val="212121"/>
                <w:sz w:val="16"/>
              </w:rPr>
              <w:t>≥ 5 mites/cm²</w:t>
            </w:r>
          </w:p>
        </w:tc>
        <w:tc>
          <w:tcPr>
            <w:tcW w:type="dxa" w:w="1036"/>
            <w:vAlign w:val="top"/>
          </w:tcPr>
          <w:p>
            <w:pPr>
              <w:spacing w:after="40" w:before="0" w:line="259" w:lineRule="auto"/>
            </w:pPr>
            <w:r>
              <w:rPr>
                <w:rFonts w:ascii="Calibri" w:hAnsi="Calibri"/>
                <w:b w:val="0"/>
                <w:i w:val="0"/>
                <w:color w:val="212121"/>
                <w:sz w:val="16"/>
              </w:rPr>
              <w:t>Mite overgrowth supports diagnosis and guides acaricidal (ivermectin) therapy</w:t>
            </w:r>
          </w:p>
        </w:tc>
        <w:tc>
          <w:tcPr>
            <w:tcW w:type="dxa" w:w="1036"/>
            <w:vAlign w:val="top"/>
          </w:tcPr>
          <w:p>
            <w:pPr>
              <w:spacing w:after="40" w:before="0" w:line="259" w:lineRule="auto"/>
            </w:pPr>
            <w:r>
              <w:rPr>
                <w:rFonts w:ascii="Calibri" w:hAnsi="Calibri"/>
                <w:b w:val="0"/>
                <w:i w:val="0"/>
                <w:color w:val="212121"/>
                <w:sz w:val="16"/>
              </w:rPr>
              <w:t>Papulopustular, refractory rosacea</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Cyanoacrylate surface-biopsy technique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Skin biopsy</w:t>
            </w:r>
          </w:p>
        </w:tc>
        <w:tc>
          <w:tcPr>
            <w:tcW w:type="dxa" w:w="892"/>
            <w:vAlign w:val="top"/>
          </w:tcPr>
          <w:p>
            <w:pPr>
              <w:spacing w:after="40" w:before="0" w:line="259" w:lineRule="auto"/>
            </w:pPr>
            <w:r>
              <w:rPr>
                <w:rFonts w:ascii="Calibri" w:hAnsi="Calibri"/>
                <w:b w:val="0"/>
                <w:i w:val="0"/>
                <w:color w:val="212121"/>
                <w:sz w:val="16"/>
              </w:rPr>
              <w:t>Dermatopathology</w:t>
            </w:r>
          </w:p>
        </w:tc>
        <w:tc>
          <w:tcPr>
            <w:tcW w:type="dxa" w:w="950"/>
            <w:vAlign w:val="top"/>
          </w:tcPr>
          <w:p>
            <w:pPr>
              <w:spacing w:after="40" w:before="0" w:line="259" w:lineRule="auto"/>
            </w:pPr>
            <w:r>
              <w:rPr>
                <w:rFonts w:ascii="Calibri" w:hAnsi="Calibri"/>
                <w:b w:val="0"/>
                <w:i w:val="0"/>
                <w:color w:val="212121"/>
                <w:sz w:val="16"/>
              </w:rPr>
              <w:t>No specific changes</w:t>
            </w:r>
          </w:p>
        </w:tc>
        <w:tc>
          <w:tcPr>
            <w:tcW w:type="dxa" w:w="950"/>
            <w:vAlign w:val="top"/>
          </w:tcPr>
          <w:p>
            <w:pPr>
              <w:spacing w:after="40" w:before="0" w:line="259" w:lineRule="auto"/>
            </w:pPr>
            <w:r>
              <w:rPr>
                <w:rFonts w:ascii="Calibri" w:hAnsi="Calibri"/>
                <w:b w:val="0"/>
                <w:i w:val="0"/>
                <w:color w:val="212121"/>
                <w:sz w:val="16"/>
              </w:rPr>
              <w:t>Perivascular/perifollicular lymphohistiocytic infiltrate, solar elastosis; granulomas in the granulomatous variant</w:t>
            </w:r>
          </w:p>
        </w:tc>
        <w:tc>
          <w:tcPr>
            <w:tcW w:type="dxa" w:w="1036"/>
            <w:vAlign w:val="top"/>
          </w:tcPr>
          <w:p>
            <w:pPr>
              <w:spacing w:after="40" w:before="0" w:line="259" w:lineRule="auto"/>
            </w:pPr>
            <w:r>
              <w:rPr>
                <w:rFonts w:ascii="Calibri" w:hAnsi="Calibri"/>
                <w:b w:val="0"/>
                <w:i w:val="0"/>
                <w:color w:val="212121"/>
                <w:sz w:val="16"/>
              </w:rPr>
              <w:t>Excludes lupus erythematosus, sarcoidosis and confirms atypical presentations</w:t>
            </w:r>
          </w:p>
        </w:tc>
        <w:tc>
          <w:tcPr>
            <w:tcW w:type="dxa" w:w="1036"/>
            <w:vAlign w:val="top"/>
          </w:tcPr>
          <w:p>
            <w:pPr>
              <w:spacing w:after="40" w:before="0" w:line="259" w:lineRule="auto"/>
            </w:pPr>
            <w:r>
              <w:rPr>
                <w:rFonts w:ascii="Calibri" w:hAnsi="Calibri"/>
                <w:b w:val="0"/>
                <w:i w:val="0"/>
                <w:color w:val="212121"/>
                <w:sz w:val="16"/>
              </w:rPr>
              <w:t>Atypical, granulomatous, treatment-resistant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in atypical cases</w:t>
            </w:r>
          </w:p>
        </w:tc>
        <w:tc>
          <w:tcPr>
            <w:tcW w:type="dxa" w:w="720"/>
            <w:vAlign w:val="top"/>
          </w:tcPr>
          <w:p>
            <w:pPr>
              <w:spacing w:after="40" w:before="0" w:line="259" w:lineRule="auto"/>
            </w:pPr>
            <w:r>
              <w:rPr>
                <w:rFonts w:ascii="Calibri" w:hAnsi="Calibri"/>
                <w:b w:val="0"/>
                <w:i w:val="0"/>
                <w:color w:val="212121"/>
                <w:sz w:val="16"/>
              </w:rPr>
              <w:t>Not required for typical rosacea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Antinuclear antibody (ANA)</w:t>
            </w:r>
          </w:p>
        </w:tc>
        <w:tc>
          <w:tcPr>
            <w:tcW w:type="dxa" w:w="892"/>
            <w:vAlign w:val="top"/>
          </w:tcPr>
          <w:p>
            <w:pPr>
              <w:spacing w:after="40" w:before="0" w:line="259" w:lineRule="auto"/>
            </w:pPr>
            <w:r>
              <w:rPr>
                <w:rFonts w:ascii="Calibri" w:hAnsi="Calibri"/>
                <w:b w:val="0"/>
                <w:i w:val="0"/>
                <w:color w:val="212121"/>
                <w:sz w:val="16"/>
              </w:rPr>
              <w:t>Autoimmune serology</w:t>
            </w:r>
          </w:p>
        </w:tc>
        <w:tc>
          <w:tcPr>
            <w:tcW w:type="dxa" w:w="950"/>
            <w:vAlign w:val="top"/>
          </w:tcPr>
          <w:p>
            <w:pPr>
              <w:spacing w:after="40" w:before="0" w:line="259" w:lineRule="auto"/>
            </w:pPr>
            <w:r>
              <w:rPr>
                <w:rFonts w:ascii="Calibri" w:hAnsi="Calibri"/>
                <w:b w:val="0"/>
                <w:i w:val="0"/>
                <w:color w:val="212121"/>
                <w:sz w:val="16"/>
              </w:rPr>
              <w:t>Negative / low titre</w:t>
            </w:r>
          </w:p>
        </w:tc>
        <w:tc>
          <w:tcPr>
            <w:tcW w:type="dxa" w:w="950"/>
            <w:vAlign w:val="top"/>
          </w:tcPr>
          <w:p>
            <w:pPr>
              <w:spacing w:after="40" w:before="0" w:line="259" w:lineRule="auto"/>
            </w:pPr>
            <w:r>
              <w:rPr>
                <w:rFonts w:ascii="Calibri" w:hAnsi="Calibri"/>
                <w:b w:val="0"/>
                <w:i w:val="0"/>
                <w:color w:val="212121"/>
                <w:sz w:val="16"/>
              </w:rPr>
              <w:t>Positive, high titre</w:t>
            </w:r>
          </w:p>
        </w:tc>
        <w:tc>
          <w:tcPr>
            <w:tcW w:type="dxa" w:w="1036"/>
            <w:vAlign w:val="top"/>
          </w:tcPr>
          <w:p>
            <w:pPr>
              <w:spacing w:after="40" w:before="0" w:line="259" w:lineRule="auto"/>
            </w:pPr>
            <w:r>
              <w:rPr>
                <w:rFonts w:ascii="Calibri" w:hAnsi="Calibri"/>
                <w:b w:val="0"/>
                <w:i w:val="0"/>
                <w:color w:val="212121"/>
                <w:sz w:val="16"/>
              </w:rPr>
              <w:t>Helps exclude systemic/photosensitive lupus mimicking malar rosacea</w:t>
            </w:r>
          </w:p>
        </w:tc>
        <w:tc>
          <w:tcPr>
            <w:tcW w:type="dxa" w:w="1036"/>
            <w:vAlign w:val="top"/>
          </w:tcPr>
          <w:p>
            <w:pPr>
              <w:spacing w:after="40" w:before="0" w:line="259" w:lineRule="auto"/>
            </w:pPr>
            <w:r>
              <w:rPr>
                <w:rFonts w:ascii="Calibri" w:hAnsi="Calibri"/>
                <w:b w:val="0"/>
                <w:i w:val="0"/>
                <w:color w:val="212121"/>
                <w:sz w:val="16"/>
              </w:rPr>
              <w:t>Malar erythema, women of reproductive 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Differential diagnosis</w:t>
            </w:r>
          </w:p>
        </w:tc>
        <w:tc>
          <w:tcPr>
            <w:tcW w:type="dxa" w:w="720"/>
            <w:vAlign w:val="top"/>
          </w:tcPr>
          <w:p>
            <w:pPr>
              <w:spacing w:after="40" w:before="0" w:line="259" w:lineRule="auto"/>
            </w:pPr>
            <w:r>
              <w:rPr>
                <w:rFonts w:ascii="Calibri" w:hAnsi="Calibri"/>
                <w:b w:val="0"/>
                <w:i w:val="0"/>
                <w:color w:val="212121"/>
                <w:sz w:val="16"/>
              </w:rPr>
              <w:t>Rosacea itself is ANA-negative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Tear function (Schirmer test, TBUT)</w:t>
            </w:r>
          </w:p>
        </w:tc>
        <w:tc>
          <w:tcPr>
            <w:tcW w:type="dxa" w:w="892"/>
            <w:vAlign w:val="top"/>
          </w:tcPr>
          <w:p>
            <w:pPr>
              <w:spacing w:after="40" w:before="0" w:line="259" w:lineRule="auto"/>
            </w:pPr>
            <w:r>
              <w:rPr>
                <w:rFonts w:ascii="Calibri" w:hAnsi="Calibri"/>
                <w:b w:val="0"/>
                <w:i w:val="0"/>
                <w:color w:val="212121"/>
                <w:sz w:val="16"/>
              </w:rPr>
              <w:t>Dry-eye assessment</w:t>
            </w:r>
          </w:p>
        </w:tc>
        <w:tc>
          <w:tcPr>
            <w:tcW w:type="dxa" w:w="950"/>
            <w:vAlign w:val="top"/>
          </w:tcPr>
          <w:p>
            <w:pPr>
              <w:spacing w:after="40" w:before="0" w:line="259" w:lineRule="auto"/>
            </w:pPr>
            <w:r>
              <w:rPr>
                <w:rFonts w:ascii="Calibri" w:hAnsi="Calibri"/>
                <w:b w:val="0"/>
                <w:i w:val="0"/>
                <w:color w:val="212121"/>
                <w:sz w:val="16"/>
              </w:rPr>
              <w:t>Schirmer &gt; 10–15 mm/5 min</w:t>
            </w:r>
          </w:p>
        </w:tc>
        <w:tc>
          <w:tcPr>
            <w:tcW w:type="dxa" w:w="950"/>
            <w:vAlign w:val="top"/>
          </w:tcPr>
          <w:p>
            <w:pPr>
              <w:spacing w:after="40" w:before="0" w:line="259" w:lineRule="auto"/>
            </w:pPr>
            <w:r>
              <w:rPr>
                <w:rFonts w:ascii="Calibri" w:hAnsi="Calibri"/>
                <w:b w:val="0"/>
                <w:i w:val="0"/>
                <w:color w:val="212121"/>
                <w:sz w:val="16"/>
              </w:rPr>
              <w:t>Schirmer &lt; 8–10 mm/5 min</w:t>
            </w:r>
          </w:p>
        </w:tc>
        <w:tc>
          <w:tcPr>
            <w:tcW w:type="dxa" w:w="1036"/>
            <w:vAlign w:val="top"/>
          </w:tcPr>
          <w:p>
            <w:pPr>
              <w:spacing w:after="40" w:before="0" w:line="259" w:lineRule="auto"/>
            </w:pPr>
            <w:r>
              <w:rPr>
                <w:rFonts w:ascii="Calibri" w:hAnsi="Calibri"/>
                <w:b w:val="0"/>
                <w:i w:val="0"/>
                <w:color w:val="212121"/>
                <w:sz w:val="16"/>
              </w:rPr>
              <w:t>Quantifies the dry-eye of ocular rosacea</w:t>
            </w:r>
          </w:p>
        </w:tc>
        <w:tc>
          <w:tcPr>
            <w:tcW w:type="dxa" w:w="1036"/>
            <w:vAlign w:val="top"/>
          </w:tcPr>
          <w:p>
            <w:pPr>
              <w:spacing w:after="40" w:before="0" w:line="259" w:lineRule="auto"/>
            </w:pPr>
            <w:r>
              <w:rPr>
                <w:rFonts w:ascii="Calibri" w:hAnsi="Calibri"/>
                <w:b w:val="0"/>
                <w:i w:val="0"/>
                <w:color w:val="212121"/>
                <w:sz w:val="16"/>
              </w:rPr>
              <w:t>Ocular rosacea, patients with grittiness/burning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Ocular workup</w:t>
            </w:r>
          </w:p>
        </w:tc>
        <w:tc>
          <w:tcPr>
            <w:tcW w:type="dxa" w:w="720"/>
            <w:vAlign w:val="top"/>
          </w:tcPr>
          <w:p>
            <w:pPr>
              <w:spacing w:after="40" w:before="0" w:line="259" w:lineRule="auto"/>
            </w:pPr>
            <w:r>
              <w:rPr>
                <w:rFonts w:ascii="Calibri" w:hAnsi="Calibri"/>
                <w:b w:val="0"/>
                <w:i w:val="0"/>
                <w:color w:val="212121"/>
                <w:sz w:val="16"/>
              </w:rPr>
              <w:t>56.7% of Indian ocular-rosacea cases had &lt; 8 mm wetting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Cardiometabolic screen</w:t>
            </w:r>
          </w:p>
        </w:tc>
        <w:tc>
          <w:tcPr>
            <w:tcW w:type="dxa" w:w="950"/>
            <w:vAlign w:val="top"/>
          </w:tcPr>
          <w:p>
            <w:pPr>
              <w:spacing w:after="40" w:before="0" w:line="259" w:lineRule="auto"/>
            </w:pPr>
            <w:r>
              <w:rPr>
                <w:rFonts w:ascii="Calibri" w:hAnsi="Calibri"/>
                <w:b w:val="0"/>
                <w:i w:val="0"/>
                <w:color w:val="212121"/>
                <w:sz w:val="16"/>
              </w:rPr>
              <w:t>LDL/TG/HDL within target</w:t>
            </w:r>
          </w:p>
        </w:tc>
        <w:tc>
          <w:tcPr>
            <w:tcW w:type="dxa" w:w="950"/>
            <w:vAlign w:val="top"/>
          </w:tcPr>
          <w:p>
            <w:pPr>
              <w:spacing w:after="40" w:before="0" w:line="259" w:lineRule="auto"/>
            </w:pPr>
            <w:r>
              <w:rPr>
                <w:rFonts w:ascii="Calibri" w:hAnsi="Calibri"/>
                <w:b w:val="0"/>
                <w:i w:val="0"/>
                <w:color w:val="212121"/>
                <w:sz w:val="16"/>
              </w:rPr>
              <w:t>Raised LDL/triglycerides, low HDL</w:t>
            </w:r>
          </w:p>
        </w:tc>
        <w:tc>
          <w:tcPr>
            <w:tcW w:type="dxa" w:w="1036"/>
            <w:vAlign w:val="top"/>
          </w:tcPr>
          <w:p>
            <w:pPr>
              <w:spacing w:after="40" w:before="0" w:line="259" w:lineRule="auto"/>
            </w:pPr>
            <w:r>
              <w:rPr>
                <w:rFonts w:ascii="Calibri" w:hAnsi="Calibri"/>
                <w:b w:val="0"/>
                <w:i w:val="0"/>
                <w:color w:val="212121"/>
                <w:sz w:val="16"/>
              </w:rPr>
              <w:t>Screens for dyslipidaemia, an associated comorbidity</w:t>
            </w:r>
          </w:p>
        </w:tc>
        <w:tc>
          <w:tcPr>
            <w:tcW w:type="dxa" w:w="1036"/>
            <w:vAlign w:val="top"/>
          </w:tcPr>
          <w:p>
            <w:pPr>
              <w:spacing w:after="40" w:before="0" w:line="259" w:lineRule="auto"/>
            </w:pPr>
            <w:r>
              <w:rPr>
                <w:rFonts w:ascii="Calibri" w:hAnsi="Calibri"/>
                <w:b w:val="0"/>
                <w:i w:val="0"/>
                <w:color w:val="212121"/>
                <w:sz w:val="16"/>
              </w:rPr>
              <w:t>Adults with rosacea, high-BMI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Dyslipidaemia OR 1.41</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pressure &amp; fasting glucose</w:t>
            </w:r>
          </w:p>
        </w:tc>
        <w:tc>
          <w:tcPr>
            <w:tcW w:type="dxa" w:w="892"/>
            <w:vAlign w:val="top"/>
          </w:tcPr>
          <w:p>
            <w:pPr>
              <w:spacing w:after="40" w:before="0" w:line="259" w:lineRule="auto"/>
            </w:pPr>
            <w:r>
              <w:rPr>
                <w:rFonts w:ascii="Calibri" w:hAnsi="Calibri"/>
                <w:b w:val="0"/>
                <w:i w:val="0"/>
                <w:color w:val="212121"/>
                <w:sz w:val="16"/>
              </w:rPr>
              <w:t>Cardiometabolic screen</w:t>
            </w:r>
          </w:p>
        </w:tc>
        <w:tc>
          <w:tcPr>
            <w:tcW w:type="dxa" w:w="950"/>
            <w:vAlign w:val="top"/>
          </w:tcPr>
          <w:p>
            <w:pPr>
              <w:spacing w:after="40" w:before="0" w:line="259" w:lineRule="auto"/>
            </w:pPr>
            <w:r>
              <w:rPr>
                <w:rFonts w:ascii="Calibri" w:hAnsi="Calibri"/>
                <w:b w:val="0"/>
                <w:i w:val="0"/>
                <w:color w:val="212121"/>
                <w:sz w:val="16"/>
              </w:rPr>
              <w:t>BP &lt; 130/85; FBS &lt; 100 mg/dL</w:t>
            </w:r>
          </w:p>
        </w:tc>
        <w:tc>
          <w:tcPr>
            <w:tcW w:type="dxa" w:w="950"/>
            <w:vAlign w:val="top"/>
          </w:tcPr>
          <w:p>
            <w:pPr>
              <w:spacing w:after="40" w:before="0" w:line="259" w:lineRule="auto"/>
            </w:pPr>
            <w:r>
              <w:rPr>
                <w:rFonts w:ascii="Calibri" w:hAnsi="Calibri"/>
                <w:b w:val="0"/>
                <w:i w:val="0"/>
                <w:color w:val="212121"/>
                <w:sz w:val="16"/>
              </w:rPr>
              <w:t>Elevated BP / fasting glucose</w:t>
            </w:r>
          </w:p>
        </w:tc>
        <w:tc>
          <w:tcPr>
            <w:tcW w:type="dxa" w:w="1036"/>
            <w:vAlign w:val="top"/>
          </w:tcPr>
          <w:p>
            <w:pPr>
              <w:spacing w:after="40" w:before="0" w:line="259" w:lineRule="auto"/>
            </w:pPr>
            <w:r>
              <w:rPr>
                <w:rFonts w:ascii="Calibri" w:hAnsi="Calibri"/>
                <w:b w:val="0"/>
                <w:i w:val="0"/>
                <w:color w:val="212121"/>
                <w:sz w:val="16"/>
              </w:rPr>
              <w:t>Cardiometabolic risk stratification given rosacea associations</w:t>
            </w:r>
          </w:p>
        </w:tc>
        <w:tc>
          <w:tcPr>
            <w:tcW w:type="dxa" w:w="1036"/>
            <w:vAlign w:val="top"/>
          </w:tcPr>
          <w:p>
            <w:pPr>
              <w:spacing w:after="40" w:before="0" w:line="259" w:lineRule="auto"/>
            </w:pPr>
            <w:r>
              <w:rPr>
                <w:rFonts w:ascii="Calibri" w:hAnsi="Calibri"/>
                <w:b w:val="0"/>
                <w:i w:val="0"/>
                <w:color w:val="212121"/>
                <w:sz w:val="16"/>
              </w:rPr>
              <w:t>Adults, overweight, cardiometabolic risk</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Hypertension OR ~1.2; insulin resistance OR 2.34</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KOH mount / pustule swab</w:t>
            </w:r>
          </w:p>
        </w:tc>
        <w:tc>
          <w:tcPr>
            <w:tcW w:type="dxa" w:w="892"/>
            <w:vAlign w:val="top"/>
          </w:tcPr>
          <w:p>
            <w:pPr>
              <w:spacing w:after="40" w:before="0" w:line="259" w:lineRule="auto"/>
            </w:pPr>
            <w:r>
              <w:rPr>
                <w:rFonts w:ascii="Calibri" w:hAnsi="Calibri"/>
                <w:b w:val="0"/>
                <w:i w:val="0"/>
                <w:color w:val="212121"/>
                <w:sz w:val="16"/>
              </w:rPr>
              <w:t>Direct microscopy &amp; culture</w:t>
            </w:r>
          </w:p>
        </w:tc>
        <w:tc>
          <w:tcPr>
            <w:tcW w:type="dxa" w:w="950"/>
            <w:vAlign w:val="top"/>
          </w:tcPr>
          <w:p>
            <w:pPr>
              <w:spacing w:after="40" w:before="0" w:line="259" w:lineRule="auto"/>
            </w:pPr>
            <w:r>
              <w:rPr>
                <w:rFonts w:ascii="Calibri" w:hAnsi="Calibri"/>
                <w:b w:val="0"/>
                <w:i w:val="0"/>
                <w:color w:val="212121"/>
                <w:sz w:val="16"/>
              </w:rPr>
              <w:t>No pathogens</w:t>
            </w:r>
          </w:p>
        </w:tc>
        <w:tc>
          <w:tcPr>
            <w:tcW w:type="dxa" w:w="950"/>
            <w:vAlign w:val="top"/>
          </w:tcPr>
          <w:p>
            <w:pPr>
              <w:spacing w:after="40" w:before="0" w:line="259" w:lineRule="auto"/>
            </w:pPr>
            <w:r>
              <w:rPr>
                <w:rFonts w:ascii="Calibri" w:hAnsi="Calibri"/>
                <w:b w:val="0"/>
                <w:i w:val="0"/>
                <w:color w:val="212121"/>
                <w:sz w:val="16"/>
              </w:rPr>
              <w:t>Demodex, secondary Staphylococcus aureus, or dermatophyte</w:t>
            </w:r>
          </w:p>
        </w:tc>
        <w:tc>
          <w:tcPr>
            <w:tcW w:type="dxa" w:w="1036"/>
            <w:vAlign w:val="top"/>
          </w:tcPr>
          <w:p>
            <w:pPr>
              <w:spacing w:after="40" w:before="0" w:line="259" w:lineRule="auto"/>
            </w:pPr>
            <w:r>
              <w:rPr>
                <w:rFonts w:ascii="Calibri" w:hAnsi="Calibri"/>
                <w:b w:val="0"/>
                <w:i w:val="0"/>
                <w:color w:val="212121"/>
                <w:sz w:val="16"/>
              </w:rPr>
              <w:t>Identifies Demodex or secondary infection and excludes tinea faciei</w:t>
            </w:r>
          </w:p>
        </w:tc>
        <w:tc>
          <w:tcPr>
            <w:tcW w:type="dxa" w:w="1036"/>
            <w:vAlign w:val="top"/>
          </w:tcPr>
          <w:p>
            <w:pPr>
              <w:spacing w:after="40" w:before="0" w:line="259" w:lineRule="auto"/>
            </w:pPr>
            <w:r>
              <w:rPr>
                <w:rFonts w:ascii="Calibri" w:hAnsi="Calibri"/>
                <w:b w:val="0"/>
                <w:i w:val="0"/>
                <w:color w:val="212121"/>
                <w:sz w:val="16"/>
              </w:rPr>
              <w:t>Pustular, treatment-resistant</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Helps distinguish from folliculitis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Flushing, persistent central-face redness, burning/stinging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Cardinal neurovascular symptoms of rosacea</w:t>
            </w:r>
          </w:p>
        </w:tc>
        <w:tc>
          <w:tcPr>
            <w:tcW w:type="dxa" w:w="1036"/>
            <w:vAlign w:val="top"/>
          </w:tcPr>
          <w:p>
            <w:pPr>
              <w:spacing w:after="40" w:before="0" w:line="259" w:lineRule="auto"/>
            </w:pPr>
            <w:r>
              <w:rPr>
                <w:rFonts w:ascii="Calibri" w:hAnsi="Calibri"/>
                <w:b w:val="0"/>
                <w:i w:val="0"/>
                <w:color w:val="212121"/>
                <w:sz w:val="16"/>
              </w:rPr>
              <w:t>Adults 30–50 years, women</w:t>
            </w:r>
          </w:p>
        </w:tc>
        <w:tc>
          <w:tcPr>
            <w:tcW w:type="dxa" w:w="720"/>
            <w:vAlign w:val="top"/>
          </w:tcPr>
          <w:p>
            <w:pPr>
              <w:spacing w:after="40" w:before="0" w:line="259" w:lineRule="auto"/>
            </w:pPr>
            <w:r>
              <w:rPr>
                <w:rFonts w:ascii="Calibri" w:hAnsi="Calibri"/>
                <w:b w:val="0"/>
                <w:i w:val="0"/>
                <w:color w:val="212121"/>
                <w:sz w:val="16"/>
              </w:rPr>
              <w:t>Provoking factors;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Burning/stinging are key cues in dark skin where erythema is masked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profile</w:t>
            </w:r>
          </w:p>
        </w:tc>
        <w:tc>
          <w:tcPr>
            <w:tcW w:type="dxa" w:w="979"/>
            <w:vAlign w:val="top"/>
          </w:tcPr>
          <w:p>
            <w:pPr>
              <w:spacing w:after="40" w:before="0" w:line="259" w:lineRule="auto"/>
            </w:pPr>
            <w:r>
              <w:rPr>
                <w:rFonts w:ascii="Calibri" w:hAnsi="Calibri"/>
                <w:b w:val="0"/>
                <w:i w:val="0"/>
                <w:color w:val="212121"/>
                <w:sz w:val="16"/>
              </w:rPr>
              <w:t>Sun, heat, emotional stress, alcohol, spicy food</w:t>
            </w:r>
          </w:p>
        </w:tc>
        <w:tc>
          <w:tcPr>
            <w:tcW w:type="dxa" w:w="950"/>
            <w:vAlign w:val="top"/>
          </w:tcPr>
          <w:p>
            <w:pPr>
              <w:spacing w:after="40" w:before="0" w:line="259" w:lineRule="auto"/>
            </w:pPr>
            <w:r>
              <w:rPr>
                <w:rFonts w:ascii="Calibri" w:hAnsi="Calibri"/>
                <w:b w:val="0"/>
                <w:i w:val="0"/>
                <w:color w:val="212121"/>
                <w:sz w:val="16"/>
              </w:rPr>
              <w:t>No identifiable triggers</w:t>
            </w:r>
          </w:p>
        </w:tc>
        <w:tc>
          <w:tcPr>
            <w:tcW w:type="dxa" w:w="950"/>
            <w:vAlign w:val="top"/>
          </w:tcPr>
          <w:p>
            <w:pPr>
              <w:spacing w:after="40" w:before="0" w:line="259" w:lineRule="auto"/>
            </w:pPr>
            <w:r>
              <w:rPr>
                <w:rFonts w:ascii="Calibri" w:hAnsi="Calibri"/>
                <w:b w:val="0"/>
                <w:i w:val="0"/>
                <w:color w:val="212121"/>
                <w:sz w:val="16"/>
              </w:rPr>
              <w:t>Reproducible triggers identified</w:t>
            </w:r>
          </w:p>
        </w:tc>
        <w:tc>
          <w:tcPr>
            <w:tcW w:type="dxa" w:w="1036"/>
            <w:vAlign w:val="top"/>
          </w:tcPr>
          <w:p>
            <w:pPr>
              <w:spacing w:after="40" w:before="0" w:line="259" w:lineRule="auto"/>
            </w:pPr>
            <w:r>
              <w:rPr>
                <w:rFonts w:ascii="Calibri" w:hAnsi="Calibri"/>
                <w:b w:val="0"/>
                <w:i w:val="0"/>
                <w:color w:val="212121"/>
                <w:sz w:val="16"/>
              </w:rPr>
              <w:t>Guides individualised avoidance advice</w:t>
            </w:r>
          </w:p>
        </w:tc>
        <w:tc>
          <w:tcPr>
            <w:tcW w:type="dxa" w:w="1036"/>
            <w:vAlign w:val="top"/>
          </w:tcPr>
          <w:p>
            <w:pPr>
              <w:spacing w:after="40" w:before="0" w:line="259" w:lineRule="auto"/>
            </w:pPr>
            <w:r>
              <w:rPr>
                <w:rFonts w:ascii="Calibri" w:hAnsi="Calibri"/>
                <w:b w:val="0"/>
                <w:i w:val="0"/>
                <w:color w:val="212121"/>
                <w:sz w:val="16"/>
              </w:rPr>
              <w:t>All rosacea patients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Management</w:t>
            </w:r>
          </w:p>
        </w:tc>
        <w:tc>
          <w:tcPr>
            <w:tcW w:type="dxa" w:w="720"/>
            <w:vAlign w:val="top"/>
          </w:tcPr>
          <w:p>
            <w:pPr>
              <w:spacing w:after="40" w:before="0" w:line="259" w:lineRule="auto"/>
            </w:pPr>
            <w:r>
              <w:rPr>
                <w:rFonts w:ascii="Calibri" w:hAnsi="Calibri"/>
                <w:b w:val="0"/>
                <w:i w:val="0"/>
                <w:color w:val="212121"/>
                <w:sz w:val="16"/>
              </w:rPr>
              <w:t>Sun 81%, stress 79%, hot weather 75%</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Drug/cosmetic history</w:t>
            </w:r>
          </w:p>
        </w:tc>
        <w:tc>
          <w:tcPr>
            <w:tcW w:type="dxa" w:w="979"/>
            <w:vAlign w:val="top"/>
          </w:tcPr>
          <w:p>
            <w:pPr>
              <w:spacing w:after="40" w:before="0" w:line="259" w:lineRule="auto"/>
            </w:pPr>
            <w:r>
              <w:rPr>
                <w:rFonts w:ascii="Calibri" w:hAnsi="Calibri"/>
                <w:b w:val="0"/>
                <w:i w:val="0"/>
                <w:color w:val="212121"/>
                <w:sz w:val="16"/>
              </w:rPr>
              <w:t>Topical corticosteroids, vasodilators, niacin, fairness creams</w:t>
            </w:r>
          </w:p>
        </w:tc>
        <w:tc>
          <w:tcPr>
            <w:tcW w:type="dxa" w:w="950"/>
            <w:vAlign w:val="top"/>
          </w:tcPr>
          <w:p>
            <w:pPr>
              <w:spacing w:after="40" w:before="0" w:line="259" w:lineRule="auto"/>
            </w:pPr>
            <w:r>
              <w:rPr>
                <w:rFonts w:ascii="Calibri" w:hAnsi="Calibri"/>
                <w:b w:val="0"/>
                <w:i w:val="0"/>
                <w:color w:val="212121"/>
                <w:sz w:val="16"/>
              </w:rPr>
              <w:t>No provoking agents</w:t>
            </w:r>
          </w:p>
        </w:tc>
        <w:tc>
          <w:tcPr>
            <w:tcW w:type="dxa" w:w="950"/>
            <w:vAlign w:val="top"/>
          </w:tcPr>
          <w:p>
            <w:pPr>
              <w:spacing w:after="40" w:before="0" w:line="259" w:lineRule="auto"/>
            </w:pPr>
            <w:r>
              <w:rPr>
                <w:rFonts w:ascii="Calibri" w:hAnsi="Calibri"/>
                <w:b w:val="0"/>
                <w:i w:val="0"/>
                <w:color w:val="212121"/>
                <w:sz w:val="16"/>
              </w:rPr>
              <w:t>Chronic potent topical-steroid use</w:t>
            </w:r>
          </w:p>
        </w:tc>
        <w:tc>
          <w:tcPr>
            <w:tcW w:type="dxa" w:w="1036"/>
            <w:vAlign w:val="top"/>
          </w:tcPr>
          <w:p>
            <w:pPr>
              <w:spacing w:after="40" w:before="0" w:line="259" w:lineRule="auto"/>
            </w:pPr>
            <w:r>
              <w:rPr>
                <w:rFonts w:ascii="Calibri" w:hAnsi="Calibri"/>
                <w:b w:val="0"/>
                <w:i w:val="0"/>
                <w:color w:val="212121"/>
                <w:sz w:val="16"/>
              </w:rPr>
              <w:t>Identifies steroid-induced (rosacea-like) dermatitis</w:t>
            </w:r>
          </w:p>
        </w:tc>
        <w:tc>
          <w:tcPr>
            <w:tcW w:type="dxa" w:w="1036"/>
            <w:vAlign w:val="top"/>
          </w:tcPr>
          <w:p>
            <w:pPr>
              <w:spacing w:after="40" w:before="0" w:line="259" w:lineRule="auto"/>
            </w:pPr>
            <w:r>
              <w:rPr>
                <w:rFonts w:ascii="Calibri" w:hAnsi="Calibri"/>
                <w:b w:val="0"/>
                <w:i w:val="0"/>
                <w:color w:val="212121"/>
                <w:sz w:val="16"/>
              </w:rPr>
              <w:t>Steroid/fairness-cream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Etiologic</w:t>
            </w:r>
          </w:p>
        </w:tc>
        <w:tc>
          <w:tcPr>
            <w:tcW w:type="dxa" w:w="720"/>
            <w:vAlign w:val="top"/>
          </w:tcPr>
          <w:p>
            <w:pPr>
              <w:spacing w:after="40" w:before="0" w:line="259" w:lineRule="auto"/>
            </w:pPr>
            <w:r>
              <w:rPr>
                <w:rFonts w:ascii="Calibri" w:hAnsi="Calibri"/>
                <w:b w:val="0"/>
                <w:i w:val="0"/>
                <w:color w:val="212121"/>
                <w:sz w:val="16"/>
              </w:rPr>
              <w:t>Rebound erythema on withdrawal is characteristic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 with rosacea</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first-degree relative affected</w:t>
            </w:r>
          </w:p>
        </w:tc>
        <w:tc>
          <w:tcPr>
            <w:tcW w:type="dxa" w:w="1036"/>
            <w:vAlign w:val="top"/>
          </w:tcPr>
          <w:p>
            <w:pPr>
              <w:spacing w:after="40" w:before="0" w:line="259" w:lineRule="auto"/>
            </w:pPr>
            <w:r>
              <w:rPr>
                <w:rFonts w:ascii="Calibri" w:hAnsi="Calibri"/>
                <w:b w:val="0"/>
                <w:i w:val="0"/>
                <w:color w:val="212121"/>
                <w:sz w:val="16"/>
              </w:rPr>
              <w:t>Genetic predisposition</w:t>
            </w:r>
          </w:p>
        </w:tc>
        <w:tc>
          <w:tcPr>
            <w:tcW w:type="dxa" w:w="1036"/>
            <w:vAlign w:val="top"/>
          </w:tcPr>
          <w:p>
            <w:pPr>
              <w:spacing w:after="40" w:before="0" w:line="259" w:lineRule="auto"/>
            </w:pPr>
            <w:r>
              <w:rPr>
                <w:rFonts w:ascii="Calibri" w:hAnsi="Calibri"/>
                <w:b w:val="0"/>
                <w:i w:val="0"/>
                <w:color w:val="212121"/>
                <w:sz w:val="16"/>
              </w:rPr>
              <w:t>Relatives of rosacea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Stronger in fair phototypes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Distribution &amp; morphology</w:t>
            </w:r>
          </w:p>
        </w:tc>
        <w:tc>
          <w:tcPr>
            <w:tcW w:type="dxa" w:w="979"/>
            <w:vAlign w:val="top"/>
          </w:tcPr>
          <w:p>
            <w:pPr>
              <w:spacing w:after="40" w:before="0" w:line="259" w:lineRule="auto"/>
            </w:pPr>
            <w:r>
              <w:rPr>
                <w:rFonts w:ascii="Calibri" w:hAnsi="Calibri"/>
                <w:b w:val="0"/>
                <w:i w:val="0"/>
                <w:color w:val="212121"/>
                <w:sz w:val="16"/>
              </w:rPr>
              <w:t>Centrofacial erythema; papules/pustules WITHOUT comedones</w:t>
            </w:r>
          </w:p>
        </w:tc>
        <w:tc>
          <w:tcPr>
            <w:tcW w:type="dxa" w:w="950"/>
            <w:vAlign w:val="top"/>
          </w:tcPr>
          <w:p>
            <w:pPr>
              <w:spacing w:after="40" w:before="0" w:line="259" w:lineRule="auto"/>
            </w:pPr>
            <w:r>
              <w:rPr>
                <w:rFonts w:ascii="Calibri" w:hAnsi="Calibri"/>
                <w:b w:val="0"/>
                <w:i w:val="0"/>
                <w:color w:val="212121"/>
                <w:sz w:val="16"/>
              </w:rPr>
              <w:t>Clear central face</w:t>
            </w:r>
          </w:p>
        </w:tc>
        <w:tc>
          <w:tcPr>
            <w:tcW w:type="dxa" w:w="950"/>
            <w:vAlign w:val="top"/>
          </w:tcPr>
          <w:p>
            <w:pPr>
              <w:spacing w:after="40" w:before="0" w:line="259" w:lineRule="auto"/>
            </w:pPr>
            <w:r>
              <w:rPr>
                <w:rFonts w:ascii="Calibri" w:hAnsi="Calibri"/>
                <w:b w:val="0"/>
                <w:i w:val="0"/>
                <w:color w:val="212121"/>
                <w:sz w:val="16"/>
              </w:rPr>
              <w:t>Centrofacial involvement of convex surfaces</w:t>
            </w:r>
          </w:p>
        </w:tc>
        <w:tc>
          <w:tcPr>
            <w:tcW w:type="dxa" w:w="1036"/>
            <w:vAlign w:val="top"/>
          </w:tcPr>
          <w:p>
            <w:pPr>
              <w:spacing w:after="40" w:before="0" w:line="259" w:lineRule="auto"/>
            </w:pPr>
            <w:r>
              <w:rPr>
                <w:rFonts w:ascii="Calibri" w:hAnsi="Calibri"/>
                <w:b w:val="0"/>
                <w:i w:val="0"/>
                <w:color w:val="212121"/>
                <w:sz w:val="16"/>
              </w:rPr>
              <w:t>Absence of comedones distinguishes rosacea from acne vulgaris</w:t>
            </w:r>
          </w:p>
        </w:tc>
        <w:tc>
          <w:tcPr>
            <w:tcW w:type="dxa" w:w="1036"/>
            <w:vAlign w:val="top"/>
          </w:tcPr>
          <w:p>
            <w:pPr>
              <w:spacing w:after="40" w:before="0" w:line="259" w:lineRule="auto"/>
            </w:pPr>
            <w:r>
              <w:rPr>
                <w:rFonts w:ascii="Calibri" w:hAnsi="Calibri"/>
                <w:b w:val="0"/>
                <w:i w:val="0"/>
                <w:color w:val="212121"/>
                <w:sz w:val="16"/>
              </w:rPr>
              <w:t>All rosacea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Involves cheeks, nose, chin, glabella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Phyma assessment</w:t>
            </w:r>
          </w:p>
        </w:tc>
        <w:tc>
          <w:tcPr>
            <w:tcW w:type="dxa" w:w="979"/>
            <w:vAlign w:val="top"/>
          </w:tcPr>
          <w:p>
            <w:pPr>
              <w:spacing w:after="40" w:before="0" w:line="259" w:lineRule="auto"/>
            </w:pPr>
            <w:r>
              <w:rPr>
                <w:rFonts w:ascii="Calibri" w:hAnsi="Calibri"/>
                <w:b w:val="0"/>
                <w:i w:val="0"/>
                <w:color w:val="212121"/>
                <w:sz w:val="16"/>
              </w:rPr>
              <w:t>Skin thickening / irregular nasal nodularity</w:t>
            </w:r>
          </w:p>
        </w:tc>
        <w:tc>
          <w:tcPr>
            <w:tcW w:type="dxa" w:w="950"/>
            <w:vAlign w:val="top"/>
          </w:tcPr>
          <w:p>
            <w:pPr>
              <w:spacing w:after="40" w:before="0" w:line="259" w:lineRule="auto"/>
            </w:pPr>
            <w:r>
              <w:rPr>
                <w:rFonts w:ascii="Calibri" w:hAnsi="Calibri"/>
                <w:b w:val="0"/>
                <w:i w:val="0"/>
                <w:color w:val="212121"/>
                <w:sz w:val="16"/>
              </w:rPr>
              <w:t>No thickening</w:t>
            </w:r>
          </w:p>
        </w:tc>
        <w:tc>
          <w:tcPr>
            <w:tcW w:type="dxa" w:w="950"/>
            <w:vAlign w:val="top"/>
          </w:tcPr>
          <w:p>
            <w:pPr>
              <w:spacing w:after="40" w:before="0" w:line="259" w:lineRule="auto"/>
            </w:pPr>
            <w:r>
              <w:rPr>
                <w:rFonts w:ascii="Calibri" w:hAnsi="Calibri"/>
                <w:b w:val="0"/>
                <w:i w:val="0"/>
                <w:color w:val="212121"/>
                <w:sz w:val="16"/>
              </w:rPr>
              <w:t>Phymatous change (e.g., rhinophyma)</w:t>
            </w:r>
          </w:p>
        </w:tc>
        <w:tc>
          <w:tcPr>
            <w:tcW w:type="dxa" w:w="1036"/>
            <w:vAlign w:val="top"/>
          </w:tcPr>
          <w:p>
            <w:pPr>
              <w:spacing w:after="40" w:before="0" w:line="259" w:lineRule="auto"/>
            </w:pPr>
            <w:r>
              <w:rPr>
                <w:rFonts w:ascii="Calibri" w:hAnsi="Calibri"/>
                <w:b w:val="0"/>
                <w:i w:val="0"/>
                <w:color w:val="212121"/>
                <w:sz w:val="16"/>
              </w:rPr>
              <w:t>Identifies phymatous subtype and severity</w:t>
            </w:r>
          </w:p>
        </w:tc>
        <w:tc>
          <w:tcPr>
            <w:tcW w:type="dxa" w:w="1036"/>
            <w:vAlign w:val="top"/>
          </w:tcPr>
          <w:p>
            <w:pPr>
              <w:spacing w:after="40" w:before="0" w:line="259" w:lineRule="auto"/>
            </w:pPr>
            <w:r>
              <w:rPr>
                <w:rFonts w:ascii="Calibri" w:hAnsi="Calibri"/>
                <w:b w:val="0"/>
                <w:i w:val="0"/>
                <w:color w:val="212121"/>
                <w:sz w:val="16"/>
              </w:rPr>
              <w:t>Older men, long-standing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Staging</w:t>
            </w:r>
          </w:p>
        </w:tc>
        <w:tc>
          <w:tcPr>
            <w:tcW w:type="dxa" w:w="720"/>
            <w:vAlign w:val="top"/>
          </w:tcPr>
          <w:p>
            <w:pPr>
              <w:spacing w:after="40" w:before="0" w:line="259" w:lineRule="auto"/>
            </w:pPr>
            <w:r>
              <w:rPr>
                <w:rFonts w:ascii="Calibri" w:hAnsi="Calibri"/>
                <w:b w:val="0"/>
                <w:i w:val="0"/>
                <w:color w:val="212121"/>
                <w:sz w:val="16"/>
              </w:rPr>
              <w:t>Late, potentially disfiguring outcome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Ophthalmic examination</w:t>
            </w:r>
          </w:p>
        </w:tc>
        <w:tc>
          <w:tcPr>
            <w:tcW w:type="dxa" w:w="950"/>
            <w:vAlign w:val="top"/>
          </w:tcPr>
          <w:p>
            <w:pPr>
              <w:spacing w:after="40" w:before="0" w:line="259" w:lineRule="auto"/>
            </w:pPr>
            <w:r>
              <w:rPr>
                <w:rFonts w:ascii="Calibri" w:hAnsi="Calibri"/>
                <w:b w:val="0"/>
                <w:i w:val="0"/>
                <w:color w:val="212121"/>
                <w:sz w:val="16"/>
              </w:rPr>
              <w:t>Lid margin &amp; ocular surface</w:t>
            </w:r>
          </w:p>
        </w:tc>
        <w:tc>
          <w:tcPr>
            <w:tcW w:type="dxa" w:w="979"/>
            <w:vAlign w:val="top"/>
          </w:tcPr>
          <w:p>
            <w:pPr>
              <w:spacing w:after="40" w:before="0" w:line="259" w:lineRule="auto"/>
            </w:pPr>
            <w:r>
              <w:rPr>
                <w:rFonts w:ascii="Calibri" w:hAnsi="Calibri"/>
                <w:b w:val="0"/>
                <w:i w:val="0"/>
                <w:color w:val="212121"/>
                <w:sz w:val="16"/>
              </w:rPr>
              <w:t>Lid-margin telangiectasia, blepharitis, conjunctival injection</w:t>
            </w:r>
          </w:p>
        </w:tc>
        <w:tc>
          <w:tcPr>
            <w:tcW w:type="dxa" w:w="950"/>
            <w:vAlign w:val="top"/>
          </w:tcPr>
          <w:p>
            <w:pPr>
              <w:spacing w:after="40" w:before="0" w:line="259" w:lineRule="auto"/>
            </w:pPr>
            <w:r>
              <w:rPr>
                <w:rFonts w:ascii="Calibri" w:hAnsi="Calibri"/>
                <w:b w:val="0"/>
                <w:i w:val="0"/>
                <w:color w:val="212121"/>
                <w:sz w:val="16"/>
              </w:rPr>
              <w:t>Normal lids/conjunctiva</w:t>
            </w:r>
          </w:p>
        </w:tc>
        <w:tc>
          <w:tcPr>
            <w:tcW w:type="dxa" w:w="950"/>
            <w:vAlign w:val="top"/>
          </w:tcPr>
          <w:p>
            <w:pPr>
              <w:spacing w:after="40" w:before="0" w:line="259" w:lineRule="auto"/>
            </w:pPr>
            <w:r>
              <w:rPr>
                <w:rFonts w:ascii="Calibri" w:hAnsi="Calibri"/>
                <w:b w:val="0"/>
                <w:i w:val="0"/>
                <w:color w:val="212121"/>
                <w:sz w:val="16"/>
              </w:rPr>
              <w:t>Any ocular sign present</w:t>
            </w:r>
          </w:p>
        </w:tc>
        <w:tc>
          <w:tcPr>
            <w:tcW w:type="dxa" w:w="1036"/>
            <w:vAlign w:val="top"/>
          </w:tcPr>
          <w:p>
            <w:pPr>
              <w:spacing w:after="40" w:before="0" w:line="259" w:lineRule="auto"/>
            </w:pPr>
            <w:r>
              <w:rPr>
                <w:rFonts w:ascii="Calibri" w:hAnsi="Calibri"/>
                <w:b w:val="0"/>
                <w:i w:val="0"/>
                <w:color w:val="212121"/>
                <w:sz w:val="16"/>
              </w:rPr>
              <w:t>Detects ocular rosacea, which is frequently missed</w:t>
            </w:r>
          </w:p>
        </w:tc>
        <w:tc>
          <w:tcPr>
            <w:tcW w:type="dxa" w:w="1036"/>
            <w:vAlign w:val="top"/>
          </w:tcPr>
          <w:p>
            <w:pPr>
              <w:spacing w:after="40" w:before="0" w:line="259" w:lineRule="auto"/>
            </w:pPr>
            <w:r>
              <w:rPr>
                <w:rFonts w:ascii="Calibri" w:hAnsi="Calibri"/>
                <w:b w:val="0"/>
                <w:i w:val="0"/>
                <w:color w:val="212121"/>
                <w:sz w:val="16"/>
              </w:rPr>
              <w:t>Patients with eye symptoms or facial rosacea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Present in ~42% of Indian facial-rosacea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Dermoscopy</w:t>
            </w:r>
          </w:p>
        </w:tc>
        <w:tc>
          <w:tcPr>
            <w:tcW w:type="dxa" w:w="950"/>
            <w:vAlign w:val="top"/>
          </w:tcPr>
          <w:p>
            <w:pPr>
              <w:spacing w:after="40" w:before="0" w:line="259" w:lineRule="auto"/>
            </w:pPr>
            <w:r>
              <w:rPr>
                <w:rFonts w:ascii="Calibri" w:hAnsi="Calibri"/>
                <w:b w:val="0"/>
                <w:i w:val="0"/>
                <w:color w:val="212121"/>
                <w:sz w:val="16"/>
              </w:rPr>
              <w:t>Vascular/follicular pattern</w:t>
            </w:r>
          </w:p>
        </w:tc>
        <w:tc>
          <w:tcPr>
            <w:tcW w:type="dxa" w:w="979"/>
            <w:vAlign w:val="top"/>
          </w:tcPr>
          <w:p>
            <w:pPr>
              <w:spacing w:after="40" w:before="0" w:line="259" w:lineRule="auto"/>
            </w:pPr>
            <w:r>
              <w:rPr>
                <w:rFonts w:ascii="Calibri" w:hAnsi="Calibri"/>
                <w:b w:val="0"/>
                <w:i w:val="0"/>
                <w:color w:val="212121"/>
                <w:sz w:val="16"/>
              </w:rPr>
              <w:t>Polygonal vessels, follicular scaling, Demodex tails</w:t>
            </w:r>
          </w:p>
        </w:tc>
        <w:tc>
          <w:tcPr>
            <w:tcW w:type="dxa" w:w="950"/>
            <w:vAlign w:val="top"/>
          </w:tcPr>
          <w:p>
            <w:pPr>
              <w:spacing w:after="40" w:before="0" w:line="259" w:lineRule="auto"/>
            </w:pPr>
            <w:r>
              <w:rPr>
                <w:rFonts w:ascii="Calibri" w:hAnsi="Calibri"/>
                <w:b w:val="0"/>
                <w:i w:val="0"/>
                <w:color w:val="212121"/>
                <w:sz w:val="16"/>
              </w:rPr>
              <w:t>No characteristic pattern</w:t>
            </w:r>
          </w:p>
        </w:tc>
        <w:tc>
          <w:tcPr>
            <w:tcW w:type="dxa" w:w="950"/>
            <w:vAlign w:val="top"/>
          </w:tcPr>
          <w:p>
            <w:pPr>
              <w:spacing w:after="40" w:before="0" w:line="259" w:lineRule="auto"/>
            </w:pPr>
            <w:r>
              <w:rPr>
                <w:rFonts w:ascii="Calibri" w:hAnsi="Calibri"/>
                <w:b w:val="0"/>
                <w:i w:val="0"/>
                <w:color w:val="212121"/>
                <w:sz w:val="16"/>
              </w:rPr>
              <w:t>Polygonal vascular network / Demodex tails</w:t>
            </w:r>
          </w:p>
        </w:tc>
        <w:tc>
          <w:tcPr>
            <w:tcW w:type="dxa" w:w="1036"/>
            <w:vAlign w:val="top"/>
          </w:tcPr>
          <w:p>
            <w:pPr>
              <w:spacing w:after="40" w:before="0" w:line="259" w:lineRule="auto"/>
            </w:pPr>
            <w:r>
              <w:rPr>
                <w:rFonts w:ascii="Calibri" w:hAnsi="Calibri"/>
                <w:b w:val="0"/>
                <w:i w:val="0"/>
                <w:color w:val="212121"/>
                <w:sz w:val="16"/>
              </w:rPr>
              <w:t>Aids diagnosis when erythema is masked in pigmented skin</w:t>
            </w:r>
          </w:p>
        </w:tc>
        <w:tc>
          <w:tcPr>
            <w:tcW w:type="dxa" w:w="1036"/>
            <w:vAlign w:val="top"/>
          </w:tcPr>
          <w:p>
            <w:pPr>
              <w:spacing w:after="40" w:before="0" w:line="259" w:lineRule="auto"/>
            </w:pPr>
            <w:r>
              <w:rPr>
                <w:rFonts w:ascii="Calibri" w:hAnsi="Calibri"/>
                <w:b w:val="0"/>
                <w:i w:val="0"/>
                <w:color w:val="212121"/>
                <w:sz w:val="16"/>
              </w:rPr>
              <w:t>Skin-of-colour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Useful non-invasive bedside tool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Flushing (transient facial redness and warmth)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trigger-provoked centrofacial redness lasting minutes, mediated by neurovascular vasodilation.</w:t>
            </w:r>
          </w:p>
        </w:tc>
      </w:tr>
      <w:tr>
        <w:trPr>
          <w:cantSplit/>
        </w:trPr>
        <w:tc>
          <w:tcPr>
            <w:tcW w:type="dxa" w:w="2304"/>
            <w:vAlign w:val="top"/>
          </w:tcPr>
          <w:p>
            <w:pPr>
              <w:spacing w:after="40" w:before="0" w:line="259" w:lineRule="auto"/>
            </w:pPr>
            <w:r>
              <w:rPr>
                <w:rFonts w:ascii="Calibri" w:hAnsi="Calibri"/>
                <w:b/>
                <w:i w:val="0"/>
                <w:color w:val="212121"/>
                <w:sz w:val="19"/>
              </w:rPr>
              <w:t>Persistent centrofacial erythema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Fixed background redness of cheeks, nose, chin and glabella — the hallmark diagnostic feature.</w:t>
            </w:r>
          </w:p>
        </w:tc>
      </w:tr>
      <w:tr>
        <w:trPr>
          <w:cantSplit/>
        </w:trPr>
        <w:tc>
          <w:tcPr>
            <w:tcW w:type="dxa" w:w="2304"/>
            <w:vAlign w:val="top"/>
          </w:tcPr>
          <w:p>
            <w:pPr>
              <w:spacing w:after="40" w:before="0" w:line="259" w:lineRule="auto"/>
            </w:pPr>
            <w:r>
              <w:rPr>
                <w:rFonts w:ascii="Calibri" w:hAnsi="Calibri"/>
                <w:b/>
                <w:i w:val="0"/>
                <w:color w:val="212121"/>
                <w:sz w:val="19"/>
              </w:rPr>
              <w:t>Burning or stinging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Neurogenic skin discomfort, often the leading complaint in pigmented skin where redness is hard to see.</w:t>
            </w:r>
          </w:p>
        </w:tc>
      </w:tr>
      <w:tr>
        <w:trPr>
          <w:cantSplit/>
        </w:trPr>
        <w:tc>
          <w:tcPr>
            <w:tcW w:type="dxa" w:w="2304"/>
            <w:vAlign w:val="top"/>
          </w:tcPr>
          <w:p>
            <w:pPr>
              <w:spacing w:after="40" w:before="0" w:line="259" w:lineRule="auto"/>
            </w:pPr>
            <w:r>
              <w:rPr>
                <w:rFonts w:ascii="Calibri" w:hAnsi="Calibri"/>
                <w:b/>
                <w:i w:val="0"/>
                <w:color w:val="212121"/>
                <w:sz w:val="19"/>
              </w:rPr>
              <w:t>Inflammatory papules and pustules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Dome-shaped red papules and pustules of the central face, characteristically without comedones.</w:t>
            </w:r>
          </w:p>
        </w:tc>
      </w:tr>
      <w:tr>
        <w:trPr>
          <w:cantSplit/>
        </w:trPr>
        <w:tc>
          <w:tcPr>
            <w:tcW w:type="dxa" w:w="2304"/>
            <w:vAlign w:val="top"/>
          </w:tcPr>
          <w:p>
            <w:pPr>
              <w:spacing w:after="40" w:before="0" w:line="259" w:lineRule="auto"/>
            </w:pPr>
            <w:r>
              <w:rPr>
                <w:rFonts w:ascii="Calibri" w:hAnsi="Calibri"/>
                <w:b/>
                <w:i w:val="0"/>
                <w:color w:val="212121"/>
                <w:sz w:val="19"/>
              </w:rPr>
              <w:t>Facial skin sensitivity / product intolerance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barrier causes stinging and intolerance to many cosmetics and topical agents.</w:t>
            </w:r>
          </w:p>
        </w:tc>
      </w:tr>
      <w:tr>
        <w:trPr>
          <w:cantSplit/>
        </w:trPr>
        <w:tc>
          <w:tcPr>
            <w:tcW w:type="dxa" w:w="2304"/>
            <w:vAlign w:val="top"/>
          </w:tcPr>
          <w:p>
            <w:pPr>
              <w:spacing w:after="40" w:before="0" w:line="259" w:lineRule="auto"/>
            </w:pPr>
            <w:r>
              <w:rPr>
                <w:rFonts w:ascii="Calibri" w:hAnsi="Calibri"/>
                <w:b/>
                <w:i w:val="0"/>
                <w:color w:val="212121"/>
                <w:sz w:val="19"/>
              </w:rPr>
              <w:t>Dryness, roughness or scaling of the central face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Barrier dysfunction gives a dry, rough or flaky texture over affected skin.</w:t>
            </w:r>
          </w:p>
        </w:tc>
      </w:tr>
      <w:tr>
        <w:trPr>
          <w:cantSplit/>
        </w:trPr>
        <w:tc>
          <w:tcPr>
            <w:tcW w:type="dxa" w:w="2304"/>
            <w:vAlign w:val="top"/>
          </w:tcPr>
          <w:p>
            <w:pPr>
              <w:spacing w:after="40" w:before="0" w:line="259" w:lineRule="auto"/>
            </w:pPr>
            <w:r>
              <w:rPr>
                <w:rFonts w:ascii="Calibri" w:hAnsi="Calibri"/>
                <w:b/>
                <w:i w:val="0"/>
                <w:color w:val="212121"/>
                <w:sz w:val="19"/>
              </w:rPr>
              <w:t>Sensation of facial heat/warmth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Subjective warmth accompanying flushing due to cutaneous vasodilation.</w:t>
            </w:r>
          </w:p>
        </w:tc>
      </w:tr>
      <w:tr>
        <w:trPr>
          <w:cantSplit/>
        </w:trPr>
        <w:tc>
          <w:tcPr>
            <w:tcW w:type="dxa" w:w="2304"/>
            <w:vAlign w:val="top"/>
          </w:tcPr>
          <w:p>
            <w:pPr>
              <w:spacing w:after="40" w:before="0" w:line="259" w:lineRule="auto"/>
            </w:pPr>
            <w:r>
              <w:rPr>
                <w:rFonts w:ascii="Calibri" w:hAnsi="Calibri"/>
                <w:b/>
                <w:i w:val="0"/>
                <w:color w:val="212121"/>
                <w:sz w:val="19"/>
              </w:rPr>
              <w:t>Ocular grittiness, dryness, foreign-body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Meibomian dysfunction and dry eye of ocular rosacea; dryness affected 66.7% of an Indian ocular cohort.</w:t>
            </w:r>
          </w:p>
        </w:tc>
      </w:tr>
      <w:tr>
        <w:trPr>
          <w:cantSplit/>
        </w:trPr>
        <w:tc>
          <w:tcPr>
            <w:tcW w:type="dxa" w:w="2304"/>
            <w:vAlign w:val="top"/>
          </w:tcPr>
          <w:p>
            <w:pPr>
              <w:spacing w:after="40" w:before="0" w:line="259" w:lineRule="auto"/>
            </w:pPr>
            <w:r>
              <w:rPr>
                <w:rFonts w:ascii="Calibri" w:hAnsi="Calibri"/>
                <w:b/>
                <w:i w:val="0"/>
                <w:color w:val="212121"/>
                <w:sz w:val="19"/>
              </w:rPr>
              <w:t>Facial swelling / puffiness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Soft oedema of cheeks and eyelids from increased vascular permeability during flares.</w:t>
            </w:r>
          </w:p>
        </w:tc>
      </w:tr>
      <w:tr>
        <w:trPr>
          <w:cantSplit/>
        </w:trPr>
        <w:tc>
          <w:tcPr>
            <w:tcW w:type="dxa" w:w="2304"/>
            <w:vAlign w:val="top"/>
          </w:tcPr>
          <w:p>
            <w:pPr>
              <w:spacing w:after="40" w:before="0" w:line="259" w:lineRule="auto"/>
            </w:pPr>
            <w:r>
              <w:rPr>
                <w:rFonts w:ascii="Calibri" w:hAnsi="Calibri"/>
                <w:b/>
                <w:i w:val="0"/>
                <w:color w:val="212121"/>
                <w:sz w:val="19"/>
              </w:rPr>
              <w:t>Itching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pruritus may accompany inflammation or Demodex overgrowth.</w:t>
            </w:r>
          </w:p>
        </w:tc>
      </w:tr>
      <w:tr>
        <w:trPr>
          <w:cantSplit/>
        </w:trPr>
        <w:tc>
          <w:tcPr>
            <w:tcW w:type="dxa" w:w="2304"/>
            <w:vAlign w:val="top"/>
          </w:tcPr>
          <w:p>
            <w:pPr>
              <w:spacing w:after="40" w:before="0" w:line="259" w:lineRule="auto"/>
            </w:pPr>
            <w:r>
              <w:rPr>
                <w:rFonts w:ascii="Calibri" w:hAnsi="Calibri"/>
                <w:b/>
                <w:i w:val="0"/>
                <w:color w:val="212121"/>
                <w:sz w:val="19"/>
              </w:rPr>
              <w:t>Nasal enlargement / thickening (rhinophyma)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Progressive sebaceous/fibrous overgrowth of the nose, mainly in older men.</w:t>
            </w:r>
          </w:p>
        </w:tc>
      </w:tr>
      <w:tr>
        <w:trPr>
          <w:cantSplit/>
        </w:trPr>
        <w:tc>
          <w:tcPr>
            <w:tcW w:type="dxa" w:w="2304"/>
            <w:vAlign w:val="top"/>
          </w:tcPr>
          <w:p>
            <w:pPr>
              <w:spacing w:after="40" w:before="0" w:line="259" w:lineRule="auto"/>
            </w:pPr>
            <w:r>
              <w:rPr>
                <w:rFonts w:ascii="Calibri" w:hAnsi="Calibri"/>
                <w:b/>
                <w:i w:val="0"/>
                <w:color w:val="212121"/>
                <w:sz w:val="19"/>
              </w:rPr>
              <w:t>Persistent hard facial oedema (Morbihan)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Chronic non-pitting lymphoedema of the upper face — an uncommon, treatment-resistant sequel.</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Fixed centrofacial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Persistent redness over convex cheeks, nose, chin and glabella — the diagnostic phenotype.</w:t>
            </w:r>
          </w:p>
        </w:tc>
      </w:tr>
      <w:tr>
        <w:trPr>
          <w:cantSplit/>
        </w:trPr>
        <w:tc>
          <w:tcPr>
            <w:tcW w:type="dxa" w:w="3456"/>
            <w:vAlign w:val="top"/>
          </w:tcPr>
          <w:p>
            <w:pPr>
              <w:spacing w:after="40" w:before="0" w:line="259" w:lineRule="auto"/>
            </w:pPr>
            <w:r>
              <w:rPr>
                <w:rFonts w:ascii="Calibri" w:hAnsi="Calibri"/>
                <w:b/>
                <w:i w:val="0"/>
                <w:color w:val="212121"/>
                <w:sz w:val="19"/>
              </w:rPr>
              <w:t>Telangiectasia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dilated superficial vessels, most evident on the cheeks and nasal alae in fair skin.</w:t>
            </w:r>
          </w:p>
        </w:tc>
      </w:tr>
      <w:tr>
        <w:trPr>
          <w:cantSplit/>
        </w:trPr>
        <w:tc>
          <w:tcPr>
            <w:tcW w:type="dxa" w:w="3456"/>
            <w:vAlign w:val="top"/>
          </w:tcPr>
          <w:p>
            <w:pPr>
              <w:spacing w:after="40" w:before="0" w:line="259" w:lineRule="auto"/>
            </w:pPr>
            <w:r>
              <w:rPr>
                <w:rFonts w:ascii="Calibri" w:hAnsi="Calibri"/>
                <w:b/>
                <w:i w:val="0"/>
                <w:color w:val="212121"/>
                <w:sz w:val="19"/>
              </w:rPr>
              <w:t>Papules and pustules without comedones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Inflammatory lesions of the central face; the absence of comedones distinguishes rosacea from acne.</w:t>
            </w:r>
          </w:p>
        </w:tc>
      </w:tr>
      <w:tr>
        <w:trPr>
          <w:cantSplit/>
        </w:trPr>
        <w:tc>
          <w:tcPr>
            <w:tcW w:type="dxa" w:w="3456"/>
            <w:vAlign w:val="top"/>
          </w:tcPr>
          <w:p>
            <w:pPr>
              <w:spacing w:after="40" w:before="0" w:line="259" w:lineRule="auto"/>
            </w:pPr>
            <w:r>
              <w:rPr>
                <w:rFonts w:ascii="Calibri" w:hAnsi="Calibri"/>
                <w:b/>
                <w:i w:val="0"/>
                <w:color w:val="212121"/>
                <w:sz w:val="19"/>
              </w:rPr>
              <w:t>Provoked flushing on triggers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Reproducible reddening on heat, spice, alcohol or emotion during examination.</w:t>
            </w:r>
          </w:p>
        </w:tc>
      </w:tr>
      <w:tr>
        <w:trPr>
          <w:cantSplit/>
        </w:trPr>
        <w:tc>
          <w:tcPr>
            <w:tcW w:type="dxa" w:w="3456"/>
            <w:vAlign w:val="top"/>
          </w:tcPr>
          <w:p>
            <w:pPr>
              <w:spacing w:after="40" w:before="0" w:line="259" w:lineRule="auto"/>
            </w:pPr>
            <w:r>
              <w:rPr>
                <w:rFonts w:ascii="Calibri" w:hAnsi="Calibri"/>
                <w:b/>
                <w:i w:val="0"/>
                <w:color w:val="212121"/>
                <w:sz w:val="19"/>
              </w:rPr>
              <w:t>Follicular scaling / 'Demodex tails' on dermoscopy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Whitish follicular plugs/tails reflecting Demodex overgrowth; useful in pigmented skin.</w:t>
            </w:r>
          </w:p>
        </w:tc>
      </w:tr>
      <w:tr>
        <w:trPr>
          <w:cantSplit/>
        </w:trPr>
        <w:tc>
          <w:tcPr>
            <w:tcW w:type="dxa" w:w="3456"/>
            <w:vAlign w:val="top"/>
          </w:tcPr>
          <w:p>
            <w:pPr>
              <w:spacing w:after="40" w:before="0" w:line="259" w:lineRule="auto"/>
            </w:pPr>
            <w:r>
              <w:rPr>
                <w:rFonts w:ascii="Calibri" w:hAnsi="Calibri"/>
                <w:b/>
                <w:i w:val="0"/>
                <w:color w:val="212121"/>
                <w:sz w:val="19"/>
              </w:rPr>
              <w:t>Sparing of periocular and perioral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helpful negative sign — the skin immediately around the eyes and mouth is typically spared.</w:t>
            </w:r>
          </w:p>
        </w:tc>
      </w:tr>
      <w:tr>
        <w:trPr>
          <w:cantSplit/>
        </w:trPr>
        <w:tc>
          <w:tcPr>
            <w:tcW w:type="dxa" w:w="3456"/>
            <w:vAlign w:val="top"/>
          </w:tcPr>
          <w:p>
            <w:pPr>
              <w:spacing w:after="40" w:before="0" w:line="259" w:lineRule="auto"/>
            </w:pPr>
            <w:r>
              <w:rPr>
                <w:rFonts w:ascii="Calibri" w:hAnsi="Calibri"/>
                <w:b/>
                <w:i w:val="0"/>
                <w:color w:val="212121"/>
                <w:sz w:val="19"/>
              </w:rPr>
              <w:t>Phymatous change / rhinophyma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Thickened skin with patulous follicles and nodular nasal enlargement in advanced disease.</w:t>
            </w:r>
          </w:p>
        </w:tc>
      </w:tr>
      <w:tr>
        <w:trPr>
          <w:cantSplit/>
        </w:trPr>
        <w:tc>
          <w:tcPr>
            <w:tcW w:type="dxa" w:w="3456"/>
            <w:vAlign w:val="top"/>
          </w:tcPr>
          <w:p>
            <w:pPr>
              <w:spacing w:after="40" w:before="0" w:line="259" w:lineRule="auto"/>
            </w:pPr>
            <w:r>
              <w:rPr>
                <w:rFonts w:ascii="Calibri" w:hAnsi="Calibri"/>
                <w:b/>
                <w:i w:val="0"/>
                <w:color w:val="212121"/>
                <w:sz w:val="19"/>
              </w:rPr>
              <w:t>Lid-margin telangiectasia and blepharitis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Ocular rosacea signs; conjunctivitis was seen in 33% of an Indian ocular cohort.</w:t>
            </w:r>
          </w:p>
        </w:tc>
      </w:tr>
      <w:tr>
        <w:trPr>
          <w:cantSplit/>
        </w:trPr>
        <w:tc>
          <w:tcPr>
            <w:tcW w:type="dxa" w:w="3456"/>
            <w:vAlign w:val="top"/>
          </w:tcPr>
          <w:p>
            <w:pPr>
              <w:spacing w:after="40" w:before="0" w:line="259" w:lineRule="auto"/>
            </w:pPr>
            <w:r>
              <w:rPr>
                <w:rFonts w:ascii="Calibri" w:hAnsi="Calibri"/>
                <w:b/>
                <w:i w:val="0"/>
                <w:color w:val="212121"/>
                <w:sz w:val="19"/>
              </w:rPr>
              <w:t>Recurrent chalazion / conjunctival injection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Meibomian obstruction produces recurrent chalazia and red, irritated eyes.</w:t>
            </w:r>
          </w:p>
        </w:tc>
      </w:tr>
      <w:tr>
        <w:trPr>
          <w:cantSplit/>
        </w:trPr>
        <w:tc>
          <w:tcPr>
            <w:tcW w:type="dxa" w:w="3456"/>
            <w:vAlign w:val="top"/>
          </w:tcPr>
          <w:p>
            <w:pPr>
              <w:spacing w:after="40" w:before="0" w:line="259" w:lineRule="auto"/>
            </w:pPr>
            <w:r>
              <w:rPr>
                <w:rFonts w:ascii="Calibri" w:hAnsi="Calibri"/>
                <w:b/>
                <w:i w:val="0"/>
                <w:color w:val="212121"/>
                <w:sz w:val="19"/>
              </w:rPr>
              <w:t>Granulomatous (lupoid) papules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Firm yellow-brown papules on relatively non-inflamed skin — the granulomatous variant.</w:t>
            </w:r>
          </w:p>
        </w:tc>
      </w:tr>
      <w:tr>
        <w:trPr>
          <w:cantSplit/>
        </w:trPr>
        <w:tc>
          <w:tcPr>
            <w:tcW w:type="dxa" w:w="3456"/>
            <w:vAlign w:val="top"/>
          </w:tcPr>
          <w:p>
            <w:pPr>
              <w:spacing w:after="40" w:before="0" w:line="259" w:lineRule="auto"/>
            </w:pPr>
            <w:r>
              <w:rPr>
                <w:rFonts w:ascii="Calibri" w:hAnsi="Calibri"/>
                <w:b/>
                <w:i w:val="0"/>
                <w:color w:val="212121"/>
                <w:sz w:val="19"/>
              </w:rPr>
              <w:t>Solid facial lymphoedema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Persistent firm swelling of forehead/cheeks (Morbihan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flushing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centrofacial erythema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 telangiectasia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Burning/stinging and barrier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Ocular surface irritation (dry eye, blepharitis)</w:t>
            </w:r>
          </w:p>
        </w:tc>
        <w:tc>
          <w:tcPr>
            <w:tcW w:type="dxa" w:w="2980"/>
            <w:vAlign w:val="top"/>
          </w:tcPr>
          <w:p>
            <w:pPr>
              <w:spacing w:after="40" w:before="0" w:line="259" w:lineRule="auto"/>
            </w:pPr>
            <w:r>
              <w:rPr>
                <w:rFonts w:ascii="Calibri" w:hAnsi="Calibri"/>
                <w:b w:val="0"/>
                <w:i w:val="0"/>
                <w:color w:val="212121"/>
                <w:sz w:val="19"/>
              </w:rPr>
              <w:t>Direct neurovascular and inflammatory manifestations of active rosacea</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Papulopustular flares with secondary bacterial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Phymatous disfigurement (rhinophyma)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Ocular keratitis and corneal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distress — anxiety, depression, social avoidance and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Iatrogenic steroid dependence and rebound dermatitis (topical-corticosteroid misuse)</w:t>
            </w:r>
          </w:p>
        </w:tc>
        <w:tc>
          <w:tcPr>
            <w:tcW w:type="dxa" w:w="2980"/>
            <w:vAlign w:val="top"/>
          </w:tcPr>
          <w:p>
            <w:pPr>
              <w:spacing w:after="40" w:before="0" w:line="259" w:lineRule="auto"/>
            </w:pPr>
            <w:r>
              <w:rPr>
                <w:rFonts w:ascii="Calibri" w:hAnsi="Calibri"/>
                <w:b w:val="0"/>
                <w:i w:val="0"/>
                <w:color w:val="212121"/>
                <w:sz w:val="19"/>
              </w:rPr>
              <w:t>Consequences of chronic inflammation, mite/immune dysregulation and inappropriate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scarring and vision impairment from ocular rosacea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nasal/facial disfigurement (established rhinophyma)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Morbihan disease (persistent solid facial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psychiatric morbidity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Cardiometabolic sequelae of associated comorbidities</w:t>
            </w:r>
          </w:p>
        </w:tc>
        <w:tc>
          <w:tcPr>
            <w:tcW w:type="dxa" w:w="2980"/>
            <w:vAlign w:val="top"/>
          </w:tcPr>
          <w:p>
            <w:pPr>
              <w:spacing w:after="40" w:before="0" w:line="259" w:lineRule="auto"/>
            </w:pPr>
            <w:r>
              <w:rPr>
                <w:rFonts w:ascii="Calibri" w:hAnsi="Calibri"/>
                <w:b w:val="0"/>
                <w:i w:val="0"/>
                <w:color w:val="212121"/>
                <w:sz w:val="19"/>
              </w:rPr>
              <w:t>Irreversible, disabling outcomes of long-standing or poorly managed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Demodicosis (Demodex overgrowth)</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High follicular mite density activates TLR2 innate immunity and drives papulopustular inflammation.</w:t>
            </w:r>
          </w:p>
          <w:p>
            <w:pPr>
              <w:spacing w:after="40" w:before="0" w:line="259" w:lineRule="auto"/>
            </w:pPr>
            <w:r>
              <w:rPr>
                <w:rFonts w:ascii="Calibri" w:hAnsi="Calibri"/>
                <w:b/>
                <w:i w:val="0"/>
                <w:color w:val="212121"/>
                <w:sz w:val="19"/>
              </w:rPr>
              <w:t>Up to 70.4%</w:t>
            </w:r>
          </w:p>
        </w:tc>
      </w:tr>
      <w:tr>
        <w:trPr>
          <w:cantSplit/>
        </w:trPr>
        <w:tc>
          <w:tcPr>
            <w:tcW w:type="dxa" w:w="2232"/>
            <w:vAlign w:val="top"/>
          </w:tcPr>
          <w:p>
            <w:pPr>
              <w:spacing w:after="40" w:before="0" w:line="259" w:lineRule="auto"/>
            </w:pPr>
            <w:r>
              <w:rPr>
                <w:rFonts w:ascii="Calibri" w:hAnsi="Calibri"/>
                <w:b/>
                <w:i w:val="0"/>
                <w:color w:val="212121"/>
                <w:sz w:val="19"/>
              </w:rPr>
              <w:t>Ocular rosacea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Blepharitis, meibomian dysfunction and dry eye; often missed and may precede skin disease (Indian cohort figure).</w:t>
            </w:r>
          </w:p>
          <w:p>
            <w:pPr>
              <w:spacing w:after="40" w:before="0" w:line="259" w:lineRule="auto"/>
            </w:pPr>
            <w:r>
              <w:rPr>
                <w:rFonts w:ascii="Calibri" w:hAnsi="Calibri"/>
                <w:b/>
                <w:i w:val="0"/>
                <w:color w:val="212121"/>
                <w:sz w:val="19"/>
              </w:rPr>
              <w:t>Up to 41.6%</w:t>
            </w:r>
          </w:p>
        </w:tc>
      </w:tr>
      <w:tr>
        <w:trPr>
          <w:cantSplit/>
        </w:trPr>
        <w:tc>
          <w:tcPr>
            <w:tcW w:type="dxa" w:w="2232"/>
            <w:vAlign w:val="top"/>
          </w:tcPr>
          <w:p>
            <w:pPr>
              <w:spacing w:after="40" w:before="0" w:line="259" w:lineRule="auto"/>
            </w:pPr>
            <w:r>
              <w:rPr>
                <w:rFonts w:ascii="Calibri" w:hAnsi="Calibri"/>
                <w:b/>
                <w:i w:val="0"/>
                <w:color w:val="212121"/>
                <w:sz w:val="19"/>
              </w:rPr>
              <w:t>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link with visible facial disease; higher odds versus controls (OR 2.37).</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Elevated odds (OR 2.86) and incident risk (IRR 2.44); driven by disfigurement and stress-flushing loops.</w:t>
            </w:r>
          </w:p>
        </w:tc>
      </w:tr>
      <w:tr>
        <w:trPr>
          <w:cantSplit/>
        </w:trPr>
        <w:tc>
          <w:tcPr>
            <w:tcW w:type="dxa" w:w="2232"/>
            <w:vAlign w:val="top"/>
          </w:tcPr>
          <w:p>
            <w:pPr>
              <w:spacing w:after="40" w:before="0" w:line="259" w:lineRule="auto"/>
            </w:pPr>
            <w:r>
              <w:rPr>
                <w:rFonts w:ascii="Calibri" w:hAnsi="Calibri"/>
                <w:b/>
                <w:i w:val="0"/>
                <w:color w:val="212121"/>
                <w:sz w:val="19"/>
              </w:rPr>
              <w:t>Small intestinal bacterial overgrowth (SIBO)</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Over-represented, especially in papulopustular rosacea (~13×); eradication can clear skin.</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Shared low-grade inflammation; associated raised LDL/triglycerides (OR 1.41).</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Modestly increased risk (OR ~1.17–1.20) as part of the cardiometabolic profile.</w:t>
            </w:r>
          </w:p>
        </w:tc>
      </w:tr>
      <w:tr>
        <w:trPr>
          <w:cantSplit/>
        </w:trPr>
        <w:tc>
          <w:tcPr>
            <w:tcW w:type="dxa" w:w="2232"/>
            <w:vAlign w:val="top"/>
          </w:tcPr>
          <w:p>
            <w:pPr>
              <w:spacing w:after="40" w:before="0" w:line="259" w:lineRule="auto"/>
            </w:pPr>
            <w:r>
              <w:rPr>
                <w:rFonts w:ascii="Calibri" w:hAnsi="Calibri"/>
                <w:b/>
                <w:i w:val="0"/>
                <w:color w:val="212121"/>
                <w:sz w:val="19"/>
              </w:rPr>
              <w:t>Seborrhoeic dermatitis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Frequently overlaps on the central face, complicating diagnosis and management.</w:t>
            </w:r>
          </w:p>
        </w:tc>
      </w:tr>
      <w:tr>
        <w:trPr>
          <w:cantSplit/>
        </w:trPr>
        <w:tc>
          <w:tcPr>
            <w:tcW w:type="dxa" w:w="2232"/>
            <w:vAlign w:val="top"/>
          </w:tcPr>
          <w:p>
            <w:pPr>
              <w:spacing w:after="40" w:before="0" w:line="259" w:lineRule="auto"/>
            </w:pPr>
            <w:r>
              <w:rPr>
                <w:rFonts w:ascii="Calibri" w:hAnsi="Calibri"/>
                <w:b/>
                <w:i w:val="0"/>
                <w:color w:val="212121"/>
                <w:sz w:val="19"/>
              </w:rPr>
              <w:t>Migraine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Recognised neurovascular comorbidity sharing trigeminovascular/TRPV pathways.</w:t>
            </w:r>
          </w:p>
        </w:tc>
      </w:tr>
      <w:tr>
        <w:trPr>
          <w:cantSplit/>
        </w:trPr>
        <w:tc>
          <w:tcPr>
            <w:tcW w:type="dxa" w:w="2232"/>
            <w:vAlign w:val="top"/>
          </w:tcPr>
          <w:p>
            <w:pPr>
              <w:spacing w:after="40" w:before="0" w:line="259" w:lineRule="auto"/>
            </w:pPr>
            <w:r>
              <w:rPr>
                <w:rFonts w:ascii="Calibri" w:hAnsi="Calibri"/>
                <w:b/>
                <w:i w:val="0"/>
                <w:color w:val="212121"/>
                <w:sz w:val="19"/>
              </w:rPr>
              <w:t>Inflammatory bowel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Epidemiologically associated across the lifespan, reflecting shared immune dysregulation.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rosacea as a chronic, controllable but not curable condition requiring long-term skin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trigger diary and learn your personal provokers — commonly sun (81%), stress (79%), heat (75%), alcohol (52%) and spicy food (45%).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a daily broad-spectrum sunscreen (SPF 30+, mineral/zinc-based preferred) and use hats/shade in strong sun.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use over-the-counter potent steroid or fairness creams on the face — they cause steroid-induced rosacea with rebound flaring.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ocular symptoms (gritty, dry, burning eyes) as part of rosacea and seek eye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prescribed topical/oral therapy and realistic timelines rather than switching products frequently.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rosacea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Fair-skinned &amp; skin-of-colour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Fairness/steroid-cream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moderate-intensity exercise in cool, well-ventilated or air-conditioned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workouts into shorter sessions and take cooling breaks to limit overheating.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cold water spray or damp cloth handy and sip cold water during exertion.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Swim or exercise in cooler parts of the day; avoid midday outdoor heat and direct sun.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rosacea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exertional flushing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Overweight/cardiometabolic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chilli- and capsaicin-rich dishes that provoke flushing via TRPV1 receptors.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Let hot chai, coffee and soups cool before drinking (below scalding temperature).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or avoid alcohol, especially red wine and spirits.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reduce personal food triggers (histamine-rich, fermented or cinnamaldehyde-containing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 balanced, anti-inflammatory diet with vegetables, fibre and adequate 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food/heat-triggered flushing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Chilli-heavy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drinkers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reduce stress-related flushing.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bedroom cool; avoid heavy blankets and overheating at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sleep–wake timings to stabilise autonomic reactivity.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rosacea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stress-related flares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smoking to limit telangiectasia and premature dermal ageing.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smoky, hot indoor environments.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rosacea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prominent telangiectasia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alcohol, which triggers flushing in about half of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drinking, prefer smaller amounts, avoid red wine/spirits and stay well hydrated.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alcohol with hot, spicy meals or hot environments that compound flushing.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drinkers with rosacea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(dose-dependent risk)</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 paced breathing, yoga, mindfulness — to interrupt the stress-flushing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and depression, which are significantly more common in rosacea (OR ~2.4–2.9).</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psychological support or CBT for appearance-related distress and social 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psychiatric or psychodermatology care when quality of life is markedly impaired.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visible facial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reporting low self-esteem or social withdrawal</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gentle skincare routine: fragrance-free, non-soap, pH-balanced cleanser and a bland barrier-repair moisturiser.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abrasive scrubs, alcohol/astringent toners, menthol/camphor and strong actives that 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phenotype-directed medical therapy — e.g., topical metronidazole, azelaic acid or ivermectin for papules/pustules; brimonidine/oxymetazoline for erythema; low-dose doxycycline for inflammatory or ocular disease; laser/IPL for telangiectasia.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steroid-induced rosacea, stop the topical steroid under supervision and manage the expected rebound.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ocular rosacea with lid hygiene, warm compresses, artificial tears and doxycycline as advised.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Papulopustular rosacea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Erythematotelangiectatic rosacea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Ocular rosacea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Steroid-induced rosacea</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amanetwork.com/journals/jamadermatology/fullarticle/2790693" TargetMode="External"/><Relationship Id="rId10" Type="http://schemas.openxmlformats.org/officeDocument/2006/relationships/hyperlink" Target="https://ijced.org/archive/volume/6/issue/2/article/7671" TargetMode="External"/><Relationship Id="rId11" Type="http://schemas.openxmlformats.org/officeDocument/2006/relationships/hyperlink" Target="https://ijdvl.com/topical-corticosteroid-induced-rosacea-like-dermatitis-a-clinical-study-of-110-cases/" TargetMode="External"/><Relationship Id="rId12" Type="http://schemas.openxmlformats.org/officeDocument/2006/relationships/hyperlink" Target="https://ijdvl.com/rosacea-in-skin-of-color-a-comprehensive-review/" TargetMode="External"/><Relationship Id="rId13" Type="http://schemas.openxmlformats.org/officeDocument/2006/relationships/hyperlink" Target="https://www.rosacea.org/rosacea-review/2002/summer/new-survey-pinpoints-leading-factors-that-trigger-symptoms" TargetMode="External"/><Relationship Id="rId14" Type="http://schemas.openxmlformats.org/officeDocument/2006/relationships/hyperlink" Target="https://pmc.ncbi.nlm.nih.gov/articles/PMC9274906" TargetMode="External"/><Relationship Id="rId15" Type="http://schemas.openxmlformats.org/officeDocument/2006/relationships/hyperlink" Target="https://www.ncbi.nlm.nih.gov/books/NBK557574/" TargetMode="External"/><Relationship Id="rId16" Type="http://schemas.openxmlformats.org/officeDocument/2006/relationships/hyperlink" Target="https://www.dovepress.com/rosacea-practical-guidance-and-challenges-for-clinical-management-peer-reviewed-fulltext-article-CCID" TargetMode="External"/><Relationship Id="rId17" Type="http://schemas.openxmlformats.org/officeDocument/2006/relationships/hyperlink" Target="https://www.ajmc.com/view/rosacea-is-significantly-linked-with-anxiety-depression-review-fi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