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Lichen Planus</w:t>
      </w:r>
    </w:p>
    <w:p>
      <w:pPr>
        <w:spacing w:before="0" w:after="160"/>
      </w:pPr>
      <w:r>
        <w:rPr>
          <w:rFonts w:ascii="Calibri" w:hAnsi="Calibri"/>
          <w:b/>
          <w:i w:val="0"/>
          <w:color w:val="212121"/>
          <w:sz w:val="22"/>
        </w:rPr>
        <w:t xml:space="preserve">AKA </w:t>
      </w:r>
      <w:r>
        <w:rPr>
          <w:rFonts w:ascii="Calibri" w:hAnsi="Calibri"/>
          <w:b w:val="0"/>
          <w:i w:val="0"/>
          <w:color w:val="212121"/>
          <w:sz w:val="22"/>
        </w:rPr>
        <w:t>i.e., LP; Oral lichen planus (OLP); Lichen planus pigmentosus (LPP); ‘Wickham’s disease’ (lay); lichenoid dermatosis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Lichen planus is a chronic, T-cell–mediated inflammatory disorder of the skin and mucous membranes in which cytotoxic CD8+ lymphocytes attack basal keratinocytes at the dermo-epidermal junction, producing a characteristic ‘lichenoid’ interface reaction. Cutaneous disease presents as intensely itchy, violaceous, flat-topped (polygonal) papules and plaques crossed by fine white lines (Wickham striae), classically on the wrists, forearms, shins and lower back. It can also affect the mouth, genitalia, scalp (scarring alopecia) and nails, and in skin of colour frequently heals with prominent post-inflammatory hyperpigmentation or presents as lichen planus pigmentosus.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Lichen planus affects an estimated 0.5–1% of the global population, with oral lichen planus reported in roughly 1–2% of adults; it is one of the commoner papulosquamous disorders seen in Indian dermatology and dental out-patient clinics. In a cross-sectional series of 140 histopathologically confirmed Indian LP patients the mean age was about 34 years and 55.7% were aged 21–40, with classical and hypertrophic variants predominating and oral involvement in 16.4%.</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Lichen planus is primarily a clinical diagnosis (the ‘six Ps’ – pruritic, purple, polygonal, planar papules and plaques, plus Wickham striae) supported, where needed, by dermoscopy, biopsy and directed laboratory work-up: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pruritic, violaceous, flat-topped polygonal papules/plaques with overlying white reticulate Wickham striae, typically on flexor wrists, forearms, ankles/shins and lower back;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mucosal disease – asymptomatic lacy white (reticular) streaks or painful erosive/atrophic lesions of buccal mucosa, tongue, gingiva or genitalia;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Koebner (isomorphic) phenomenon – new lesions arising in lines of scratching or trauma;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skin/mucosal punch biopsy showing a lichenoid interface dermatitis: hyperkeratosis, wedge-shaped hypergranulosis, ‘saw-tooth’ rete ridges, basal cell (liquefactive) degeneration, a band-like sub-epidermal lymphocytic infiltrate and colloid (Civatte) bodies;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immunofluorescence (when erosive/bullous or to exclude autoimmune blistering disease) showing shaggy fibrinogen deposition along the basement-membrane zone and IgM colloid bodies;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directed labs to identify associations – fasting glucose/HbA1c, fasting lipid profile, thyroid function (TSH) and, in at-risk settings, hepatitis C serology.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Lichen planus is classified by the site and morphology of involvement; several variants commonly coexist in the same patient:</w:t>
      </w:r>
    </w:p>
    <w:p>
      <w:pPr>
        <w:spacing w:before="0" w:after="80"/>
      </w:pPr>
      <w:r>
        <w:rPr>
          <w:rFonts w:ascii="Calibri" w:hAnsi="Calibri"/>
          <w:b w:val="0"/>
          <w:i w:val="0"/>
          <w:color w:val="212121"/>
          <w:sz w:val="21"/>
        </w:rPr>
        <w:t>(1) Classical cutaneous LP – the prototypical itchy violaceous polygonal papules/plaques with Wickham striae on wrists, forearms, ankles and lower back, usually self-limiting over 1–2 years but leaving hyperpigmentation, especially in darker skin;</w:t>
      </w:r>
    </w:p>
    <w:p>
      <w:pPr>
        <w:spacing w:before="0" w:after="80"/>
      </w:pPr>
      <w:r>
        <w:rPr>
          <w:rFonts w:ascii="Calibri" w:hAnsi="Calibri"/>
          <w:b w:val="0"/>
          <w:i w:val="0"/>
          <w:color w:val="212121"/>
          <w:sz w:val="21"/>
        </w:rPr>
        <w:t>(2) Morphological cutaneous variants – hypertrophic (thick verrucous plaques on the shins, intensely pruritic and chronic), atrophic, annular, linear, guttate, actinic (sun-exposed, common in India, Middle East and Africa), bullous/LP pemphigoides, and lichen planus pigmentosus (LPP) – slate-grey to brown macules on face and flexures that is particularly common in Indian and other skin of colour;</w:t>
      </w:r>
    </w:p>
    <w:p>
      <w:pPr>
        <w:spacing w:before="0" w:after="80"/>
      </w:pPr>
      <w:r>
        <w:rPr>
          <w:rFonts w:ascii="Calibri" w:hAnsi="Calibri"/>
          <w:b w:val="0"/>
          <w:i w:val="0"/>
          <w:color w:val="212121"/>
          <w:sz w:val="21"/>
        </w:rPr>
        <w:t>(3) Mucosal LP – oral (reticular, papular, plaque-like, atrophic, erosive/ulcerative and bullous sub-types) and genital LP; the vulvo-vaginal-gingival and peno-gingival syndromes describe severe erosive mucosal disease that can scar;</w:t>
      </w:r>
    </w:p>
    <w:p>
      <w:pPr>
        <w:spacing w:before="0" w:after="80"/>
      </w:pPr>
      <w:r>
        <w:rPr>
          <w:rFonts w:ascii="Calibri" w:hAnsi="Calibri"/>
          <w:b w:val="0"/>
          <w:i w:val="0"/>
          <w:color w:val="212121"/>
          <w:sz w:val="21"/>
        </w:rPr>
        <w:t>(4) Appendageal LP – lichen planopilaris (follicular LP causing scarring alopecia with perifollicular erythema and scaling; frontal fibrosing alopecia is a variant) and nail LP (longitudinal ridging, thinning, dorsal pterygium and twenty-nail dystrophy);</w:t>
      </w:r>
    </w:p>
    <w:p>
      <w:pPr>
        <w:spacing w:before="0" w:after="80"/>
      </w:pPr>
      <w:r>
        <w:rPr>
          <w:rFonts w:ascii="Calibri" w:hAnsi="Calibri"/>
          <w:b w:val="0"/>
          <w:i w:val="0"/>
          <w:color w:val="212121"/>
          <w:sz w:val="21"/>
        </w:rPr>
        <w:t>(5) Lichenoid reactions/overlaps – lichenoid drug eruptions, oral lichenoid contact lesions (to dental amalgam, cinnamon/flavourings, tobacco and areca/betel quid) and lichen planus–lupus erythematosus overlap, which mimic idiopathic LP.</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Autoimmune T-cell mechanism: Idiopathic in most cases; cytotoxic CD8+ T lymphocytes target basal keratinocytes expressing an altered self-antigen, driving apoptosis and the lichenoid interface reaction.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Familial clustering and HLA associations (e.g. HLA-DR1) increase susceptibility and may influence disease severity and chronicity.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Viral infection: Hepatitis C virus is an established trigger in some geographic regions (Mediterranean, Japan) via molecular mimicry, though the association is weak in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Drugs (lichenoid eruption): Thiazides, ACE inhibitors, beta-blockers, antimalarials (hydroxychloroquine), gold, penicillamine, NSAIDs, sulfonylureas and anti-TNF agents can provoke LP-like eruptions.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Contact/local factors: Dental restorative metals (amalgam, gold), cinnamon and other flavourings, and tobacco/areca (betel) quid provoke oral lichenoid lesions; mechanical trauma triggers the Koebner phenomenon.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Psychological stress: Anxiety, depression and stressful life events are strongly linked to onset and flares through neuro-immune pathways.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Metabolic/immune comorbidity: Associations with dyslipidaemia, metabolic syndrome, diabetes and thyroid autoimmunity suggest a shared inflammatory milieu.</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(30–60 years)</w:t>
            </w:r>
          </w:p>
        </w:tc>
        <w:tc>
          <w:tcPr>
            <w:tcW w:type="dxa" w:w="4276"/>
            <w:vAlign w:val="top"/>
          </w:tcPr>
          <w:p>
            <w:pPr>
              <w:spacing w:after="60" w:line="259" w:lineRule="auto"/>
            </w:pPr>
            <w:r>
              <w:rPr>
                <w:rFonts w:ascii="Calibri" w:hAnsi="Calibri"/>
                <w:b w:val="0"/>
                <w:i w:val="0"/>
                <w:color w:val="212121"/>
                <w:sz w:val="19"/>
              </w:rPr>
              <w:t>Lichen planus peaks in the fourth to sixth decades, when cumulative immune, metabolic and stress exposures converge; the classical and hypertrophic cutaneous forms predominate in this group.</w:t>
            </w:r>
          </w:p>
          <w:p>
            <w:pPr>
              <w:spacing w:after="40" w:before="60" w:line="259" w:lineRule="auto"/>
            </w:pPr>
            <w:r>
              <w:rPr>
                <w:rFonts w:ascii="Calibri" w:hAnsi="Calibri"/>
                <w:b w:val="0"/>
                <w:i w:val="0"/>
                <w:color w:val="212121"/>
                <w:sz w:val="19"/>
              </w:rPr>
              <w:t>In an Indian cohort of 140 histopathologically confirmed LP patients the mean age was 34.2 ± 13.0 years, and 55.7% were aged 21–40.</w:t>
            </w:r>
          </w:p>
          <w:p>
            <w:pPr>
              <w:spacing w:after="40" w:line="252" w:lineRule="auto"/>
            </w:pPr>
            <w:hyperlink r:id="rId9">
              <w:r>
                <w:rPr>
                  <w:rFonts w:ascii="Calibri" w:hAnsi="Calibri" w:cs="Calibri"/>
                  <w:sz w:val="18"/>
                  <w:color w:val="1155CC"/>
                  <w:u w:val="single"/>
                </w:rPr>
                <w:t xml:space="preserve">ijced.org — cross-sectional study of lichen planus (India)</w:t>
              </w:r>
            </w:hyperlink>
          </w:p>
          <w:p>
            <w:pPr>
              <w:spacing w:before="60" w:after="40"/>
            </w:pPr>
            <w:r>
              <w:rPr>
                <w:rFonts w:ascii="Calibri" w:hAnsi="Calibri"/>
                <w:b w:val="0"/>
                <w:i w:val="0"/>
                <w:color w:val="5A5A5A"/>
                <w:sz w:val="18"/>
              </w:rPr>
              <w:t>#lichenplanus  #adults  #papulosquamous  #interfacedermatitis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more often have chronic erosive and oral disease, longer disease duration and the small but real risk of malignant change in long-standing oral lesions, requiring closer surveillance.</w:t>
            </w:r>
          </w:p>
          <w:p>
            <w:pPr>
              <w:spacing w:after="40" w:before="60" w:line="259" w:lineRule="auto"/>
            </w:pPr>
            <w:r>
              <w:rPr>
                <w:rFonts w:ascii="Calibri" w:hAnsi="Calibri"/>
                <w:b w:val="0"/>
                <w:i w:val="0"/>
                <w:color w:val="212121"/>
                <w:sz w:val="19"/>
              </w:rPr>
              <w:t>Meta-analysis of 6,353 oral LP patients found a pooled malignant transformation rate to oral squamous cell carcinoma of about 1.37%.</w:t>
            </w:r>
          </w:p>
          <w:p>
            <w:pPr>
              <w:spacing w:after="40" w:line="252" w:lineRule="auto"/>
            </w:pPr>
            <w:hyperlink r:id="rId10">
              <w:r>
                <w:rPr>
                  <w:rFonts w:ascii="Calibri" w:hAnsi="Calibri" w:cs="Calibri"/>
                  <w:sz w:val="18"/>
                  <w:color w:val="1155CC"/>
                  <w:u w:val="single"/>
                </w:rPr>
                <w:t xml:space="preserve">nature.com — malignant transformation rates in oral LP</w:t>
              </w:r>
            </w:hyperlink>
          </w:p>
          <w:p>
            <w:pPr>
              <w:spacing w:before="60" w:after="40"/>
            </w:pPr>
            <w:r>
              <w:rPr>
                <w:rFonts w:ascii="Calibri" w:hAnsi="Calibri"/>
                <w:b w:val="0"/>
                <w:i w:val="0"/>
                <w:color w:val="5A5A5A"/>
                <w:sz w:val="18"/>
              </w:rPr>
              <w:t>#elderly  #oralLP  #malignanttransformation  #surveillance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(mucosal &amp; erosive LP)</w:t>
            </w:r>
          </w:p>
        </w:tc>
        <w:tc>
          <w:tcPr>
            <w:tcW w:type="dxa" w:w="4276"/>
            <w:vAlign w:val="top"/>
          </w:tcPr>
          <w:p>
            <w:pPr>
              <w:spacing w:after="60" w:line="259" w:lineRule="auto"/>
            </w:pPr>
            <w:r>
              <w:rPr>
                <w:rFonts w:ascii="Calibri" w:hAnsi="Calibri"/>
                <w:b w:val="0"/>
                <w:i w:val="0"/>
                <w:color w:val="212121"/>
                <w:sz w:val="19"/>
              </w:rPr>
              <w:t>Oral, genital and erosive lichen planus predominate in women, often around the peri- and post-menopausal years, and can cause the scarring vulvo-vaginal-gingival syndrome.</w:t>
            </w:r>
          </w:p>
          <w:p>
            <w:pPr>
              <w:spacing w:after="40" w:before="60" w:line="259" w:lineRule="auto"/>
            </w:pPr>
            <w:r>
              <w:rPr>
                <w:rFonts w:ascii="Calibri" w:hAnsi="Calibri"/>
                <w:b w:val="0"/>
                <w:i w:val="0"/>
                <w:color w:val="212121"/>
                <w:sz w:val="19"/>
              </w:rPr>
              <w:t>In an Indian serological series of 65 LP patients, about three-quarters (75.4%) were female.</w:t>
            </w:r>
          </w:p>
          <w:p>
            <w:pPr>
              <w:spacing w:after="40" w:line="252" w:lineRule="auto"/>
            </w:pPr>
            <w:hyperlink r:id="rId11">
              <w:r>
                <w:rPr>
                  <w:rFonts w:ascii="Calibri" w:hAnsi="Calibri" w:cs="Calibri"/>
                  <w:sz w:val="18"/>
                  <w:color w:val="1155CC"/>
                  <w:u w:val="single"/>
                </w:rPr>
                <w:t xml:space="preserve">ijdvl.com — lichen planus &amp; HCV serological study (India)</w:t>
              </w:r>
            </w:hyperlink>
          </w:p>
          <w:p>
            <w:pPr>
              <w:spacing w:before="60" w:after="40"/>
            </w:pPr>
            <w:r>
              <w:rPr>
                <w:rFonts w:ascii="Calibri" w:hAnsi="Calibri"/>
                <w:b w:val="0"/>
                <w:i w:val="0"/>
                <w:color w:val="5A5A5A"/>
                <w:sz w:val="18"/>
              </w:rPr>
              <w:t>#women  #erosiveLP  #vulvovaginalgingival  #mucosal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Tobacco/areca-quid users, lower-income groups</w:t>
            </w:r>
          </w:p>
        </w:tc>
        <w:tc>
          <w:tcPr>
            <w:tcW w:type="dxa" w:w="4276"/>
            <w:vAlign w:val="top"/>
          </w:tcPr>
          <w:p>
            <w:pPr>
              <w:spacing w:after="60" w:line="259" w:lineRule="auto"/>
            </w:pPr>
            <w:r>
              <w:rPr>
                <w:rFonts w:ascii="Calibri" w:hAnsi="Calibri"/>
                <w:b w:val="0"/>
                <w:i w:val="0"/>
                <w:color w:val="212121"/>
                <w:sz w:val="19"/>
              </w:rPr>
              <w:t>Habitual tobacco and areca (betel) quid chewing – more prevalent in lower socioeconomic and rural groups in India – drives oral lichenoid lesions, and delayed care allows chronic erosive disease to progress.</w:t>
            </w:r>
          </w:p>
          <w:p>
            <w:pPr>
              <w:spacing w:after="40" w:before="60" w:line="259" w:lineRule="auto"/>
            </w:pPr>
            <w:r>
              <w:rPr>
                <w:rFonts w:ascii="Calibri" w:hAnsi="Calibri"/>
                <w:b w:val="0"/>
                <w:i w:val="0"/>
                <w:color w:val="212121"/>
                <w:sz w:val="19"/>
              </w:rPr>
              <w:t>Tobacco and areca use are the dominant drivers of oral potentially-malignant disorders in India; oral lichenoid lesions are a recognised member of this group.</w:t>
            </w:r>
          </w:p>
          <w:p>
            <w:pPr>
              <w:spacing w:before="60" w:after="40"/>
            </w:pPr>
            <w:r>
              <w:rPr>
                <w:rFonts w:ascii="Calibri" w:hAnsi="Calibri"/>
                <w:b w:val="0"/>
                <w:i w:val="0"/>
                <w:color w:val="5A5A5A"/>
                <w:sz w:val="18"/>
              </w:rPr>
              <w:t>#tobacco  #arecanut  #betelquid  #oralpotentiallymalignant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 South Asian skin (Fitzpatrick IV–VI)</w:t>
            </w:r>
          </w:p>
        </w:tc>
        <w:tc>
          <w:tcPr>
            <w:tcW w:type="dxa" w:w="4276"/>
            <w:vAlign w:val="top"/>
          </w:tcPr>
          <w:p>
            <w:pPr>
              <w:spacing w:after="60" w:line="259" w:lineRule="auto"/>
            </w:pPr>
            <w:r>
              <w:rPr>
                <w:rFonts w:ascii="Calibri" w:hAnsi="Calibri"/>
                <w:b w:val="0"/>
                <w:i w:val="0"/>
                <w:color w:val="212121"/>
                <w:sz w:val="19"/>
              </w:rPr>
              <w:t>Deeply pigmented skin is prone to lichen planus pigmentosus and to marked, long-lasting post-inflammatory hyperpigmentation after ordinary LP, which is cosmetically and psychologically distressing and a common reason for presentation.</w:t>
            </w:r>
          </w:p>
          <w:p>
            <w:pPr>
              <w:spacing w:after="40" w:before="60" w:line="259" w:lineRule="auto"/>
            </w:pPr>
            <w:r>
              <w:rPr>
                <w:rFonts w:ascii="Calibri" w:hAnsi="Calibri"/>
                <w:b w:val="0"/>
                <w:i w:val="0"/>
                <w:color w:val="212121"/>
                <w:sz w:val="19"/>
              </w:rPr>
              <w:t>Lichen planus pigmentosus – slate-grey macules on face and flexures – is characteristically common in Indian and other darker-skinned populations.</w:t>
            </w:r>
          </w:p>
          <w:p>
            <w:pPr>
              <w:spacing w:after="40" w:line="252" w:lineRule="auto"/>
            </w:pPr>
            <w:hyperlink r:id="rId12">
              <w:r>
                <w:rPr>
                  <w:rFonts w:ascii="Calibri" w:hAnsi="Calibri" w:cs="Calibri"/>
                  <w:sz w:val="18"/>
                  <w:color w:val="1155CC"/>
                  <w:u w:val="single"/>
                </w:rPr>
                <w:t xml:space="preserve">dermnetnz.org — lichen planus (variants incl. pigmentosus)</w:t>
              </w:r>
            </w:hyperlink>
          </w:p>
          <w:p>
            <w:pPr>
              <w:spacing w:before="60" w:after="40"/>
            </w:pPr>
            <w:r>
              <w:rPr>
                <w:rFonts w:ascii="Calibri" w:hAnsi="Calibri"/>
                <w:b w:val="0"/>
                <w:i w:val="0"/>
                <w:color w:val="5A5A5A"/>
                <w:sz w:val="18"/>
              </w:rPr>
              <w:t>#skinofcolour  #lichenplanuspigmentosus  #PIH  #Fitzpatrick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sun exposure</w:t>
            </w:r>
          </w:p>
        </w:tc>
        <w:tc>
          <w:tcPr>
            <w:tcW w:type="dxa" w:w="2160"/>
            <w:vAlign w:val="top"/>
          </w:tcPr>
          <w:p>
            <w:pPr>
              <w:spacing w:after="40" w:before="0" w:line="259" w:lineRule="auto"/>
            </w:pPr>
            <w:r>
              <w:rPr>
                <w:rFonts w:ascii="Calibri" w:hAnsi="Calibri"/>
                <w:b w:val="0"/>
                <w:i w:val="0"/>
                <w:color w:val="212121"/>
                <w:sz w:val="19"/>
              </w:rPr>
              <w:t>Residents of tropical, high-insolation regions</w:t>
            </w:r>
          </w:p>
        </w:tc>
        <w:tc>
          <w:tcPr>
            <w:tcW w:type="dxa" w:w="4276"/>
            <w:vAlign w:val="top"/>
          </w:tcPr>
          <w:p>
            <w:pPr>
              <w:spacing w:after="60" w:line="259" w:lineRule="auto"/>
            </w:pPr>
            <w:r>
              <w:rPr>
                <w:rFonts w:ascii="Calibri" w:hAnsi="Calibri"/>
                <w:b w:val="0"/>
                <w:i w:val="0"/>
                <w:color w:val="212121"/>
                <w:sz w:val="19"/>
              </w:rPr>
              <w:t>Actinic lichen planus arises on sun-exposed skin (face, dorsa of hands, forearms) and is comparatively common in India, the Middle East and Africa, implicating ultraviolet light as a regional trigger.</w:t>
            </w:r>
          </w:p>
          <w:p>
            <w:pPr>
              <w:spacing w:after="40" w:before="60" w:line="259" w:lineRule="auto"/>
            </w:pPr>
            <w:r>
              <w:rPr>
                <w:rFonts w:ascii="Calibri" w:hAnsi="Calibri"/>
                <w:b w:val="0"/>
                <w:i w:val="0"/>
                <w:color w:val="212121"/>
                <w:sz w:val="19"/>
              </w:rPr>
              <w:t>Actinic LP is reported particularly from tropical and subtropical regions on sun-exposed sites.</w:t>
            </w:r>
          </w:p>
          <w:p>
            <w:pPr>
              <w:spacing w:after="40" w:line="252" w:lineRule="auto"/>
            </w:pPr>
            <w:hyperlink r:id="rId12">
              <w:r>
                <w:rPr>
                  <w:rFonts w:ascii="Calibri" w:hAnsi="Calibri" w:cs="Calibri"/>
                  <w:sz w:val="18"/>
                  <w:color w:val="1155CC"/>
                  <w:u w:val="single"/>
                </w:rPr>
                <w:t xml:space="preserve">dermnetnz.org — lichen planus (actinic variant)</w:t>
              </w:r>
            </w:hyperlink>
          </w:p>
          <w:p>
            <w:pPr>
              <w:spacing w:before="60" w:after="40"/>
            </w:pPr>
            <w:r>
              <w:rPr>
                <w:rFonts w:ascii="Calibri" w:hAnsi="Calibri"/>
                <w:b w:val="0"/>
                <w:i w:val="0"/>
                <w:color w:val="5A5A5A"/>
                <w:sz w:val="18"/>
              </w:rPr>
              <w:t>#actinicLP  #UVexposure  #tropical  #photodistributed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 tobacco &amp; areca</w:t>
            </w:r>
          </w:p>
        </w:tc>
        <w:tc>
          <w:tcPr>
            <w:tcW w:type="dxa" w:w="2160"/>
            <w:vAlign w:val="top"/>
          </w:tcPr>
          <w:p>
            <w:pPr>
              <w:spacing w:after="40" w:before="0" w:line="259" w:lineRule="auto"/>
            </w:pPr>
            <w:r>
              <w:rPr>
                <w:rFonts w:ascii="Calibri" w:hAnsi="Calibri"/>
                <w:b w:val="0"/>
                <w:i w:val="0"/>
                <w:color w:val="212121"/>
                <w:sz w:val="19"/>
              </w:rPr>
              <w:t>Smokers, betel-quid and areca-nut chewers</w:t>
            </w:r>
          </w:p>
        </w:tc>
        <w:tc>
          <w:tcPr>
            <w:tcW w:type="dxa" w:w="4276"/>
            <w:vAlign w:val="top"/>
          </w:tcPr>
          <w:p>
            <w:pPr>
              <w:spacing w:after="60" w:line="259" w:lineRule="auto"/>
            </w:pPr>
            <w:r>
              <w:rPr>
                <w:rFonts w:ascii="Calibri" w:hAnsi="Calibri"/>
                <w:b w:val="0"/>
                <w:i w:val="0"/>
                <w:color w:val="212121"/>
                <w:sz w:val="19"/>
              </w:rPr>
              <w:t>Tobacco smoke and areca/betel quid are direct mucosal irritants and antigenic stimuli that provoke and maintain oral lichenoid lesions and add to the risk of malignant transformation.</w:t>
            </w:r>
          </w:p>
          <w:p>
            <w:pPr>
              <w:spacing w:after="40" w:before="60" w:line="259" w:lineRule="auto"/>
            </w:pPr>
            <w:r>
              <w:rPr>
                <w:rFonts w:ascii="Calibri" w:hAnsi="Calibri"/>
                <w:b w:val="0"/>
                <w:i w:val="0"/>
                <w:color w:val="212121"/>
                <w:sz w:val="19"/>
              </w:rPr>
              <w:t>Oral LP carries a pooled malignant transformation rate of ~1.37%; concurrent tobacco and areca use compound the mucosal carcinogenic risk.</w:t>
            </w:r>
          </w:p>
          <w:p>
            <w:pPr>
              <w:spacing w:after="40" w:line="252" w:lineRule="auto"/>
            </w:pPr>
            <w:hyperlink r:id="rId10">
              <w:r>
                <w:rPr>
                  <w:rFonts w:ascii="Calibri" w:hAnsi="Calibri" w:cs="Calibri"/>
                  <w:sz w:val="18"/>
                  <w:color w:val="1155CC"/>
                  <w:u w:val="single"/>
                </w:rPr>
                <w:t xml:space="preserve">nature.com — malignant transformation rates in oral LP</w:t>
              </w:r>
            </w:hyperlink>
          </w:p>
          <w:p>
            <w:pPr>
              <w:spacing w:before="60" w:after="40"/>
            </w:pPr>
            <w:r>
              <w:rPr>
                <w:rFonts w:ascii="Calibri" w:hAnsi="Calibri"/>
                <w:b w:val="0"/>
                <w:i w:val="0"/>
                <w:color w:val="5A5A5A"/>
                <w:sz w:val="18"/>
              </w:rPr>
              <w:t>#smoking  #areca  #oralLP  #carcinogenrisk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acts synergistically with tobacco on the oral mucosa and adds to the metabolic and hepatic burden that accompanies lichen planus.</w:t>
            </w:r>
          </w:p>
          <w:p>
            <w:pPr>
              <w:spacing w:after="40" w:before="60" w:line="259" w:lineRule="auto"/>
            </w:pPr>
            <w:r>
              <w:rPr>
                <w:rFonts w:ascii="Calibri" w:hAnsi="Calibri"/>
                <w:b w:val="0"/>
                <w:i w:val="0"/>
                <w:color w:val="212121"/>
                <w:sz w:val="19"/>
              </w:rPr>
              <w:t>Alcohol is a recognised co-factor for oral mucosal disease and potentially-malignant change alongside tobacco.</w:t>
            </w:r>
          </w:p>
          <w:p>
            <w:pPr>
              <w:spacing w:before="60" w:after="40"/>
            </w:pPr>
            <w:r>
              <w:rPr>
                <w:rFonts w:ascii="Calibri" w:hAnsi="Calibri"/>
                <w:b w:val="0"/>
                <w:i w:val="0"/>
                <w:color w:val="5A5A5A"/>
                <w:sz w:val="18"/>
              </w:rPr>
              <w:t>#alcohol  #mucosaldisease  #tobaccosynergy  #liver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People under chronic stress / anxiety</w:t>
            </w:r>
          </w:p>
        </w:tc>
        <w:tc>
          <w:tcPr>
            <w:tcW w:type="dxa" w:w="4276"/>
            <w:vAlign w:val="top"/>
          </w:tcPr>
          <w:p>
            <w:pPr>
              <w:spacing w:after="60" w:line="259" w:lineRule="auto"/>
            </w:pPr>
            <w:r>
              <w:rPr>
                <w:rFonts w:ascii="Calibri" w:hAnsi="Calibri"/>
                <w:b w:val="0"/>
                <w:i w:val="0"/>
                <w:color w:val="212121"/>
                <w:sz w:val="19"/>
              </w:rPr>
              <w:t>Stressful life events, anxiety and depression precipitate and flare lichen planus, and the chronic itch or oral pain in turn worsens mood – a bidirectional loop.</w:t>
            </w:r>
          </w:p>
          <w:p>
            <w:pPr>
              <w:spacing w:after="40" w:before="60" w:line="259" w:lineRule="auto"/>
            </w:pPr>
            <w:r>
              <w:rPr>
                <w:rFonts w:ascii="Calibri" w:hAnsi="Calibri"/>
                <w:b w:val="0"/>
                <w:i w:val="0"/>
                <w:color w:val="212121"/>
                <w:sz w:val="19"/>
              </w:rPr>
              <w:t>A systematic review and meta-analysis found significantly higher depression, anxiety and stress scores in oral LP patients than in controls.</w:t>
            </w:r>
          </w:p>
          <w:p>
            <w:pPr>
              <w:spacing w:after="40" w:line="252" w:lineRule="auto"/>
            </w:pPr>
            <w:hyperlink r:id="rId13">
              <w:r>
                <w:rPr>
                  <w:rFonts w:ascii="Calibri" w:hAnsi="Calibri" w:cs="Calibri"/>
                  <w:sz w:val="18"/>
                  <w:color w:val="1155CC"/>
                  <w:u w:val="single"/>
                </w:rPr>
                <w:t xml:space="preserve">pmc.ncbi.nlm.nih.gov — depression/anxiety/stress in oral LP (meta-analysis)</w:t>
              </w:r>
            </w:hyperlink>
          </w:p>
          <w:p>
            <w:pPr>
              <w:spacing w:before="60" w:after="40"/>
            </w:pPr>
            <w:r>
              <w:rPr>
                <w:rFonts w:ascii="Calibri" w:hAnsi="Calibri"/>
                <w:b w:val="0"/>
                <w:i w:val="0"/>
                <w:color w:val="5A5A5A"/>
                <w:sz w:val="18"/>
              </w:rPr>
              <w:t>#stress  #anxiety  #depression  #neuroimmune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metabolic</w:t>
            </w:r>
          </w:p>
        </w:tc>
        <w:tc>
          <w:tcPr>
            <w:tcW w:type="dxa" w:w="2160"/>
            <w:vAlign w:val="top"/>
          </w:tcPr>
          <w:p>
            <w:pPr>
              <w:spacing w:after="40" w:before="0" w:line="259" w:lineRule="auto"/>
            </w:pPr>
            <w:r>
              <w:rPr>
                <w:rFonts w:ascii="Calibri" w:hAnsi="Calibri"/>
                <w:b w:val="0"/>
                <w:i w:val="0"/>
                <w:color w:val="212121"/>
                <w:sz w:val="19"/>
              </w:rPr>
              <w:t>Overweight, sedentary adults with metabolic syndrome</w:t>
            </w:r>
          </w:p>
        </w:tc>
        <w:tc>
          <w:tcPr>
            <w:tcW w:type="dxa" w:w="4276"/>
            <w:vAlign w:val="top"/>
          </w:tcPr>
          <w:p>
            <w:pPr>
              <w:spacing w:after="60" w:line="259" w:lineRule="auto"/>
            </w:pPr>
            <w:r>
              <w:rPr>
                <w:rFonts w:ascii="Calibri" w:hAnsi="Calibri"/>
                <w:b w:val="0"/>
                <w:i w:val="0"/>
                <w:color w:val="212121"/>
                <w:sz w:val="19"/>
              </w:rPr>
              <w:t>Lichen planus is linked to a pro-inflammatory metabolic state; central obesity and physical inactivity cluster with the dyslipidaemia and dysglycaemia seen more often in these patients.</w:t>
            </w:r>
          </w:p>
          <w:p>
            <w:pPr>
              <w:spacing w:after="40" w:before="60" w:line="259" w:lineRule="auto"/>
            </w:pPr>
            <w:r>
              <w:rPr>
                <w:rFonts w:ascii="Calibri" w:hAnsi="Calibri"/>
                <w:b w:val="0"/>
                <w:i w:val="0"/>
                <w:color w:val="212121"/>
                <w:sz w:val="19"/>
              </w:rPr>
              <w:t>Metabolic syndrome was found in 32% of LP patients versus 13.4% of controls (OR 3.04, 95% CI 1.37–6.75).</w:t>
            </w:r>
          </w:p>
          <w:p>
            <w:pPr>
              <w:spacing w:after="40" w:line="252" w:lineRule="auto"/>
            </w:pPr>
            <w:hyperlink r:id="rId14">
              <w:r>
                <w:rPr>
                  <w:rFonts w:ascii="Calibri" w:hAnsi="Calibri" w:cs="Calibri"/>
                  <w:sz w:val="18"/>
                  <w:color w:val="1155CC"/>
                  <w:u w:val="single"/>
                </w:rPr>
                <w:t xml:space="preserve">academic.oup.com — metabolic syndrome in lichen planus (case-control)</w:t>
              </w:r>
            </w:hyperlink>
          </w:p>
          <w:p>
            <w:pPr>
              <w:spacing w:before="60" w:after="40"/>
            </w:pPr>
            <w:r>
              <w:rPr>
                <w:rFonts w:ascii="Calibri" w:hAnsi="Calibri"/>
                <w:b w:val="0"/>
                <w:i w:val="0"/>
                <w:color w:val="5A5A5A"/>
                <w:sz w:val="18"/>
              </w:rPr>
              <w:t>#metabolicsyndrome  #sedentary  #centralobesity  #inflammation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 / metabolic diet</w:t>
            </w:r>
          </w:p>
        </w:tc>
        <w:tc>
          <w:tcPr>
            <w:tcW w:type="dxa" w:w="2160"/>
            <w:vAlign w:val="top"/>
          </w:tcPr>
          <w:p>
            <w:pPr>
              <w:spacing w:after="40" w:before="0" w:line="259" w:lineRule="auto"/>
            </w:pPr>
            <w:r>
              <w:rPr>
                <w:rFonts w:ascii="Calibri" w:hAnsi="Calibri"/>
                <w:b w:val="0"/>
                <w:i w:val="0"/>
                <w:color w:val="212121"/>
                <w:sz w:val="19"/>
              </w:rPr>
              <w:t>High-glycaemic, atherogenic diets</w:t>
            </w:r>
          </w:p>
        </w:tc>
        <w:tc>
          <w:tcPr>
            <w:tcW w:type="dxa" w:w="4276"/>
            <w:vAlign w:val="top"/>
          </w:tcPr>
          <w:p>
            <w:pPr>
              <w:spacing w:after="60" w:line="259" w:lineRule="auto"/>
            </w:pPr>
            <w:r>
              <w:rPr>
                <w:rFonts w:ascii="Calibri" w:hAnsi="Calibri"/>
                <w:b w:val="0"/>
                <w:i w:val="0"/>
                <w:color w:val="212121"/>
                <w:sz w:val="19"/>
              </w:rPr>
              <w:t>Energy-dense, high-glycaemic and high-saturated-fat diets drive the dyslipidaemia that is over-represented in LP and may sustain the systemic inflammatory milieu that underlies mucocutaneous disease.</w:t>
            </w:r>
          </w:p>
          <w:p>
            <w:pPr>
              <w:spacing w:after="40" w:before="60" w:line="259" w:lineRule="auto"/>
            </w:pPr>
            <w:r>
              <w:rPr>
                <w:rFonts w:ascii="Calibri" w:hAnsi="Calibri"/>
                <w:b w:val="0"/>
                <w:i w:val="0"/>
                <w:color w:val="212121"/>
                <w:sz w:val="19"/>
              </w:rPr>
              <w:t>Dyslipidaemia was present in 60% of LP patients versus 34% of controls (OR 2.89, 95% CI 1.51–5.54).</w:t>
            </w:r>
          </w:p>
          <w:p>
            <w:pPr>
              <w:spacing w:after="40" w:line="252" w:lineRule="auto"/>
            </w:pPr>
            <w:hyperlink r:id="rId14">
              <w:r>
                <w:rPr>
                  <w:rFonts w:ascii="Calibri" w:hAnsi="Calibri" w:cs="Calibri"/>
                  <w:sz w:val="18"/>
                  <w:color w:val="1155CC"/>
                  <w:u w:val="single"/>
                </w:rPr>
                <w:t xml:space="preserve">academic.oup.com — dyslipidaemia in lichen planus (case-control)</w:t>
              </w:r>
            </w:hyperlink>
          </w:p>
          <w:p>
            <w:pPr>
              <w:spacing w:before="60" w:after="40"/>
            </w:pPr>
            <w:r>
              <w:rPr>
                <w:rFonts w:ascii="Calibri" w:hAnsi="Calibri"/>
                <w:b w:val="0"/>
                <w:i w:val="0"/>
                <w:color w:val="5A5A5A"/>
                <w:sz w:val="18"/>
              </w:rPr>
              <w:t>#dyslipidaemia  #highglycaemic  #atherogenic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Contact allergens / dental materials</w:t>
            </w:r>
          </w:p>
        </w:tc>
        <w:tc>
          <w:tcPr>
            <w:tcW w:type="dxa" w:w="2160"/>
            <w:vAlign w:val="top"/>
          </w:tcPr>
          <w:p>
            <w:pPr>
              <w:spacing w:after="40" w:before="0" w:line="259" w:lineRule="auto"/>
            </w:pPr>
            <w:r>
              <w:rPr>
                <w:rFonts w:ascii="Calibri" w:hAnsi="Calibri"/>
                <w:b w:val="0"/>
                <w:i w:val="0"/>
                <w:color w:val="212121"/>
                <w:sz w:val="19"/>
              </w:rPr>
              <w:t>Users of amalgam restorations, cinnamon/flavoured foods</w:t>
            </w:r>
          </w:p>
        </w:tc>
        <w:tc>
          <w:tcPr>
            <w:tcW w:type="dxa" w:w="4276"/>
            <w:vAlign w:val="top"/>
          </w:tcPr>
          <w:p>
            <w:pPr>
              <w:spacing w:after="60" w:line="259" w:lineRule="auto"/>
            </w:pPr>
            <w:r>
              <w:rPr>
                <w:rFonts w:ascii="Calibri" w:hAnsi="Calibri"/>
                <w:b w:val="0"/>
                <w:i w:val="0"/>
                <w:color w:val="212121"/>
                <w:sz w:val="19"/>
              </w:rPr>
              <w:t>Oral lichenoid contact lesions arise adjacent to dental amalgam or gold and in response to cinnamon and other flavourings; spicy and acidic foods aggravate erosive oral LP.</w:t>
            </w:r>
          </w:p>
          <w:p>
            <w:pPr>
              <w:spacing w:after="40" w:before="60" w:line="259" w:lineRule="auto"/>
            </w:pPr>
            <w:r>
              <w:rPr>
                <w:rFonts w:ascii="Calibri" w:hAnsi="Calibri"/>
                <w:b w:val="0"/>
                <w:i w:val="0"/>
                <w:color w:val="212121"/>
                <w:sz w:val="19"/>
              </w:rPr>
              <w:t>Oral lichenoid contact lesions to dental amalgam and flavourings are well recognised mimics/triggers of oral LP.</w:t>
            </w:r>
          </w:p>
          <w:p>
            <w:pPr>
              <w:spacing w:after="40" w:line="252" w:lineRule="auto"/>
            </w:pPr>
            <w:hyperlink r:id="rId12">
              <w:r>
                <w:rPr>
                  <w:rFonts w:ascii="Calibri" w:hAnsi="Calibri" w:cs="Calibri"/>
                  <w:sz w:val="18"/>
                  <w:color w:val="1155CC"/>
                  <w:u w:val="single"/>
                </w:rPr>
                <w:t xml:space="preserve">dermnetnz.org — lichen planus (oral lichenoid contact lesions)</w:t>
              </w:r>
            </w:hyperlink>
          </w:p>
          <w:p>
            <w:pPr>
              <w:spacing w:before="60" w:after="40"/>
            </w:pPr>
            <w:r>
              <w:rPr>
                <w:rFonts w:ascii="Calibri" w:hAnsi="Calibri"/>
                <w:b w:val="0"/>
                <w:i w:val="0"/>
                <w:color w:val="5A5A5A"/>
                <w:sz w:val="18"/>
              </w:rPr>
              <w:t>#amalgam  #cinnamon  #contactlichenoid  #spicyfoods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Relatives with LP or autoimmune disease</w:t>
            </w:r>
          </w:p>
        </w:tc>
        <w:tc>
          <w:tcPr>
            <w:tcW w:type="dxa" w:w="4276"/>
            <w:vAlign w:val="top"/>
          </w:tcPr>
          <w:p>
            <w:pPr>
              <w:spacing w:after="60" w:line="259" w:lineRule="auto"/>
            </w:pPr>
            <w:r>
              <w:rPr>
                <w:rFonts w:ascii="Calibri" w:hAnsi="Calibri"/>
                <w:b w:val="0"/>
                <w:i w:val="0"/>
                <w:color w:val="212121"/>
                <w:sz w:val="19"/>
              </w:rPr>
              <w:t>Familial lichen planus and HLA associations point to inherited immune susceptibility; familial cases may be more extensive or of earlier onset.</w:t>
            </w:r>
          </w:p>
          <w:p>
            <w:pPr>
              <w:spacing w:after="40" w:before="60" w:line="259" w:lineRule="auto"/>
            </w:pPr>
            <w:r>
              <w:rPr>
                <w:rFonts w:ascii="Calibri" w:hAnsi="Calibri"/>
                <w:b w:val="0"/>
                <w:i w:val="0"/>
                <w:color w:val="212121"/>
                <w:sz w:val="19"/>
              </w:rPr>
              <w:t>Familial clustering and HLA associations (e.g. HLA-DR1) are described, indicating a genetic contribution to susceptibility.</w:t>
            </w:r>
          </w:p>
          <w:p>
            <w:pPr>
              <w:spacing w:before="60" w:after="40"/>
            </w:pPr>
            <w:r>
              <w:rPr>
                <w:rFonts w:ascii="Calibri" w:hAnsi="Calibri"/>
                <w:b w:val="0"/>
                <w:i w:val="0"/>
                <w:color w:val="5A5A5A"/>
                <w:sz w:val="18"/>
              </w:rPr>
              <w:t>#familyhistory  #HLA  #autoimmunity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Hepatitis C</w:t>
            </w:r>
          </w:p>
        </w:tc>
        <w:tc>
          <w:tcPr>
            <w:tcW w:type="dxa" w:w="2160"/>
            <w:vAlign w:val="top"/>
          </w:tcPr>
          <w:p>
            <w:pPr>
              <w:spacing w:after="40" w:before="0" w:line="259" w:lineRule="auto"/>
            </w:pPr>
            <w:r>
              <w:rPr>
                <w:rFonts w:ascii="Calibri" w:hAnsi="Calibri"/>
                <w:b w:val="0"/>
                <w:i w:val="0"/>
                <w:color w:val="212121"/>
                <w:sz w:val="19"/>
              </w:rPr>
              <w:t>Patients with chronic HCV infection</w:t>
            </w:r>
          </w:p>
        </w:tc>
        <w:tc>
          <w:tcPr>
            <w:tcW w:type="dxa" w:w="4276"/>
            <w:vAlign w:val="top"/>
          </w:tcPr>
          <w:p>
            <w:pPr>
              <w:spacing w:after="60" w:line="259" w:lineRule="auto"/>
            </w:pPr>
            <w:r>
              <w:rPr>
                <w:rFonts w:ascii="Calibri" w:hAnsi="Calibri"/>
                <w:b w:val="0"/>
                <w:i w:val="0"/>
                <w:color w:val="212121"/>
                <w:sz w:val="19"/>
              </w:rPr>
              <w:t>HCV is an established LP trigger via molecular mimicry in high-prevalence regions, but the association is weak in India, where local HCV seroprevalence among LP patients is low.</w:t>
            </w:r>
          </w:p>
          <w:p>
            <w:pPr>
              <w:spacing w:after="40" w:before="60" w:line="259" w:lineRule="auto"/>
            </w:pPr>
            <w:r>
              <w:rPr>
                <w:rFonts w:ascii="Calibri" w:hAnsi="Calibri"/>
                <w:b w:val="0"/>
                <w:i w:val="0"/>
                <w:color w:val="212121"/>
                <w:sz w:val="19"/>
              </w:rPr>
              <w:t>An Indian series of 65 LP patients found 0% anti-HCV seropositivity, and a 140-patient cohort found only 2.1%, indicating a weak local association.</w:t>
            </w:r>
          </w:p>
          <w:p>
            <w:pPr>
              <w:spacing w:after="40" w:line="252" w:lineRule="auto"/>
            </w:pPr>
            <w:hyperlink r:id="rId11">
              <w:r>
                <w:rPr>
                  <w:rFonts w:ascii="Calibri" w:hAnsi="Calibri" w:cs="Calibri"/>
                  <w:sz w:val="18"/>
                  <w:color w:val="1155CC"/>
                  <w:u w:val="single"/>
                </w:rPr>
                <w:t xml:space="preserve">ijdvl.com — lichen planus &amp; HCV (India, 65 cases)</w:t>
              </w:r>
            </w:hyperlink>
          </w:p>
          <w:p>
            <w:pPr>
              <w:spacing w:before="60" w:after="40"/>
            </w:pPr>
            <w:r>
              <w:rPr>
                <w:rFonts w:ascii="Calibri" w:hAnsi="Calibri"/>
                <w:b w:val="0"/>
                <w:i w:val="0"/>
                <w:color w:val="5A5A5A"/>
                <w:sz w:val="18"/>
              </w:rPr>
              <w:t>#hepatitisC  #HCV  #molecularmimicry  #regionalvariation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disease</w:t>
            </w:r>
          </w:p>
        </w:tc>
        <w:tc>
          <w:tcPr>
            <w:tcW w:type="dxa" w:w="2160"/>
            <w:vAlign w:val="top"/>
          </w:tcPr>
          <w:p>
            <w:pPr>
              <w:spacing w:after="40" w:before="0" w:line="259" w:lineRule="auto"/>
            </w:pPr>
            <w:r>
              <w:rPr>
                <w:rFonts w:ascii="Calibri" w:hAnsi="Calibri"/>
                <w:b w:val="0"/>
                <w:i w:val="0"/>
                <w:color w:val="212121"/>
                <w:sz w:val="19"/>
              </w:rPr>
              <w:t>Patients with hypothyroidism / autoimmune thyroiditis</w:t>
            </w:r>
          </w:p>
        </w:tc>
        <w:tc>
          <w:tcPr>
            <w:tcW w:type="dxa" w:w="4276"/>
            <w:vAlign w:val="top"/>
          </w:tcPr>
          <w:p>
            <w:pPr>
              <w:spacing w:after="60" w:line="259" w:lineRule="auto"/>
            </w:pPr>
            <w:r>
              <w:rPr>
                <w:rFonts w:ascii="Calibri" w:hAnsi="Calibri"/>
                <w:b w:val="0"/>
                <w:i w:val="0"/>
                <w:color w:val="212121"/>
                <w:sz w:val="19"/>
              </w:rPr>
              <w:t>Autoimmune thyroid disease is over-represented in lichen planus, especially oral LP, sharing a T-cell autoimmune basis; screening thyroid function is worthwhile.</w:t>
            </w:r>
          </w:p>
          <w:p>
            <w:pPr>
              <w:spacing w:after="40" w:before="60" w:line="259" w:lineRule="auto"/>
            </w:pPr>
            <w:r>
              <w:rPr>
                <w:rFonts w:ascii="Calibri" w:hAnsi="Calibri"/>
                <w:b w:val="0"/>
                <w:i w:val="0"/>
                <w:color w:val="212121"/>
                <w:sz w:val="19"/>
              </w:rPr>
              <w:t>Meta-analysis showed thyroid disease is significantly commoner in oral LP (OR 2.10, 95% CI 1.47–3.01), with hypothyroidism OR 1.83.</w:t>
            </w:r>
          </w:p>
          <w:p>
            <w:pPr>
              <w:spacing w:after="40" w:line="252" w:lineRule="auto"/>
            </w:pPr>
            <w:hyperlink r:id="rId15">
              <w:r>
                <w:rPr>
                  <w:rFonts w:ascii="Calibri" w:hAnsi="Calibri" w:cs="Calibri"/>
                  <w:sz w:val="18"/>
                  <w:color w:val="1155CC"/>
                  <w:u w:val="single"/>
                </w:rPr>
                <w:t xml:space="preserve">frontiersin.org — thyroid disease &amp; oral LP (meta-analysis)</w:t>
              </w:r>
            </w:hyperlink>
          </w:p>
          <w:p>
            <w:pPr>
              <w:spacing w:before="60" w:after="40"/>
            </w:pPr>
            <w:r>
              <w:rPr>
                <w:rFonts w:ascii="Calibri" w:hAnsi="Calibri"/>
                <w:b w:val="0"/>
                <w:i w:val="0"/>
                <w:color w:val="5A5A5A"/>
                <w:sz w:val="18"/>
              </w:rPr>
              <w:t>#hypothyroidism  #thyroidautoimmunity  #oralLP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 (Grinspan syndrome)</w:t>
            </w:r>
          </w:p>
        </w:tc>
        <w:tc>
          <w:tcPr>
            <w:tcW w:type="dxa" w:w="4276"/>
            <w:vAlign w:val="top"/>
          </w:tcPr>
          <w:p>
            <w:pPr>
              <w:spacing w:after="60" w:line="259" w:lineRule="auto"/>
            </w:pPr>
            <w:r>
              <w:rPr>
                <w:rFonts w:ascii="Calibri" w:hAnsi="Calibri"/>
                <w:b w:val="0"/>
                <w:i w:val="0"/>
                <w:color w:val="212121"/>
                <w:sz w:val="19"/>
              </w:rPr>
              <w:t>Diabetes is significantly associated with lichen planus, particularly the oral form; the classic triad of oral LP, diabetes and hypertension is termed Grinspan syndrome.</w:t>
            </w:r>
          </w:p>
          <w:p>
            <w:pPr>
              <w:spacing w:after="40" w:before="60" w:line="259" w:lineRule="auto"/>
            </w:pPr>
            <w:r>
              <w:rPr>
                <w:rFonts w:ascii="Calibri" w:hAnsi="Calibri"/>
                <w:b w:val="0"/>
                <w:i w:val="0"/>
                <w:color w:val="212121"/>
                <w:sz w:val="19"/>
              </w:rPr>
              <w:t>15% of patients in an Indian LP cohort were diabetic, and case-control data confirm a significant excess of diabetes in LP.</w:t>
            </w:r>
          </w:p>
          <w:p>
            <w:pPr>
              <w:spacing w:after="40" w:line="252" w:lineRule="auto"/>
            </w:pPr>
            <w:hyperlink r:id="rId9">
              <w:r>
                <w:rPr>
                  <w:rFonts w:ascii="Calibri" w:hAnsi="Calibri" w:cs="Calibri"/>
                  <w:sz w:val="18"/>
                  <w:color w:val="1155CC"/>
                  <w:u w:val="single"/>
                </w:rPr>
                <w:t xml:space="preserve">ijced.org — lichen planus cohort (India, diabetes 15%)</w:t>
              </w:r>
            </w:hyperlink>
          </w:p>
          <w:p>
            <w:pPr>
              <w:spacing w:before="60" w:after="40"/>
            </w:pPr>
            <w:r>
              <w:rPr>
                <w:rFonts w:ascii="Calibri" w:hAnsi="Calibri"/>
                <w:b w:val="0"/>
                <w:i w:val="0"/>
                <w:color w:val="5A5A5A"/>
                <w:sz w:val="18"/>
              </w:rPr>
              <w:t>#diabetes  #Grinspansyndrome  #oralLP  #dysglycaemia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Dyslipidaemia</w:t>
            </w:r>
          </w:p>
        </w:tc>
        <w:tc>
          <w:tcPr>
            <w:tcW w:type="dxa" w:w="2160"/>
            <w:vAlign w:val="top"/>
          </w:tcPr>
          <w:p>
            <w:pPr>
              <w:spacing w:after="40" w:before="0" w:line="259" w:lineRule="auto"/>
            </w:pPr>
            <w:r>
              <w:rPr>
                <w:rFonts w:ascii="Calibri" w:hAnsi="Calibri"/>
                <w:b w:val="0"/>
                <w:i w:val="0"/>
                <w:color w:val="212121"/>
                <w:sz w:val="19"/>
              </w:rPr>
              <w:t>Patients with elevated triglycerides / low HDL</w:t>
            </w:r>
          </w:p>
        </w:tc>
        <w:tc>
          <w:tcPr>
            <w:tcW w:type="dxa" w:w="4276"/>
            <w:vAlign w:val="top"/>
          </w:tcPr>
          <w:p>
            <w:pPr>
              <w:spacing w:after="60" w:line="259" w:lineRule="auto"/>
            </w:pPr>
            <w:r>
              <w:rPr>
                <w:rFonts w:ascii="Calibri" w:hAnsi="Calibri"/>
                <w:b w:val="0"/>
                <w:i w:val="0"/>
                <w:color w:val="212121"/>
                <w:sz w:val="19"/>
              </w:rPr>
              <w:t>An atherogenic lipid profile (high triglycerides, low HDL, high LDL) is significantly more common in LP, contributing to increased cardiovascular risk and supporting routine lipid screening.</w:t>
            </w:r>
          </w:p>
          <w:p>
            <w:pPr>
              <w:spacing w:after="40" w:before="60" w:line="259" w:lineRule="auto"/>
            </w:pPr>
            <w:r>
              <w:rPr>
                <w:rFonts w:ascii="Calibri" w:hAnsi="Calibri"/>
                <w:b w:val="0"/>
                <w:i w:val="0"/>
                <w:color w:val="212121"/>
                <w:sz w:val="19"/>
              </w:rPr>
              <w:t>Dyslipidaemia occurred in 60% of LP patients versus 34% of controls (OR 2.89); raised triglycerides OR 2.90 and low HDL OR 2.51.</w:t>
            </w:r>
          </w:p>
          <w:p>
            <w:pPr>
              <w:spacing w:after="40" w:line="252" w:lineRule="auto"/>
            </w:pPr>
            <w:hyperlink r:id="rId14">
              <w:r>
                <w:rPr>
                  <w:rFonts w:ascii="Calibri" w:hAnsi="Calibri" w:cs="Calibri"/>
                  <w:sz w:val="18"/>
                  <w:color w:val="1155CC"/>
                  <w:u w:val="single"/>
                </w:rPr>
                <w:t xml:space="preserve">academic.oup.com — dyslipidaemia in lichen planus</w:t>
              </w:r>
            </w:hyperlink>
          </w:p>
          <w:p>
            <w:pPr>
              <w:spacing w:before="60" w:after="40"/>
            </w:pPr>
            <w:r>
              <w:rPr>
                <w:rFonts w:ascii="Calibri" w:hAnsi="Calibri"/>
                <w:b w:val="0"/>
                <w:i w:val="0"/>
                <w:color w:val="5A5A5A"/>
                <w:sz w:val="18"/>
              </w:rPr>
              <w:t>#dyslipidaemia  #triglycerides  #lowHDL  #cardiovascularrisk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 (mucosal LP)</w:t>
            </w:r>
          </w:p>
        </w:tc>
        <w:tc>
          <w:tcPr>
            <w:tcW w:type="dxa" w:w="2160"/>
            <w:vAlign w:val="top"/>
          </w:tcPr>
          <w:p>
            <w:pPr>
              <w:spacing w:after="40" w:before="0" w:line="259" w:lineRule="auto"/>
            </w:pPr>
            <w:r>
              <w:rPr>
                <w:rFonts w:ascii="Calibri" w:hAnsi="Calibri"/>
                <w:b w:val="0"/>
                <w:i w:val="0"/>
                <w:color w:val="212121"/>
                <w:sz w:val="19"/>
              </w:rPr>
              <w:t>Patients with mucosal / erosive lichen planus</w:t>
            </w:r>
          </w:p>
        </w:tc>
        <w:tc>
          <w:tcPr>
            <w:tcW w:type="dxa" w:w="4276"/>
            <w:vAlign w:val="top"/>
          </w:tcPr>
          <w:p>
            <w:pPr>
              <w:spacing w:after="60" w:line="259" w:lineRule="auto"/>
            </w:pPr>
            <w:r>
              <w:rPr>
                <w:rFonts w:ascii="Calibri" w:hAnsi="Calibri"/>
                <w:b w:val="0"/>
                <w:i w:val="0"/>
                <w:color w:val="212121"/>
                <w:sz w:val="19"/>
              </w:rPr>
              <w:t>Mucosal lichen planus in particular is associated with metabolic syndrome, reflecting a systemic inflammatory link between the mucocutaneous disease and cardiometabolic risk.</w:t>
            </w:r>
          </w:p>
          <w:p>
            <w:pPr>
              <w:spacing w:after="40" w:before="60" w:line="259" w:lineRule="auto"/>
            </w:pPr>
            <w:r>
              <w:rPr>
                <w:rFonts w:ascii="Calibri" w:hAnsi="Calibri"/>
                <w:b w:val="0"/>
                <w:i w:val="0"/>
                <w:color w:val="212121"/>
                <w:sz w:val="19"/>
              </w:rPr>
              <w:t>Metabolic syndrome was present in 34.5% of LP patients with mucosal involvement versus 8.3% without, and 26.6% of LP patients overall versus 12.7% of controls.</w:t>
            </w:r>
          </w:p>
          <w:p>
            <w:pPr>
              <w:spacing w:after="40" w:line="252" w:lineRule="auto"/>
            </w:pPr>
            <w:hyperlink r:id="rId16">
              <w:r>
                <w:rPr>
                  <w:rFonts w:ascii="Calibri" w:hAnsi="Calibri" w:cs="Calibri"/>
                  <w:sz w:val="18"/>
                  <w:color w:val="1155CC"/>
                  <w:u w:val="single"/>
                </w:rPr>
                <w:t xml:space="preserve">link.springer.com — metabolic syndrome in mucosal lichen planus</w:t>
              </w:r>
            </w:hyperlink>
          </w:p>
          <w:p>
            <w:pPr>
              <w:spacing w:before="60" w:after="40"/>
            </w:pPr>
            <w:r>
              <w:rPr>
                <w:rFonts w:ascii="Calibri" w:hAnsi="Calibri"/>
                <w:b w:val="0"/>
                <w:i w:val="0"/>
                <w:color w:val="5A5A5A"/>
                <w:sz w:val="18"/>
              </w:rPr>
              <w:t>#metabolicsyndrome  #mucosalLP  #systemicinflammation  #cardiometabolic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central obesity cluster with the metabolic syndrome and dyslipidaemia over-represented in LP (metabolic syndrome 32% vs 13.4%, OR 3.04); regular activity helps control these comorbidities.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Atherogenic, high-glycaemic diets drive the dyslipidaemia seen in 60% of LP patients; spicy, acidic foods and flavourings (e.g. cinnamon) aggravate erosive oral LP and can provoke lichenoid contact lesions.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fatigue accompany the anxiety, depression and pruritus of LP and may lower the threshold for flares, though direct causal evidence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smoke and areca/betel quid provoke and sustain oral lichenoid lesions and add to the malignant transformation risk (pooled ~1.37% for oral LP).</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acts synergistically with tobacco on the oral mucosa and adds hepatic and metabolic burden, worsening mucosal disease.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 systematic review/meta-analysis found significantly higher depression, anxiety and stress in oral LP; stressful life events precipitate and flare disease through neuro-immune pathways.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saliva substitutes ease the dry, sore mouth of erosive oral LP, but water intake has no proven effect on disease activity.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association between caffeine intake and lichen planus; strong coffee/tea may transiently sting erosive oral lesions.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oral hygiene and dental plaque worsen gingival and erosive oral LP; lichenoid contact reactions occur adjacent to amalgam/gold restorations, so plaque control and restoration review help.</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Lichenoid drugs (thiazides, ACE inhibitors, beta-blockers, antimalarials, gold, NSAIDs), dental metals, cinnamon/flavourings, tobacco/areca, HCV and skin trauma (Koebner phenomenon) all precipitate LP.</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LP</w:t>
            </w:r>
          </w:p>
        </w:tc>
        <w:tc>
          <w:tcPr>
            <w:tcW w:type="dxa" w:w="1512"/>
            <w:vAlign w:val="top"/>
          </w:tcPr>
          <w:p>
            <w:pPr>
              <w:spacing w:after="40" w:before="0" w:line="259" w:lineRule="auto"/>
            </w:pPr>
            <w:r>
              <w:rPr>
                <w:rFonts w:ascii="Calibri" w:hAnsi="Calibri"/>
                <w:b w:val="0"/>
                <w:i w:val="0"/>
                <w:color w:val="212121"/>
                <w:sz w:val="19"/>
              </w:rPr>
              <w:t>18.5–22.9 kg/m² (Asian cut-off)</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Central obesity clusters with the dyslipidaemia/metabolic syndrome linked to LP</w:t>
            </w:r>
          </w:p>
          <w:p>
            <w:pPr>
              <w:spacing w:after="40" w:line="252" w:lineRule="auto"/>
            </w:pPr>
            <w:hyperlink r:id="rId14">
              <w:r>
                <w:rPr>
                  <w:rFonts w:ascii="Calibri" w:hAnsi="Calibri" w:cs="Calibri"/>
                  <w:sz w:val="18"/>
                  <w:color w:val="1155CC"/>
                  <w:u w:val="single"/>
                </w:rPr>
                <w:t xml:space="preserve">https://academic.oup.com/skinhd/article/4/1/ski2.315/7755681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 with LP</w:t>
            </w:r>
          </w:p>
        </w:tc>
        <w:tc>
          <w:tcPr>
            <w:tcW w:type="dxa" w:w="1512"/>
            <w:vAlign w:val="top"/>
          </w:tcPr>
          <w:p>
            <w:pPr>
              <w:spacing w:after="40" w:before="0" w:line="259" w:lineRule="auto"/>
            </w:pPr>
            <w:r>
              <w:rPr>
                <w:rFonts w:ascii="Calibri" w:hAnsi="Calibri"/>
                <w:b w:val="0"/>
                <w:i w:val="0"/>
                <w:color w:val="212121"/>
                <w:sz w:val="19"/>
              </w:rPr>
              <w:t>M &lt; 90 cm; F &lt; 80 cm (Asian)</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Abdominal obesity is a core metabolic-syndrome criterion enriched in LP</w:t>
            </w:r>
          </w:p>
          <w:p>
            <w:pPr>
              <w:spacing w:after="40" w:line="252" w:lineRule="auto"/>
            </w:pPr>
            <w:hyperlink r:id="rId14">
              <w:r>
                <w:rPr>
                  <w:rFonts w:ascii="Calibri" w:hAnsi="Calibri" w:cs="Calibri"/>
                  <w:sz w:val="18"/>
                  <w:color w:val="1155CC"/>
                  <w:u w:val="single"/>
                </w:rPr>
                <w:t xml:space="preserve">https://academic.oup.com/skinhd/article/4/1/ski2.315/7755681</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triglycerides (mg/dL)</w:t>
            </w:r>
          </w:p>
        </w:tc>
        <w:tc>
          <w:tcPr>
            <w:tcW w:type="dxa" w:w="1655"/>
            <w:vAlign w:val="top"/>
          </w:tcPr>
          <w:p>
            <w:pPr>
              <w:spacing w:after="40" w:before="0" w:line="259" w:lineRule="auto"/>
            </w:pPr>
            <w:r>
              <w:rPr>
                <w:rFonts w:ascii="Calibri" w:hAnsi="Calibri"/>
                <w:b w:val="0"/>
                <w:i w:val="0"/>
                <w:color w:val="212121"/>
                <w:sz w:val="19"/>
              </w:rPr>
              <w:t>Adults with LP</w:t>
            </w:r>
          </w:p>
        </w:tc>
        <w:tc>
          <w:tcPr>
            <w:tcW w:type="dxa" w:w="1512"/>
            <w:vAlign w:val="top"/>
          </w:tcPr>
          <w:p>
            <w:pPr>
              <w:spacing w:after="40" w:before="0" w:line="259" w:lineRule="auto"/>
            </w:pPr>
            <w:r>
              <w:rPr>
                <w:rFonts w:ascii="Calibri" w:hAnsi="Calibri"/>
                <w:b w:val="0"/>
                <w:i w:val="0"/>
                <w:color w:val="212121"/>
                <w:sz w:val="19"/>
              </w:rPr>
              <w:t>&lt; 150 mg/dL</w:t>
            </w:r>
          </w:p>
        </w:tc>
        <w:tc>
          <w:tcPr>
            <w:tcW w:type="dxa" w:w="1512"/>
            <w:vAlign w:val="top"/>
          </w:tcPr>
          <w:p>
            <w:pPr>
              <w:spacing w:after="40" w:before="0" w:line="259" w:lineRule="auto"/>
            </w:pPr>
            <w:r>
              <w:rPr>
                <w:rFonts w:ascii="Calibri" w:hAnsi="Calibri"/>
                <w:b w:val="0"/>
                <w:i w:val="0"/>
                <w:color w:val="212121"/>
                <w:sz w:val="19"/>
              </w:rPr>
              <w:t>≥ 150 mg/dL</w:t>
            </w:r>
          </w:p>
        </w:tc>
        <w:tc>
          <w:tcPr>
            <w:tcW w:type="dxa" w:w="1468"/>
            <w:vAlign w:val="top"/>
          </w:tcPr>
          <w:p>
            <w:pPr>
              <w:spacing w:after="60" w:line="259" w:lineRule="auto"/>
            </w:pPr>
            <w:r>
              <w:rPr>
                <w:rFonts w:ascii="Calibri" w:hAnsi="Calibri"/>
                <w:b w:val="0"/>
                <w:i w:val="0"/>
                <w:color w:val="212121"/>
                <w:sz w:val="19"/>
              </w:rPr>
              <w:t>Raised triglycerides in 40% of LP vs 23% controls (OR 2.90)</w:t>
            </w:r>
          </w:p>
          <w:p>
            <w:pPr>
              <w:spacing w:after="40" w:line="252" w:lineRule="auto"/>
            </w:pPr>
            <w:hyperlink r:id="rId14">
              <w:r>
                <w:rPr>
                  <w:rFonts w:ascii="Calibri" w:hAnsi="Calibri" w:cs="Calibri"/>
                  <w:sz w:val="18"/>
                  <w:color w:val="1155CC"/>
                  <w:u w:val="single"/>
                </w:rPr>
                <w:t xml:space="preserve">https://academic.oup.com/skinhd/article/4/1/ski2.315/7755681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HDL cholesterol (mg/dL)</w:t>
            </w:r>
          </w:p>
        </w:tc>
        <w:tc>
          <w:tcPr>
            <w:tcW w:type="dxa" w:w="1655"/>
            <w:vAlign w:val="top"/>
          </w:tcPr>
          <w:p>
            <w:pPr>
              <w:spacing w:after="40" w:before="0" w:line="259" w:lineRule="auto"/>
            </w:pPr>
            <w:r>
              <w:rPr>
                <w:rFonts w:ascii="Calibri" w:hAnsi="Calibri"/>
                <w:b w:val="0"/>
                <w:i w:val="0"/>
                <w:color w:val="212121"/>
                <w:sz w:val="19"/>
              </w:rPr>
              <w:t>Adults with LP</w:t>
            </w:r>
          </w:p>
        </w:tc>
        <w:tc>
          <w:tcPr>
            <w:tcW w:type="dxa" w:w="1512"/>
            <w:vAlign w:val="top"/>
          </w:tcPr>
          <w:p>
            <w:pPr>
              <w:spacing w:after="40" w:before="0" w:line="259" w:lineRule="auto"/>
            </w:pPr>
            <w:r>
              <w:rPr>
                <w:rFonts w:ascii="Calibri" w:hAnsi="Calibri"/>
                <w:b w:val="0"/>
                <w:i w:val="0"/>
                <w:color w:val="212121"/>
                <w:sz w:val="19"/>
              </w:rPr>
              <w:t>M ≥ 40; F ≥ 50 mg/dL</w:t>
            </w:r>
          </w:p>
        </w:tc>
        <w:tc>
          <w:tcPr>
            <w:tcW w:type="dxa" w:w="1512"/>
            <w:vAlign w:val="top"/>
          </w:tcPr>
          <w:p>
            <w:pPr>
              <w:spacing w:after="40" w:before="0" w:line="259" w:lineRule="auto"/>
            </w:pPr>
            <w:r>
              <w:rPr>
                <w:rFonts w:ascii="Calibri" w:hAnsi="Calibri"/>
                <w:b w:val="0"/>
                <w:i w:val="0"/>
                <w:color w:val="212121"/>
                <w:sz w:val="19"/>
              </w:rPr>
              <w:t>M &lt; 40; F &lt; 50 mg/dL</w:t>
            </w:r>
          </w:p>
        </w:tc>
        <w:tc>
          <w:tcPr>
            <w:tcW w:type="dxa" w:w="1468"/>
            <w:vAlign w:val="top"/>
          </w:tcPr>
          <w:p>
            <w:pPr>
              <w:spacing w:after="60" w:line="259" w:lineRule="auto"/>
            </w:pPr>
            <w:r>
              <w:rPr>
                <w:rFonts w:ascii="Calibri" w:hAnsi="Calibri"/>
                <w:b w:val="0"/>
                <w:i w:val="0"/>
                <w:color w:val="212121"/>
                <w:sz w:val="19"/>
              </w:rPr>
              <w:t>Low HDL in 21.3% of LP vs 9.8% controls (OR 2.51)</w:t>
            </w:r>
          </w:p>
          <w:p>
            <w:pPr>
              <w:spacing w:after="40" w:line="252" w:lineRule="auto"/>
            </w:pPr>
            <w:hyperlink r:id="rId14">
              <w:r>
                <w:rPr>
                  <w:rFonts w:ascii="Calibri" w:hAnsi="Calibri" w:cs="Calibri"/>
                  <w:sz w:val="18"/>
                  <w:color w:val="1155CC"/>
                  <w:u w:val="single"/>
                </w:rPr>
                <w:t xml:space="preserve">https://academic.oup.com/skinhd/article/4/1/ski2.315/7755681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Adults with LP</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100 mg/dL (impaired); ≥ 126 (diabetes)</w:t>
            </w:r>
          </w:p>
        </w:tc>
        <w:tc>
          <w:tcPr>
            <w:tcW w:type="dxa" w:w="1468"/>
            <w:vAlign w:val="top"/>
          </w:tcPr>
          <w:p>
            <w:pPr>
              <w:spacing w:after="60" w:line="259" w:lineRule="auto"/>
            </w:pPr>
            <w:r>
              <w:rPr>
                <w:rFonts w:ascii="Calibri" w:hAnsi="Calibri"/>
                <w:b w:val="0"/>
                <w:i w:val="0"/>
                <w:color w:val="212121"/>
                <w:sz w:val="19"/>
              </w:rPr>
              <w:t>Diabetes over-represented in LP; 15% diabetic in an Indian cohort</w:t>
            </w:r>
          </w:p>
          <w:p>
            <w:pPr>
              <w:spacing w:after="40" w:line="252" w:lineRule="auto"/>
            </w:pPr>
            <w:hyperlink r:id="rId9">
              <w:r>
                <w:rPr>
                  <w:rFonts w:ascii="Calibri" w:hAnsi="Calibri" w:cs="Calibri"/>
                  <w:sz w:val="18"/>
                  <w:color w:val="1155CC"/>
                  <w:u w:val="single"/>
                </w:rPr>
                <w:t xml:space="preserve">https://ijced.org/archive/volume/6/issue/1/article/7644</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Thyroid-stimulating hormone (mIU/L)</w:t>
            </w:r>
          </w:p>
        </w:tc>
        <w:tc>
          <w:tcPr>
            <w:tcW w:type="dxa" w:w="1655"/>
            <w:vAlign w:val="top"/>
          </w:tcPr>
          <w:p>
            <w:pPr>
              <w:spacing w:after="40" w:before="0" w:line="259" w:lineRule="auto"/>
            </w:pPr>
            <w:r>
              <w:rPr>
                <w:rFonts w:ascii="Calibri" w:hAnsi="Calibri"/>
                <w:b w:val="0"/>
                <w:i w:val="0"/>
                <w:color w:val="212121"/>
                <w:sz w:val="19"/>
              </w:rPr>
              <w:t>Patients with LP (esp. oral)</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&gt; 4.0 mIU/L (hypothyroid)</w:t>
            </w:r>
          </w:p>
        </w:tc>
        <w:tc>
          <w:tcPr>
            <w:tcW w:type="dxa" w:w="1468"/>
            <w:vAlign w:val="top"/>
          </w:tcPr>
          <w:p>
            <w:pPr>
              <w:spacing w:after="60" w:line="259" w:lineRule="auto"/>
            </w:pPr>
            <w:r>
              <w:rPr>
                <w:rFonts w:ascii="Calibri" w:hAnsi="Calibri"/>
                <w:b w:val="0"/>
                <w:i w:val="0"/>
                <w:color w:val="212121"/>
                <w:sz w:val="19"/>
              </w:rPr>
              <w:t>Thyroid disease OR 2.10 in oral LP; hypothyroidism OR 1.83</w:t>
            </w:r>
          </w:p>
          <w:p>
            <w:pPr>
              <w:spacing w:after="40" w:line="252" w:lineRule="auto"/>
            </w:pPr>
            <w:hyperlink r:id="rId15">
              <w:r>
                <w:rPr>
                  <w:rFonts w:ascii="Calibri" w:hAnsi="Calibri" w:cs="Calibri"/>
                  <w:sz w:val="18"/>
                  <w:color w:val="1155CC"/>
                  <w:u w:val="single"/>
                </w:rPr>
                <w:t xml:space="preserve">https://www.frontiersin.org/journals/endocrinology/articles/10.3389/fendo.2017.00310/full</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 areca-quid use (per day)</w:t>
            </w:r>
          </w:p>
        </w:tc>
        <w:tc>
          <w:tcPr>
            <w:tcW w:type="dxa" w:w="1655"/>
            <w:vAlign w:val="top"/>
          </w:tcPr>
          <w:p>
            <w:pPr>
              <w:spacing w:after="40" w:before="0" w:line="259" w:lineRule="auto"/>
            </w:pPr>
            <w:r>
              <w:rPr>
                <w:rFonts w:ascii="Calibri" w:hAnsi="Calibri"/>
                <w:b w:val="0"/>
                <w:i w:val="0"/>
                <w:color w:val="212121"/>
                <w:sz w:val="19"/>
              </w:rPr>
              <w:t>Oral LP patients</w:t>
            </w:r>
          </w:p>
        </w:tc>
        <w:tc>
          <w:tcPr>
            <w:tcW w:type="dxa" w:w="1512"/>
            <w:vAlign w:val="top"/>
          </w:tcPr>
          <w:p>
            <w:pPr>
              <w:spacing w:after="40" w:before="0" w:line="259" w:lineRule="auto"/>
            </w:pPr>
            <w:r>
              <w:rPr>
                <w:rFonts w:ascii="Calibri" w:hAnsi="Calibri"/>
                <w:b w:val="0"/>
                <w:i w:val="0"/>
                <w:color w:val="212121"/>
                <w:sz w:val="19"/>
              </w:rPr>
              <w:t>0 (no tobacco or areca)</w:t>
            </w:r>
          </w:p>
        </w:tc>
        <w:tc>
          <w:tcPr>
            <w:tcW w:type="dxa" w:w="1512"/>
            <w:vAlign w:val="top"/>
          </w:tcPr>
          <w:p>
            <w:pPr>
              <w:spacing w:after="40" w:before="0" w:line="259" w:lineRule="auto"/>
            </w:pPr>
            <w:r>
              <w:rPr>
                <w:rFonts w:ascii="Calibri" w:hAnsi="Calibri"/>
                <w:b w:val="0"/>
                <w:i w:val="0"/>
                <w:color w:val="212121"/>
                <w:sz w:val="19"/>
              </w:rPr>
              <w:t>Any daily use</w:t>
            </w:r>
          </w:p>
        </w:tc>
        <w:tc>
          <w:tcPr>
            <w:tcW w:type="dxa" w:w="1468"/>
            <w:vAlign w:val="top"/>
          </w:tcPr>
          <w:p>
            <w:pPr>
              <w:spacing w:after="60" w:line="259" w:lineRule="auto"/>
            </w:pPr>
            <w:r>
              <w:rPr>
                <w:rFonts w:ascii="Calibri" w:hAnsi="Calibri"/>
                <w:b w:val="0"/>
                <w:i w:val="0"/>
                <w:color w:val="212121"/>
                <w:sz w:val="19"/>
              </w:rPr>
              <w:t>Sustains oral lichenoid lesions and raises malignant transformation risk</w:t>
            </w:r>
          </w:p>
          <w:p>
            <w:pPr>
              <w:spacing w:after="40" w:line="252" w:lineRule="auto"/>
            </w:pPr>
            <w:hyperlink r:id="rId10">
              <w:r>
                <w:rPr>
                  <w:rFonts w:ascii="Calibri" w:hAnsi="Calibri" w:cs="Calibri"/>
                  <w:sz w:val="18"/>
                  <w:color w:val="1155CC"/>
                  <w:u w:val="single"/>
                </w:rPr>
                <w:t xml:space="preserve">https://www.nature.com/articles/6401349</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Adults with LP</w:t>
            </w:r>
          </w:p>
        </w:tc>
        <w:tc>
          <w:tcPr>
            <w:tcW w:type="dxa" w:w="1512"/>
            <w:vAlign w:val="top"/>
          </w:tcPr>
          <w:p>
            <w:pPr>
              <w:spacing w:after="40" w:before="0" w:line="259" w:lineRule="auto"/>
            </w:pPr>
            <w:r>
              <w:rPr>
                <w:rFonts w:ascii="Calibri" w:hAnsi="Calibri"/>
                <w:b w:val="0"/>
                <w:i w:val="0"/>
                <w:color w:val="212121"/>
                <w:sz w:val="19"/>
              </w:rPr>
              <w:t>≤ 7 drinks/week (or nil)</w:t>
            </w:r>
          </w:p>
        </w:tc>
        <w:tc>
          <w:tcPr>
            <w:tcW w:type="dxa" w:w="1512"/>
            <w:vAlign w:val="top"/>
          </w:tcPr>
          <w:p>
            <w:pPr>
              <w:spacing w:after="40" w:before="0" w:line="259" w:lineRule="auto"/>
            </w:pPr>
            <w:r>
              <w:rPr>
                <w:rFonts w:ascii="Calibri" w:hAnsi="Calibri"/>
                <w:b w:val="0"/>
                <w:i w:val="0"/>
                <w:color w:val="212121"/>
                <w:sz w:val="19"/>
              </w:rPr>
              <w:t>&gt; 7 drinks/week</w:t>
            </w:r>
          </w:p>
        </w:tc>
        <w:tc>
          <w:tcPr>
            <w:tcW w:type="dxa" w:w="1468"/>
            <w:vAlign w:val="top"/>
          </w:tcPr>
          <w:p>
            <w:pPr>
              <w:spacing w:after="40" w:before="0" w:line="259" w:lineRule="auto"/>
            </w:pPr>
            <w:r>
              <w:rPr>
                <w:rFonts w:ascii="Calibri" w:hAnsi="Calibri"/>
                <w:b w:val="0"/>
                <w:i w:val="0"/>
                <w:color w:val="212121"/>
                <w:sz w:val="19"/>
              </w:rPr>
              <w:t>Synergises with tobacco on oral mucosa; adds hepatic/metabolic load</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score (e.g. HADS)</w:t>
            </w:r>
          </w:p>
        </w:tc>
        <w:tc>
          <w:tcPr>
            <w:tcW w:type="dxa" w:w="1655"/>
            <w:vAlign w:val="top"/>
          </w:tcPr>
          <w:p>
            <w:pPr>
              <w:spacing w:after="40" w:before="0" w:line="259" w:lineRule="auto"/>
            </w:pPr>
            <w:r>
              <w:rPr>
                <w:rFonts w:ascii="Calibri" w:hAnsi="Calibri"/>
                <w:b w:val="0"/>
                <w:i w:val="0"/>
                <w:color w:val="212121"/>
                <w:sz w:val="19"/>
              </w:rPr>
              <w:t>Oral/erosive LP patients</w:t>
            </w:r>
          </w:p>
        </w:tc>
        <w:tc>
          <w:tcPr>
            <w:tcW w:type="dxa" w:w="1512"/>
            <w:vAlign w:val="top"/>
          </w:tcPr>
          <w:p>
            <w:pPr>
              <w:spacing w:after="40" w:before="0" w:line="259" w:lineRule="auto"/>
            </w:pPr>
            <w:r>
              <w:rPr>
                <w:rFonts w:ascii="Calibri" w:hAnsi="Calibri"/>
                <w:b w:val="0"/>
                <w:i w:val="0"/>
                <w:color w:val="212121"/>
                <w:sz w:val="19"/>
              </w:rPr>
              <w:t>HADS-A/D ≤ 7 (normal)</w:t>
            </w:r>
          </w:p>
        </w:tc>
        <w:tc>
          <w:tcPr>
            <w:tcW w:type="dxa" w:w="1512"/>
            <w:vAlign w:val="top"/>
          </w:tcPr>
          <w:p>
            <w:pPr>
              <w:spacing w:after="40" w:before="0" w:line="259" w:lineRule="auto"/>
            </w:pPr>
            <w:r>
              <w:rPr>
                <w:rFonts w:ascii="Calibri" w:hAnsi="Calibri"/>
                <w:b w:val="0"/>
                <w:i w:val="0"/>
                <w:color w:val="212121"/>
                <w:sz w:val="19"/>
              </w:rPr>
              <w:t>HADS-A/D ≥ 8</w:t>
            </w:r>
          </w:p>
        </w:tc>
        <w:tc>
          <w:tcPr>
            <w:tcW w:type="dxa" w:w="1468"/>
            <w:vAlign w:val="top"/>
          </w:tcPr>
          <w:p>
            <w:pPr>
              <w:spacing w:after="60" w:line="259" w:lineRule="auto"/>
            </w:pPr>
            <w:r>
              <w:rPr>
                <w:rFonts w:ascii="Calibri" w:hAnsi="Calibri"/>
                <w:b w:val="0"/>
                <w:i w:val="0"/>
                <w:color w:val="212121"/>
                <w:sz w:val="19"/>
              </w:rPr>
              <w:t>Depression, anxiety and stress are significantly raised in oral LP</w:t>
            </w:r>
          </w:p>
          <w:p>
            <w:pPr>
              <w:spacing w:after="40" w:line="252" w:lineRule="auto"/>
            </w:pPr>
            <w:hyperlink r:id="rId13">
              <w:r>
                <w:rPr>
                  <w:rFonts w:ascii="Calibri" w:hAnsi="Calibri" w:cs="Calibri"/>
                  <w:sz w:val="18"/>
                  <w:color w:val="1155CC"/>
                  <w:u w:val="single"/>
                </w:rPr>
                <w:t xml:space="preserve">https://pmc.ncbi.nlm.nih.gov/articles/PMC8816610/</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Oral hygiene / plaque control</w:t>
            </w:r>
          </w:p>
        </w:tc>
        <w:tc>
          <w:tcPr>
            <w:tcW w:type="dxa" w:w="1655"/>
            <w:vAlign w:val="top"/>
          </w:tcPr>
          <w:p>
            <w:pPr>
              <w:spacing w:after="40" w:before="0" w:line="259" w:lineRule="auto"/>
            </w:pPr>
            <w:r>
              <w:rPr>
                <w:rFonts w:ascii="Calibri" w:hAnsi="Calibri"/>
                <w:b w:val="0"/>
                <w:i w:val="0"/>
                <w:color w:val="212121"/>
                <w:sz w:val="19"/>
              </w:rPr>
              <w:t>Gingival &amp; erosive oral LP</w:t>
            </w:r>
          </w:p>
        </w:tc>
        <w:tc>
          <w:tcPr>
            <w:tcW w:type="dxa" w:w="1512"/>
            <w:vAlign w:val="top"/>
          </w:tcPr>
          <w:p>
            <w:pPr>
              <w:spacing w:after="40" w:before="0" w:line="259" w:lineRule="auto"/>
            </w:pPr>
            <w:r>
              <w:rPr>
                <w:rFonts w:ascii="Calibri" w:hAnsi="Calibri"/>
                <w:b w:val="0"/>
                <w:i w:val="0"/>
                <w:color w:val="212121"/>
                <w:sz w:val="19"/>
              </w:rPr>
              <w:t>Good hygiene, low plaque index</w:t>
            </w:r>
          </w:p>
        </w:tc>
        <w:tc>
          <w:tcPr>
            <w:tcW w:type="dxa" w:w="1512"/>
            <w:vAlign w:val="top"/>
          </w:tcPr>
          <w:p>
            <w:pPr>
              <w:spacing w:after="40" w:before="0" w:line="259" w:lineRule="auto"/>
            </w:pPr>
            <w:r>
              <w:rPr>
                <w:rFonts w:ascii="Calibri" w:hAnsi="Calibri"/>
                <w:b w:val="0"/>
                <w:i w:val="0"/>
                <w:color w:val="212121"/>
                <w:sz w:val="19"/>
              </w:rPr>
              <w:t>Poor hygiene, heavy plaque</w:t>
            </w:r>
          </w:p>
        </w:tc>
        <w:tc>
          <w:tcPr>
            <w:tcW w:type="dxa" w:w="1468"/>
            <w:vAlign w:val="top"/>
          </w:tcPr>
          <w:p>
            <w:pPr>
              <w:spacing w:after="40" w:before="0" w:line="259" w:lineRule="auto"/>
            </w:pPr>
            <w:r>
              <w:rPr>
                <w:rFonts w:ascii="Calibri" w:hAnsi="Calibri"/>
                <w:b w:val="0"/>
                <w:i w:val="0"/>
                <w:color w:val="212121"/>
                <w:sz w:val="19"/>
              </w:rPr>
              <w:t>Plaque and calculus aggravate desquamative gingivitis and erosive OLP</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Lichenoid interface pattern</w:t>
            </w:r>
          </w:p>
        </w:tc>
        <w:tc>
          <w:tcPr>
            <w:tcW w:type="dxa" w:w="892"/>
            <w:vAlign w:val="top"/>
          </w:tcPr>
          <w:p>
            <w:pPr>
              <w:spacing w:after="40" w:before="0" w:line="259" w:lineRule="auto"/>
            </w:pPr>
            <w:r>
              <w:rPr>
                <w:rFonts w:ascii="Calibri" w:hAnsi="Calibri"/>
                <w:b w:val="0"/>
                <w:i w:val="0"/>
                <w:color w:val="212121"/>
                <w:sz w:val="16"/>
              </w:rPr>
              <w:t>Skin/mucosal punch biopsy</w:t>
            </w:r>
          </w:p>
        </w:tc>
        <w:tc>
          <w:tcPr>
            <w:tcW w:type="dxa" w:w="950"/>
            <w:vAlign w:val="top"/>
          </w:tcPr>
          <w:p>
            <w:pPr>
              <w:spacing w:after="40" w:before="0" w:line="259" w:lineRule="auto"/>
            </w:pPr>
            <w:r>
              <w:rPr>
                <w:rFonts w:ascii="Calibri" w:hAnsi="Calibri"/>
                <w:b w:val="0"/>
                <w:i w:val="0"/>
                <w:color w:val="212121"/>
                <w:sz w:val="16"/>
              </w:rPr>
              <w:t>No interface change</w:t>
            </w:r>
          </w:p>
        </w:tc>
        <w:tc>
          <w:tcPr>
            <w:tcW w:type="dxa" w:w="950"/>
            <w:vAlign w:val="top"/>
          </w:tcPr>
          <w:p>
            <w:pPr>
              <w:spacing w:after="40" w:before="0" w:line="259" w:lineRule="auto"/>
            </w:pPr>
            <w:r>
              <w:rPr>
                <w:rFonts w:ascii="Calibri" w:hAnsi="Calibri"/>
                <w:b w:val="0"/>
                <w:i w:val="0"/>
                <w:color w:val="212121"/>
                <w:sz w:val="16"/>
              </w:rPr>
              <w:t>Saw-tooth rete, band-like lymphocytic infiltrate, basal degeneration, Civatte bodies</w:t>
            </w:r>
          </w:p>
        </w:tc>
        <w:tc>
          <w:tcPr>
            <w:tcW w:type="dxa" w:w="1036"/>
            <w:vAlign w:val="top"/>
          </w:tcPr>
          <w:p>
            <w:pPr>
              <w:spacing w:after="40" w:before="0" w:line="259" w:lineRule="auto"/>
            </w:pPr>
            <w:r>
              <w:rPr>
                <w:rFonts w:ascii="Calibri" w:hAnsi="Calibri"/>
                <w:b w:val="0"/>
                <w:i w:val="0"/>
                <w:color w:val="212121"/>
                <w:sz w:val="16"/>
              </w:rPr>
              <w:t>Confirms lichen planus and excludes lichenoid mimics/dysplasia</w:t>
            </w:r>
          </w:p>
        </w:tc>
        <w:tc>
          <w:tcPr>
            <w:tcW w:type="dxa" w:w="1036"/>
            <w:vAlign w:val="top"/>
          </w:tcPr>
          <w:p>
            <w:pPr>
              <w:spacing w:after="40" w:before="0" w:line="259" w:lineRule="auto"/>
            </w:pPr>
            <w:r>
              <w:rPr>
                <w:rFonts w:ascii="Calibri" w:hAnsi="Calibri"/>
                <w:b w:val="0"/>
                <w:i w:val="0"/>
                <w:color w:val="212121"/>
                <w:sz w:val="16"/>
              </w:rPr>
              <w:t>Atypical, hypertrophic, erosive or treatment-resistant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Biopsy erosive OLP edge, not the ulcer base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TG &lt; 150; HDL M≥40/F≥50 mg/dL</w:t>
            </w:r>
          </w:p>
        </w:tc>
        <w:tc>
          <w:tcPr>
            <w:tcW w:type="dxa" w:w="950"/>
            <w:vAlign w:val="top"/>
          </w:tcPr>
          <w:p>
            <w:pPr>
              <w:spacing w:after="40" w:before="0" w:line="259" w:lineRule="auto"/>
            </w:pPr>
            <w:r>
              <w:rPr>
                <w:rFonts w:ascii="Calibri" w:hAnsi="Calibri"/>
                <w:b w:val="0"/>
                <w:i w:val="0"/>
                <w:color w:val="212121"/>
                <w:sz w:val="16"/>
              </w:rPr>
              <w:t>TG ≥ 150; low HDL; LDL &gt; 130 mg/dL</w:t>
            </w:r>
          </w:p>
        </w:tc>
        <w:tc>
          <w:tcPr>
            <w:tcW w:type="dxa" w:w="1036"/>
            <w:vAlign w:val="top"/>
          </w:tcPr>
          <w:p>
            <w:pPr>
              <w:spacing w:after="40" w:before="0" w:line="259" w:lineRule="auto"/>
            </w:pPr>
            <w:r>
              <w:rPr>
                <w:rFonts w:ascii="Calibri" w:hAnsi="Calibri"/>
                <w:b w:val="0"/>
                <w:i w:val="0"/>
                <w:color w:val="212121"/>
                <w:sz w:val="16"/>
              </w:rPr>
              <w:t>Detects the dyslipidaemia over-represented in LP</w:t>
            </w:r>
          </w:p>
        </w:tc>
        <w:tc>
          <w:tcPr>
            <w:tcW w:type="dxa" w:w="1036"/>
            <w:vAlign w:val="top"/>
          </w:tcPr>
          <w:p>
            <w:pPr>
              <w:spacing w:after="40" w:before="0" w:line="259" w:lineRule="auto"/>
            </w:pPr>
            <w:r>
              <w:rPr>
                <w:rFonts w:ascii="Calibri" w:hAnsi="Calibri"/>
                <w:b w:val="0"/>
                <w:i w:val="0"/>
                <w:color w:val="212121"/>
                <w:sz w:val="16"/>
              </w:rPr>
              <w:t>All adults with LP, esp. mucosal/chronic</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Dyslipidaemia in 60% vs 34% controls (OR 2.89)</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FPG 70–99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Screens for diabetes (Grinspan syndrome with oral LP)</w:t>
            </w:r>
          </w:p>
        </w:tc>
        <w:tc>
          <w:tcPr>
            <w:tcW w:type="dxa" w:w="1036"/>
            <w:vAlign w:val="top"/>
          </w:tcPr>
          <w:p>
            <w:pPr>
              <w:spacing w:after="40" w:before="0" w:line="259" w:lineRule="auto"/>
            </w:pPr>
            <w:r>
              <w:rPr>
                <w:rFonts w:ascii="Calibri" w:hAnsi="Calibri"/>
                <w:b w:val="0"/>
                <w:i w:val="0"/>
                <w:color w:val="212121"/>
                <w:sz w:val="16"/>
              </w:rPr>
              <w:t>Oral LP, older/overweight adults with LP</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15% of an Indian LP cohort were diabetic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 ± anti-TPO)</w:t>
            </w:r>
          </w:p>
        </w:tc>
        <w:tc>
          <w:tcPr>
            <w:tcW w:type="dxa" w:w="892"/>
            <w:vAlign w:val="top"/>
          </w:tcPr>
          <w:p>
            <w:pPr>
              <w:spacing w:after="40" w:before="0" w:line="259" w:lineRule="auto"/>
            </w:pPr>
            <w:r>
              <w:rPr>
                <w:rFonts w:ascii="Calibri" w:hAnsi="Calibri"/>
                <w:b w:val="0"/>
                <w:i w:val="0"/>
                <w:color w:val="212121"/>
                <w:sz w:val="16"/>
              </w:rPr>
              <w:t>Thyroid panel</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TSH &gt; 4.0 mIU/L; positive anti-TPO</w:t>
            </w:r>
          </w:p>
        </w:tc>
        <w:tc>
          <w:tcPr>
            <w:tcW w:type="dxa" w:w="1036"/>
            <w:vAlign w:val="top"/>
          </w:tcPr>
          <w:p>
            <w:pPr>
              <w:spacing w:after="40" w:before="0" w:line="259" w:lineRule="auto"/>
            </w:pPr>
            <w:r>
              <w:rPr>
                <w:rFonts w:ascii="Calibri" w:hAnsi="Calibri"/>
                <w:b w:val="0"/>
                <w:i w:val="0"/>
                <w:color w:val="212121"/>
                <w:sz w:val="16"/>
              </w:rPr>
              <w:t>Detects associated (auto)immune hypothyroidism</w:t>
            </w:r>
          </w:p>
        </w:tc>
        <w:tc>
          <w:tcPr>
            <w:tcW w:type="dxa" w:w="1036"/>
            <w:vAlign w:val="top"/>
          </w:tcPr>
          <w:p>
            <w:pPr>
              <w:spacing w:after="40" w:before="0" w:line="259" w:lineRule="auto"/>
            </w:pPr>
            <w:r>
              <w:rPr>
                <w:rFonts w:ascii="Calibri" w:hAnsi="Calibri"/>
                <w:b w:val="0"/>
                <w:i w:val="0"/>
                <w:color w:val="212121"/>
                <w:sz w:val="16"/>
              </w:rPr>
              <w:t>Oral LP, women, patients with fatigue/goitre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Thyroid disease OR 2.10 in oral LP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Anti-HCV antibody (± LFTs)</w:t>
            </w:r>
          </w:p>
        </w:tc>
        <w:tc>
          <w:tcPr>
            <w:tcW w:type="dxa" w:w="892"/>
            <w:vAlign w:val="top"/>
          </w:tcPr>
          <w:p>
            <w:pPr>
              <w:spacing w:after="40" w:before="0" w:line="259" w:lineRule="auto"/>
            </w:pPr>
            <w:r>
              <w:rPr>
                <w:rFonts w:ascii="Calibri" w:hAnsi="Calibri"/>
                <w:b w:val="0"/>
                <w:i w:val="0"/>
                <w:color w:val="212121"/>
                <w:sz w:val="16"/>
              </w:rPr>
              <w:t>Hepatitis C serology</w:t>
            </w:r>
          </w:p>
        </w:tc>
        <w:tc>
          <w:tcPr>
            <w:tcW w:type="dxa" w:w="950"/>
            <w:vAlign w:val="top"/>
          </w:tcPr>
          <w:p>
            <w:pPr>
              <w:spacing w:after="40" w:before="0" w:line="259" w:lineRule="auto"/>
            </w:pPr>
            <w:r>
              <w:rPr>
                <w:rFonts w:ascii="Calibri" w:hAnsi="Calibri"/>
                <w:b w:val="0"/>
                <w:i w:val="0"/>
                <w:color w:val="212121"/>
                <w:sz w:val="16"/>
              </w:rPr>
              <w:t>Non-reactive; normal transaminases</w:t>
            </w:r>
          </w:p>
        </w:tc>
        <w:tc>
          <w:tcPr>
            <w:tcW w:type="dxa" w:w="950"/>
            <w:vAlign w:val="top"/>
          </w:tcPr>
          <w:p>
            <w:pPr>
              <w:spacing w:after="40" w:before="0" w:line="259" w:lineRule="auto"/>
            </w:pPr>
            <w:r>
              <w:rPr>
                <w:rFonts w:ascii="Calibri" w:hAnsi="Calibri"/>
                <w:b w:val="0"/>
                <w:i w:val="0"/>
                <w:color w:val="212121"/>
                <w:sz w:val="16"/>
              </w:rPr>
              <w:t>Reactive anti-HCV; raised ALT/AST</w:t>
            </w:r>
          </w:p>
        </w:tc>
        <w:tc>
          <w:tcPr>
            <w:tcW w:type="dxa" w:w="1036"/>
            <w:vAlign w:val="top"/>
          </w:tcPr>
          <w:p>
            <w:pPr>
              <w:spacing w:after="40" w:before="0" w:line="259" w:lineRule="auto"/>
            </w:pPr>
            <w:r>
              <w:rPr>
                <w:rFonts w:ascii="Calibri" w:hAnsi="Calibri"/>
                <w:b w:val="0"/>
                <w:i w:val="0"/>
                <w:color w:val="212121"/>
                <w:sz w:val="16"/>
              </w:rPr>
              <w:t>Identifies HCV-associated LP; guides hepatology referral</w:t>
            </w:r>
          </w:p>
        </w:tc>
        <w:tc>
          <w:tcPr>
            <w:tcW w:type="dxa" w:w="1036"/>
            <w:vAlign w:val="top"/>
          </w:tcPr>
          <w:p>
            <w:pPr>
              <w:spacing w:after="40" w:before="0" w:line="259" w:lineRule="auto"/>
            </w:pPr>
            <w:r>
              <w:rPr>
                <w:rFonts w:ascii="Calibri" w:hAnsi="Calibri"/>
                <w:b w:val="0"/>
                <w:i w:val="0"/>
                <w:color w:val="212121"/>
                <w:sz w:val="16"/>
              </w:rPr>
              <w:t>LP with risk factors or deranged LFTs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Weak association in India (0–2.1% seropositive)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Cytopenias / abnormal counts</w:t>
            </w:r>
          </w:p>
        </w:tc>
        <w:tc>
          <w:tcPr>
            <w:tcW w:type="dxa" w:w="1036"/>
            <w:vAlign w:val="top"/>
          </w:tcPr>
          <w:p>
            <w:pPr>
              <w:spacing w:after="40" w:before="0" w:line="259" w:lineRule="auto"/>
            </w:pPr>
            <w:r>
              <w:rPr>
                <w:rFonts w:ascii="Calibri" w:hAnsi="Calibri"/>
                <w:b w:val="0"/>
                <w:i w:val="0"/>
                <w:color w:val="212121"/>
                <w:sz w:val="16"/>
              </w:rPr>
              <w:t>Baseline before systemic corticosteroids/immunomodulators</w:t>
            </w:r>
          </w:p>
        </w:tc>
        <w:tc>
          <w:tcPr>
            <w:tcW w:type="dxa" w:w="1036"/>
            <w:vAlign w:val="top"/>
          </w:tcPr>
          <w:p>
            <w:pPr>
              <w:spacing w:after="40" w:before="0" w:line="259" w:lineRule="auto"/>
            </w:pPr>
            <w:r>
              <w:rPr>
                <w:rFonts w:ascii="Calibri" w:hAnsi="Calibri"/>
                <w:b w:val="0"/>
                <w:i w:val="0"/>
                <w:color w:val="212121"/>
                <w:sz w:val="16"/>
              </w:rPr>
              <w:t>Extensive/erosive LP needing systemic 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Baseline</w:t>
            </w:r>
          </w:p>
        </w:tc>
        <w:tc>
          <w:tcPr>
            <w:tcW w:type="dxa" w:w="720"/>
            <w:vAlign w:val="top"/>
          </w:tcPr>
          <w:p>
            <w:pPr>
              <w:spacing w:after="40" w:before="0" w:line="259" w:lineRule="auto"/>
            </w:pPr>
            <w:r>
              <w:rPr>
                <w:rFonts w:ascii="Calibri" w:hAnsi="Calibri"/>
                <w:b w:val="0"/>
                <w:i w:val="0"/>
                <w:color w:val="212121"/>
                <w:sz w:val="16"/>
              </w:rPr>
              <w:t>Also baseline LFT/renal before methotrexate/retinoids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Itchy violaceous papules; oral/genital soreness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Pruritic polygonal papules and/or painful mucosal erosions</w:t>
            </w:r>
          </w:p>
        </w:tc>
        <w:tc>
          <w:tcPr>
            <w:tcW w:type="dxa" w:w="1036"/>
            <w:vAlign w:val="top"/>
          </w:tcPr>
          <w:p>
            <w:pPr>
              <w:spacing w:after="40" w:before="0" w:line="259" w:lineRule="auto"/>
            </w:pPr>
            <w:r>
              <w:rPr>
                <w:rFonts w:ascii="Calibri" w:hAnsi="Calibri"/>
                <w:b w:val="0"/>
                <w:i w:val="0"/>
                <w:color w:val="212121"/>
                <w:sz w:val="16"/>
              </w:rPr>
              <w:t>Cardinal symptoms of cutaneous vs mucosal LP</w:t>
            </w:r>
          </w:p>
        </w:tc>
        <w:tc>
          <w:tcPr>
            <w:tcW w:type="dxa" w:w="1036"/>
            <w:vAlign w:val="top"/>
          </w:tcPr>
          <w:p>
            <w:pPr>
              <w:spacing w:after="40" w:before="0" w:line="259" w:lineRule="auto"/>
            </w:pPr>
            <w:r>
              <w:rPr>
                <w:rFonts w:ascii="Calibri" w:hAnsi="Calibri"/>
                <w:b w:val="0"/>
                <w:i w:val="0"/>
                <w:color w:val="212121"/>
                <w:sz w:val="16"/>
              </w:rPr>
              <w:t>Adults with rash and/or oral burning</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itch intensity, mouth pain, dyspareunia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Lichenoid-inducing drugs</w:t>
            </w:r>
          </w:p>
        </w:tc>
        <w:tc>
          <w:tcPr>
            <w:tcW w:type="dxa" w:w="950"/>
            <w:vAlign w:val="top"/>
          </w:tcPr>
          <w:p>
            <w:pPr>
              <w:spacing w:after="40" w:before="0" w:line="259" w:lineRule="auto"/>
            </w:pPr>
            <w:r>
              <w:rPr>
                <w:rFonts w:ascii="Calibri" w:hAnsi="Calibri"/>
                <w:b w:val="0"/>
                <w:i w:val="0"/>
                <w:color w:val="212121"/>
                <w:sz w:val="16"/>
              </w:rPr>
              <w:t>No culprit drug</w:t>
            </w:r>
          </w:p>
        </w:tc>
        <w:tc>
          <w:tcPr>
            <w:tcW w:type="dxa" w:w="950"/>
            <w:vAlign w:val="top"/>
          </w:tcPr>
          <w:p>
            <w:pPr>
              <w:spacing w:after="40" w:before="0" w:line="259" w:lineRule="auto"/>
            </w:pPr>
            <w:r>
              <w:rPr>
                <w:rFonts w:ascii="Calibri" w:hAnsi="Calibri"/>
                <w:b w:val="0"/>
                <w:i w:val="0"/>
                <w:color w:val="212121"/>
                <w:sz w:val="16"/>
              </w:rPr>
              <w:t>Thiazide, ACE-I, beta-blocker, antimalarial, gold, NSAID, sulfonylurea</w:t>
            </w:r>
          </w:p>
        </w:tc>
        <w:tc>
          <w:tcPr>
            <w:tcW w:type="dxa" w:w="1036"/>
            <w:vAlign w:val="top"/>
          </w:tcPr>
          <w:p>
            <w:pPr>
              <w:spacing w:after="40" w:before="0" w:line="259" w:lineRule="auto"/>
            </w:pPr>
            <w:r>
              <w:rPr>
                <w:rFonts w:ascii="Calibri" w:hAnsi="Calibri"/>
                <w:b w:val="0"/>
                <w:i w:val="0"/>
                <w:color w:val="212121"/>
                <w:sz w:val="16"/>
              </w:rPr>
              <w:t>Distinguishes lichenoid drug eruption from idiopathic LP</w:t>
            </w:r>
          </w:p>
        </w:tc>
        <w:tc>
          <w:tcPr>
            <w:tcW w:type="dxa" w:w="1036"/>
            <w:vAlign w:val="top"/>
          </w:tcPr>
          <w:p>
            <w:pPr>
              <w:spacing w:after="40" w:before="0" w:line="259" w:lineRule="auto"/>
            </w:pPr>
            <w:r>
              <w:rPr>
                <w:rFonts w:ascii="Calibri" w:hAnsi="Calibri"/>
                <w:b w:val="0"/>
                <w:i w:val="0"/>
                <w:color w:val="212121"/>
                <w:sz w:val="16"/>
              </w:rPr>
              <w:t>Older adults, polypharmacy, hypertensives/diabetics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Note temporal link and latency (weeks–months)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Habits &amp; dental history</w:t>
            </w:r>
          </w:p>
        </w:tc>
        <w:tc>
          <w:tcPr>
            <w:tcW w:type="dxa" w:w="979"/>
            <w:vAlign w:val="top"/>
          </w:tcPr>
          <w:p>
            <w:pPr>
              <w:spacing w:after="40" w:before="0" w:line="259" w:lineRule="auto"/>
            </w:pPr>
            <w:r>
              <w:rPr>
                <w:rFonts w:ascii="Calibri" w:hAnsi="Calibri"/>
                <w:b w:val="0"/>
                <w:i w:val="0"/>
                <w:color w:val="212121"/>
                <w:sz w:val="16"/>
              </w:rPr>
              <w:t>Tobacco/areca, alcohol, amalgam restorations</w:t>
            </w:r>
          </w:p>
        </w:tc>
        <w:tc>
          <w:tcPr>
            <w:tcW w:type="dxa" w:w="950"/>
            <w:vAlign w:val="top"/>
          </w:tcPr>
          <w:p>
            <w:pPr>
              <w:spacing w:after="40" w:before="0" w:line="259" w:lineRule="auto"/>
            </w:pPr>
            <w:r>
              <w:rPr>
                <w:rFonts w:ascii="Calibri" w:hAnsi="Calibri"/>
                <w:b w:val="0"/>
                <w:i w:val="0"/>
                <w:color w:val="212121"/>
                <w:sz w:val="16"/>
              </w:rPr>
              <w:t>No habits; no adjacent metal</w:t>
            </w:r>
          </w:p>
        </w:tc>
        <w:tc>
          <w:tcPr>
            <w:tcW w:type="dxa" w:w="950"/>
            <w:vAlign w:val="top"/>
          </w:tcPr>
          <w:p>
            <w:pPr>
              <w:spacing w:after="40" w:before="0" w:line="259" w:lineRule="auto"/>
            </w:pPr>
            <w:r>
              <w:rPr>
                <w:rFonts w:ascii="Calibri" w:hAnsi="Calibri"/>
                <w:b w:val="0"/>
                <w:i w:val="0"/>
                <w:color w:val="212121"/>
                <w:sz w:val="16"/>
              </w:rPr>
              <w:t>Betel-quid/tobacco use; lesions abutting amalgam/gold</w:t>
            </w:r>
          </w:p>
        </w:tc>
        <w:tc>
          <w:tcPr>
            <w:tcW w:type="dxa" w:w="1036"/>
            <w:vAlign w:val="top"/>
          </w:tcPr>
          <w:p>
            <w:pPr>
              <w:spacing w:after="40" w:before="0" w:line="259" w:lineRule="auto"/>
            </w:pPr>
            <w:r>
              <w:rPr>
                <w:rFonts w:ascii="Calibri" w:hAnsi="Calibri"/>
                <w:b w:val="0"/>
                <w:i w:val="0"/>
                <w:color w:val="212121"/>
                <w:sz w:val="16"/>
              </w:rPr>
              <w:t>Identifies oral lichenoid contact/tobacco-related lesions</w:t>
            </w:r>
          </w:p>
        </w:tc>
        <w:tc>
          <w:tcPr>
            <w:tcW w:type="dxa" w:w="1036"/>
            <w:vAlign w:val="top"/>
          </w:tcPr>
          <w:p>
            <w:pPr>
              <w:spacing w:after="40" w:before="0" w:line="259" w:lineRule="auto"/>
            </w:pPr>
            <w:r>
              <w:rPr>
                <w:rFonts w:ascii="Calibri" w:hAnsi="Calibri"/>
                <w:b w:val="0"/>
                <w:i w:val="0"/>
                <w:color w:val="212121"/>
                <w:sz w:val="16"/>
              </w:rPr>
              <w:t>Oral LP patients</w:t>
            </w:r>
          </w:p>
        </w:tc>
        <w:tc>
          <w:tcPr>
            <w:tcW w:type="dxa" w:w="720"/>
            <w:vAlign w:val="top"/>
          </w:tcPr>
          <w:p>
            <w:pPr>
              <w:spacing w:after="40" w:before="0" w:line="259" w:lineRule="auto"/>
            </w:pPr>
            <w:r>
              <w:rPr>
                <w:rFonts w:ascii="Calibri" w:hAnsi="Calibri"/>
                <w:b w:val="0"/>
                <w:i w:val="0"/>
                <w:color w:val="212121"/>
                <w:sz w:val="16"/>
              </w:rPr>
              <w:t>Smoking; Alcohol;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Relevant to malignant-transformation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examination</w:t>
            </w:r>
          </w:p>
        </w:tc>
        <w:tc>
          <w:tcPr>
            <w:tcW w:type="dxa" w:w="979"/>
            <w:vAlign w:val="top"/>
          </w:tcPr>
          <w:p>
            <w:pPr>
              <w:spacing w:after="40" w:before="0" w:line="259" w:lineRule="auto"/>
            </w:pPr>
            <w:r>
              <w:rPr>
                <w:rFonts w:ascii="Calibri" w:hAnsi="Calibri"/>
                <w:b w:val="0"/>
                <w:i w:val="0"/>
                <w:color w:val="212121"/>
                <w:sz w:val="16"/>
              </w:rPr>
              <w:t>Six Ps + Wickham striae + Koebner</w:t>
            </w:r>
          </w:p>
        </w:tc>
        <w:tc>
          <w:tcPr>
            <w:tcW w:type="dxa" w:w="950"/>
            <w:vAlign w:val="top"/>
          </w:tcPr>
          <w:p>
            <w:pPr>
              <w:spacing w:after="40" w:before="0" w:line="259" w:lineRule="auto"/>
            </w:pPr>
            <w:r>
              <w:rPr>
                <w:rFonts w:ascii="Calibri" w:hAnsi="Calibri"/>
                <w:b w:val="0"/>
                <w:i w:val="0"/>
                <w:color w:val="212121"/>
                <w:sz w:val="16"/>
              </w:rPr>
              <w:t>Clear skin</w:t>
            </w:r>
          </w:p>
        </w:tc>
        <w:tc>
          <w:tcPr>
            <w:tcW w:type="dxa" w:w="950"/>
            <w:vAlign w:val="top"/>
          </w:tcPr>
          <w:p>
            <w:pPr>
              <w:spacing w:after="40" w:before="0" w:line="259" w:lineRule="auto"/>
            </w:pPr>
            <w:r>
              <w:rPr>
                <w:rFonts w:ascii="Calibri" w:hAnsi="Calibri"/>
                <w:b w:val="0"/>
                <w:i w:val="0"/>
                <w:color w:val="212121"/>
                <w:sz w:val="16"/>
              </w:rPr>
              <w:t>Violaceous polygonal flat-topped papules with white striae; linear Koebner lesions</w:t>
            </w:r>
          </w:p>
        </w:tc>
        <w:tc>
          <w:tcPr>
            <w:tcW w:type="dxa" w:w="1036"/>
            <w:vAlign w:val="top"/>
          </w:tcPr>
          <w:p>
            <w:pPr>
              <w:spacing w:after="40" w:before="0" w:line="259" w:lineRule="auto"/>
            </w:pPr>
            <w:r>
              <w:rPr>
                <w:rFonts w:ascii="Calibri" w:hAnsi="Calibri"/>
                <w:b w:val="0"/>
                <w:i w:val="0"/>
                <w:color w:val="212121"/>
                <w:sz w:val="16"/>
              </w:rPr>
              <w:t>Establishes clinical diagnosis of cutaneous LP</w:t>
            </w:r>
          </w:p>
        </w:tc>
        <w:tc>
          <w:tcPr>
            <w:tcW w:type="dxa" w:w="1036"/>
            <w:vAlign w:val="top"/>
          </w:tcPr>
          <w:p>
            <w:pPr>
              <w:spacing w:after="40" w:before="0" w:line="259" w:lineRule="auto"/>
            </w:pPr>
            <w:r>
              <w:rPr>
                <w:rFonts w:ascii="Calibri" w:hAnsi="Calibri"/>
                <w:b w:val="0"/>
                <w:i w:val="0"/>
                <w:color w:val="212121"/>
                <w:sz w:val="16"/>
              </w:rPr>
              <w:t>Wrists, forearms, ankles/shins, lower back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post-inflammatory hyperpigmentation in dark skin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Mucosal, nail &amp; scalp exam</w:t>
            </w:r>
          </w:p>
        </w:tc>
        <w:tc>
          <w:tcPr>
            <w:tcW w:type="dxa" w:w="979"/>
            <w:vAlign w:val="top"/>
          </w:tcPr>
          <w:p>
            <w:pPr>
              <w:spacing w:after="40" w:before="0" w:line="259" w:lineRule="auto"/>
            </w:pPr>
            <w:r>
              <w:rPr>
                <w:rFonts w:ascii="Calibri" w:hAnsi="Calibri"/>
                <w:b w:val="0"/>
                <w:i w:val="0"/>
                <w:color w:val="212121"/>
                <w:sz w:val="16"/>
              </w:rPr>
              <w:t>Oral/genital, nail and scalp involvement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Reticular/erosive mucosa, nail pterygium/ridging, scarring alopecia</w:t>
            </w:r>
          </w:p>
        </w:tc>
        <w:tc>
          <w:tcPr>
            <w:tcW w:type="dxa" w:w="1036"/>
            <w:vAlign w:val="top"/>
          </w:tcPr>
          <w:p>
            <w:pPr>
              <w:spacing w:after="40" w:before="0" w:line="259" w:lineRule="auto"/>
            </w:pPr>
            <w:r>
              <w:rPr>
                <w:rFonts w:ascii="Calibri" w:hAnsi="Calibri"/>
                <w:b w:val="0"/>
                <w:i w:val="0"/>
                <w:color w:val="212121"/>
                <w:sz w:val="16"/>
              </w:rPr>
              <w:t>Defines extent and scarring risk; guides therapy</w:t>
            </w:r>
          </w:p>
        </w:tc>
        <w:tc>
          <w:tcPr>
            <w:tcW w:type="dxa" w:w="1036"/>
            <w:vAlign w:val="top"/>
          </w:tcPr>
          <w:p>
            <w:pPr>
              <w:spacing w:after="40" w:before="0" w:line="259" w:lineRule="auto"/>
            </w:pPr>
            <w:r>
              <w:rPr>
                <w:rFonts w:ascii="Calibri" w:hAnsi="Calibri"/>
                <w:b w:val="0"/>
                <w:i w:val="0"/>
                <w:color w:val="212121"/>
                <w:sz w:val="16"/>
              </w:rPr>
              <w:t>All LP patients (esp. erosive/mucosal)</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Erosive genital/oral disease can scar and impair function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Direct immunofluorescence</w:t>
            </w:r>
          </w:p>
        </w:tc>
        <w:tc>
          <w:tcPr>
            <w:tcW w:type="dxa" w:w="950"/>
            <w:vAlign w:val="top"/>
          </w:tcPr>
          <w:p>
            <w:pPr>
              <w:spacing w:after="40" w:before="0" w:line="259" w:lineRule="auto"/>
            </w:pPr>
            <w:r>
              <w:rPr>
                <w:rFonts w:ascii="Calibri" w:hAnsi="Calibri"/>
                <w:b w:val="0"/>
                <w:i w:val="0"/>
                <w:color w:val="212121"/>
                <w:sz w:val="16"/>
              </w:rPr>
              <w:t>DIF of perilesional tissue</w:t>
            </w:r>
          </w:p>
        </w:tc>
        <w:tc>
          <w:tcPr>
            <w:tcW w:type="dxa" w:w="979"/>
            <w:vAlign w:val="top"/>
          </w:tcPr>
          <w:p>
            <w:pPr>
              <w:spacing w:after="40" w:before="0" w:line="259" w:lineRule="auto"/>
            </w:pPr>
            <w:r>
              <w:rPr>
                <w:rFonts w:ascii="Calibri" w:hAnsi="Calibri"/>
                <w:b w:val="0"/>
                <w:i w:val="0"/>
                <w:color w:val="212121"/>
                <w:sz w:val="16"/>
              </w:rPr>
              <w:t>Fibrinogen at basement-membrane zone</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Shaggy/linear fibrinogen at BMZ; IgM colloid bodies</w:t>
            </w:r>
          </w:p>
        </w:tc>
        <w:tc>
          <w:tcPr>
            <w:tcW w:type="dxa" w:w="1036"/>
            <w:vAlign w:val="top"/>
          </w:tcPr>
          <w:p>
            <w:pPr>
              <w:spacing w:after="40" w:before="0" w:line="259" w:lineRule="auto"/>
            </w:pPr>
            <w:r>
              <w:rPr>
                <w:rFonts w:ascii="Calibri" w:hAnsi="Calibri"/>
                <w:b w:val="0"/>
                <w:i w:val="0"/>
                <w:color w:val="212121"/>
                <w:sz w:val="16"/>
              </w:rPr>
              <w:t>Supports LP and excludes autoimmune blistering/lupus</w:t>
            </w:r>
          </w:p>
        </w:tc>
        <w:tc>
          <w:tcPr>
            <w:tcW w:type="dxa" w:w="1036"/>
            <w:vAlign w:val="top"/>
          </w:tcPr>
          <w:p>
            <w:pPr>
              <w:spacing w:after="40" w:before="0" w:line="259" w:lineRule="auto"/>
            </w:pPr>
            <w:r>
              <w:rPr>
                <w:rFonts w:ascii="Calibri" w:hAnsi="Calibri"/>
                <w:b w:val="0"/>
                <w:i w:val="0"/>
                <w:color w:val="212121"/>
                <w:sz w:val="16"/>
              </w:rPr>
              <w:t>Erosive, bullous or diagnostically uncertain LP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Take perilesional (not ulcerated) mucosa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950"/>
            <w:vAlign w:val="top"/>
          </w:tcPr>
          <w:p>
            <w:pPr>
              <w:spacing w:after="40" w:before="0" w:line="259" w:lineRule="auto"/>
            </w:pPr>
            <w:r>
              <w:rPr>
                <w:rFonts w:ascii="Calibri" w:hAnsi="Calibri"/>
                <w:b w:val="0"/>
                <w:i w:val="0"/>
                <w:color w:val="212121"/>
                <w:sz w:val="16"/>
              </w:rPr>
              <w:t>Dermoscopy / mucoscopy</w:t>
            </w:r>
          </w:p>
        </w:tc>
        <w:tc>
          <w:tcPr>
            <w:tcW w:type="dxa" w:w="979"/>
            <w:vAlign w:val="top"/>
          </w:tcPr>
          <w:p>
            <w:pPr>
              <w:spacing w:after="40" w:before="0" w:line="259" w:lineRule="auto"/>
            </w:pPr>
            <w:r>
              <w:rPr>
                <w:rFonts w:ascii="Calibri" w:hAnsi="Calibri"/>
                <w:b w:val="0"/>
                <w:i w:val="0"/>
                <w:color w:val="212121"/>
                <w:sz w:val="16"/>
              </w:rPr>
              <w:t>Wickham striae &amp; pigment pattern</w:t>
            </w:r>
          </w:p>
        </w:tc>
        <w:tc>
          <w:tcPr>
            <w:tcW w:type="dxa" w:w="950"/>
            <w:vAlign w:val="top"/>
          </w:tcPr>
          <w:p>
            <w:pPr>
              <w:spacing w:after="40" w:before="0" w:line="259" w:lineRule="auto"/>
            </w:pPr>
            <w:r>
              <w:rPr>
                <w:rFonts w:ascii="Calibri" w:hAnsi="Calibri"/>
                <w:b w:val="0"/>
                <w:i w:val="0"/>
                <w:color w:val="212121"/>
                <w:sz w:val="16"/>
              </w:rPr>
              <w:t>No striae</w:t>
            </w:r>
          </w:p>
        </w:tc>
        <w:tc>
          <w:tcPr>
            <w:tcW w:type="dxa" w:w="950"/>
            <w:vAlign w:val="top"/>
          </w:tcPr>
          <w:p>
            <w:pPr>
              <w:spacing w:after="40" w:before="0" w:line="259" w:lineRule="auto"/>
            </w:pPr>
            <w:r>
              <w:rPr>
                <w:rFonts w:ascii="Calibri" w:hAnsi="Calibri"/>
                <w:b w:val="0"/>
                <w:i w:val="0"/>
                <w:color w:val="212121"/>
                <w:sz w:val="16"/>
              </w:rPr>
              <w:t>White crossing (reticular) Wickham striae; peripheral dotted vessels; blue-grey dots</w:t>
            </w:r>
          </w:p>
        </w:tc>
        <w:tc>
          <w:tcPr>
            <w:tcW w:type="dxa" w:w="1036"/>
            <w:vAlign w:val="top"/>
          </w:tcPr>
          <w:p>
            <w:pPr>
              <w:spacing w:after="40" w:before="0" w:line="259" w:lineRule="auto"/>
            </w:pPr>
            <w:r>
              <w:rPr>
                <w:rFonts w:ascii="Calibri" w:hAnsi="Calibri"/>
                <w:b w:val="0"/>
                <w:i w:val="0"/>
                <w:color w:val="212121"/>
                <w:sz w:val="16"/>
              </w:rPr>
              <w:t>Non-invasive support for LP and LPP; guides biopsy site</w:t>
            </w:r>
          </w:p>
        </w:tc>
        <w:tc>
          <w:tcPr>
            <w:tcW w:type="dxa" w:w="1036"/>
            <w:vAlign w:val="top"/>
          </w:tcPr>
          <w:p>
            <w:pPr>
              <w:spacing w:after="40" w:before="0" w:line="259" w:lineRule="auto"/>
            </w:pPr>
            <w:r>
              <w:rPr>
                <w:rFonts w:ascii="Calibri" w:hAnsi="Calibri"/>
                <w:b w:val="0"/>
                <w:i w:val="0"/>
                <w:color w:val="212121"/>
                <w:sz w:val="16"/>
              </w:rPr>
              <w:t>Cutaneous LP and lichen planus pigmentosus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Blue-grey dots typical of LPP in Indian skin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Intense pruritus (itching)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dominant symptom of cutaneous LP; often severe and worse at night, driving scratching and Koebnerisation.</w:t>
            </w:r>
          </w:p>
        </w:tc>
      </w:tr>
      <w:tr>
        <w:trPr>
          <w:cantSplit/>
        </w:trPr>
        <w:tc>
          <w:tcPr>
            <w:tcW w:type="dxa" w:w="2304"/>
            <w:vAlign w:val="top"/>
          </w:tcPr>
          <w:p>
            <w:pPr>
              <w:spacing w:after="40" w:before="0" w:line="259" w:lineRule="auto"/>
            </w:pPr>
            <w:r>
              <w:rPr>
                <w:rFonts w:ascii="Calibri" w:hAnsi="Calibri"/>
                <w:b/>
                <w:i w:val="0"/>
                <w:color w:val="212121"/>
                <w:sz w:val="19"/>
              </w:rPr>
              <w:t>Violaceous flat-topped papules/plaques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Shiny purple polygonal lesions with fine white Wickham striae on wrists, forearms, ankles and lower back.</w:t>
            </w:r>
          </w:p>
        </w:tc>
      </w:tr>
      <w:tr>
        <w:trPr>
          <w:cantSplit/>
        </w:trPr>
        <w:tc>
          <w:tcPr>
            <w:tcW w:type="dxa" w:w="2304"/>
            <w:vAlign w:val="top"/>
          </w:tcPr>
          <w:p>
            <w:pPr>
              <w:spacing w:after="40" w:before="0" w:line="259" w:lineRule="auto"/>
            </w:pPr>
            <w:r>
              <w:rPr>
                <w:rFonts w:ascii="Calibri" w:hAnsi="Calibri"/>
                <w:b/>
                <w:i w:val="0"/>
                <w:color w:val="212121"/>
                <w:sz w:val="19"/>
              </w:rPr>
              <w:t>Oral soreness / burning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Burning or soreness of the mouth, worse with spicy, acidic or hot foods – typical of erosive/atrophic oral LP.</w:t>
            </w:r>
          </w:p>
        </w:tc>
      </w:tr>
      <w:tr>
        <w:trPr>
          <w:cantSplit/>
        </w:trPr>
        <w:tc>
          <w:tcPr>
            <w:tcW w:type="dxa" w:w="2304"/>
            <w:vAlign w:val="top"/>
          </w:tcPr>
          <w:p>
            <w:pPr>
              <w:spacing w:after="40" w:before="0" w:line="259" w:lineRule="auto"/>
            </w:pPr>
            <w:r>
              <w:rPr>
                <w:rFonts w:ascii="Calibri" w:hAnsi="Calibri"/>
                <w:b/>
                <w:i w:val="0"/>
                <w:color w:val="212121"/>
                <w:sz w:val="19"/>
              </w:rPr>
              <w:t>White lacy patches in the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Asymptomatic reticular (Wickham) striae on the buccal mucosa, tongue or gingiva – the commonest oral pattern.</w:t>
            </w:r>
          </w:p>
        </w:tc>
      </w:tr>
      <w:tr>
        <w:trPr>
          <w:cantSplit/>
        </w:trPr>
        <w:tc>
          <w:tcPr>
            <w:tcW w:type="dxa" w:w="2304"/>
            <w:vAlign w:val="top"/>
          </w:tcPr>
          <w:p>
            <w:pPr>
              <w:spacing w:after="40" w:before="0" w:line="259" w:lineRule="auto"/>
            </w:pPr>
            <w:r>
              <w:rPr>
                <w:rFonts w:ascii="Calibri" w:hAnsi="Calibri"/>
                <w:b/>
                <w:i w:val="0"/>
                <w:color w:val="212121"/>
                <w:sz w:val="19"/>
              </w:rPr>
              <w:t>Painful oral/genital erosions or ulcers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Erosive mucosal LP causes painful raw areas that impair eating, speaking or intercourse.</w:t>
            </w:r>
          </w:p>
        </w:tc>
      </w:tr>
      <w:tr>
        <w:trPr>
          <w:cantSplit/>
        </w:trPr>
        <w:tc>
          <w:tcPr>
            <w:tcW w:type="dxa" w:w="2304"/>
            <w:vAlign w:val="top"/>
          </w:tcPr>
          <w:p>
            <w:pPr>
              <w:spacing w:after="40" w:before="0" w:line="259" w:lineRule="auto"/>
            </w:pPr>
            <w:r>
              <w:rPr>
                <w:rFonts w:ascii="Calibri" w:hAnsi="Calibri"/>
                <w:b/>
                <w:i w:val="0"/>
                <w:color w:val="212121"/>
                <w:sz w:val="19"/>
              </w:rPr>
              <w:t>Slate-grey/brown pigmented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Lichen planus pigmentosus and post-inflammatory hyperpigmentation are prominent in Indian/darker skin.</w:t>
            </w:r>
          </w:p>
        </w:tc>
      </w:tr>
      <w:tr>
        <w:trPr>
          <w:cantSplit/>
        </w:trPr>
        <w:tc>
          <w:tcPr>
            <w:tcW w:type="dxa" w:w="2304"/>
            <w:vAlign w:val="top"/>
          </w:tcPr>
          <w:p>
            <w:pPr>
              <w:spacing w:after="40" w:before="0" w:line="259" w:lineRule="auto"/>
            </w:pPr>
            <w:r>
              <w:rPr>
                <w:rFonts w:ascii="Calibri" w:hAnsi="Calibri"/>
                <w:b/>
                <w:i w:val="0"/>
                <w:color w:val="212121"/>
                <w:sz w:val="19"/>
              </w:rPr>
              <w:t>New lesions along scratch/trauma lines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Koebner (isomorphic) phenomenon – linear crops of papules where the skin was scratched or injured.</w:t>
            </w:r>
          </w:p>
        </w:tc>
      </w:tr>
      <w:tr>
        <w:trPr>
          <w:cantSplit/>
        </w:trPr>
        <w:tc>
          <w:tcPr>
            <w:tcW w:type="dxa" w:w="2304"/>
            <w:vAlign w:val="top"/>
          </w:tcPr>
          <w:p>
            <w:pPr>
              <w:spacing w:after="40" w:before="0" w:line="259" w:lineRule="auto"/>
            </w:pPr>
            <w:r>
              <w:rPr>
                <w:rFonts w:ascii="Calibri" w:hAnsi="Calibri"/>
                <w:b/>
                <w:i w:val="0"/>
                <w:color w:val="212121"/>
                <w:sz w:val="19"/>
              </w:rPr>
              <w:t>Genital soreness / dyspareunia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Vulval or penile erosive LP causes soreness, discharge and pain with intercourse.</w:t>
            </w:r>
          </w:p>
        </w:tc>
      </w:tr>
      <w:tr>
        <w:trPr>
          <w:cantSplit/>
        </w:trPr>
        <w:tc>
          <w:tcPr>
            <w:tcW w:type="dxa" w:w="2304"/>
            <w:vAlign w:val="top"/>
          </w:tcPr>
          <w:p>
            <w:pPr>
              <w:spacing w:after="40" w:before="0" w:line="259" w:lineRule="auto"/>
            </w:pPr>
            <w:r>
              <w:rPr>
                <w:rFonts w:ascii="Calibri" w:hAnsi="Calibri"/>
                <w:b/>
                <w:i w:val="0"/>
                <w:color w:val="212121"/>
                <w:sz w:val="19"/>
              </w:rPr>
              <w:t>Nail thinning, ridging or splitting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Nail-matrix LP produces longitudinal ridging, thinning and, if severe, pterygium and nail loss.</w:t>
            </w:r>
          </w:p>
        </w:tc>
      </w:tr>
      <w:tr>
        <w:trPr>
          <w:cantSplit/>
        </w:trPr>
        <w:tc>
          <w:tcPr>
            <w:tcW w:type="dxa" w:w="2304"/>
            <w:vAlign w:val="top"/>
          </w:tcPr>
          <w:p>
            <w:pPr>
              <w:spacing w:after="40" w:before="0" w:line="259" w:lineRule="auto"/>
            </w:pPr>
            <w:r>
              <w:rPr>
                <w:rFonts w:ascii="Calibri" w:hAnsi="Calibri"/>
                <w:b/>
                <w:i w:val="0"/>
                <w:color w:val="212121"/>
                <w:sz w:val="19"/>
              </w:rPr>
              <w:t>Scalp itching with hair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Lichen planopilaris causes perifollicular scaling, itch/burning and patchy scarring alopecia.</w:t>
            </w:r>
          </w:p>
        </w:tc>
      </w:tr>
      <w:tr>
        <w:trPr>
          <w:cantSplit/>
        </w:trPr>
        <w:tc>
          <w:tcPr>
            <w:tcW w:type="dxa" w:w="2304"/>
            <w:vAlign w:val="top"/>
          </w:tcPr>
          <w:p>
            <w:pPr>
              <w:spacing w:after="40" w:before="0" w:line="259" w:lineRule="auto"/>
            </w:pPr>
            <w:r>
              <w:rPr>
                <w:rFonts w:ascii="Calibri" w:hAnsi="Calibri"/>
                <w:b/>
                <w:i w:val="0"/>
                <w:color w:val="212121"/>
                <w:sz w:val="19"/>
              </w:rPr>
              <w:t>Dysphagia / odynophagia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Oesophageal LP or severe oral disease can cause painful or difficult swallowing and, over time, strictures.</w:t>
            </w:r>
          </w:p>
        </w:tc>
      </w:tr>
      <w:tr>
        <w:trPr>
          <w:cantSplit/>
        </w:trPr>
        <w:tc>
          <w:tcPr>
            <w:tcW w:type="dxa" w:w="2304"/>
            <w:vAlign w:val="top"/>
          </w:tcPr>
          <w:p>
            <w:pPr>
              <w:spacing w:after="40" w:before="0" w:line="259" w:lineRule="auto"/>
            </w:pPr>
            <w:r>
              <w:rPr>
                <w:rFonts w:ascii="Calibri" w:hAnsi="Calibri"/>
                <w:b/>
                <w:i w:val="0"/>
                <w:color w:val="212121"/>
                <w:sz w:val="19"/>
              </w:rPr>
              <w:t>Sudden widespread eruption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abrupt generalised eruption may follow a new drug (lichenoid drug eruption) and warrants a drug review.</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Wickham striae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Fine white/grey reticulate lines over papules and on buccal mucosa – a hallmark best seen on dermoscopy/mucoscopy.</w:t>
            </w:r>
          </w:p>
        </w:tc>
      </w:tr>
      <w:tr>
        <w:trPr>
          <w:cantSplit/>
        </w:trPr>
        <w:tc>
          <w:tcPr>
            <w:tcW w:type="dxa" w:w="3456"/>
            <w:vAlign w:val="top"/>
          </w:tcPr>
          <w:p>
            <w:pPr>
              <w:spacing w:after="40" w:before="0" w:line="259" w:lineRule="auto"/>
            </w:pPr>
            <w:r>
              <w:rPr>
                <w:rFonts w:ascii="Calibri" w:hAnsi="Calibri"/>
                <w:b/>
                <w:i w:val="0"/>
                <w:color w:val="212121"/>
                <w:sz w:val="19"/>
              </w:rPr>
              <w:t>Violaceous polygonal flat-topped papules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Shiny purple angular papules and plaques, the defining lesion of cutaneous LP.</w:t>
            </w:r>
          </w:p>
        </w:tc>
      </w:tr>
      <w:tr>
        <w:trPr>
          <w:cantSplit/>
        </w:trPr>
        <w:tc>
          <w:tcPr>
            <w:tcW w:type="dxa" w:w="3456"/>
            <w:vAlign w:val="top"/>
          </w:tcPr>
          <w:p>
            <w:pPr>
              <w:spacing w:after="40" w:before="0" w:line="259" w:lineRule="auto"/>
            </w:pPr>
            <w:r>
              <w:rPr>
                <w:rFonts w:ascii="Calibri" w:hAnsi="Calibri"/>
                <w:b/>
                <w:i w:val="0"/>
                <w:color w:val="212121"/>
                <w:sz w:val="19"/>
              </w:rPr>
              <w:t>Koebner phenomenon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Linear arrangement of papules along sites of scratching or trauma – the isomorphic response.</w:t>
            </w:r>
          </w:p>
        </w:tc>
      </w:tr>
      <w:tr>
        <w:trPr>
          <w:cantSplit/>
        </w:trPr>
        <w:tc>
          <w:tcPr>
            <w:tcW w:type="dxa" w:w="3456"/>
            <w:vAlign w:val="top"/>
          </w:tcPr>
          <w:p>
            <w:pPr>
              <w:spacing w:after="40" w:before="0" w:line="259" w:lineRule="auto"/>
            </w:pPr>
            <w:r>
              <w:rPr>
                <w:rFonts w:ascii="Calibri" w:hAnsi="Calibri"/>
                <w:b/>
                <w:i w:val="0"/>
                <w:color w:val="212121"/>
                <w:sz w:val="19"/>
              </w:rPr>
              <w:t>Reticular white streaks of buccal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Lace-like white network on the buccal mucosa/tongue – the commonest oral LP presentation.</w:t>
            </w:r>
          </w:p>
        </w:tc>
      </w:tr>
      <w:tr>
        <w:trPr>
          <w:cantSplit/>
        </w:trPr>
        <w:tc>
          <w:tcPr>
            <w:tcW w:type="dxa" w:w="3456"/>
            <w:vAlign w:val="top"/>
          </w:tcPr>
          <w:p>
            <w:pPr>
              <w:spacing w:after="40" w:before="0" w:line="259" w:lineRule="auto"/>
            </w:pPr>
            <w:r>
              <w:rPr>
                <w:rFonts w:ascii="Calibri" w:hAnsi="Calibri"/>
                <w:b/>
                <w:i w:val="0"/>
                <w:color w:val="212121"/>
                <w:sz w:val="19"/>
              </w:rPr>
              <w:t>Post-inflammatory hyperpigmentation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Long-lasting brown/grey macules after LP, especially marked in Fitzpatrick IV–VI Indian skin.</w:t>
            </w:r>
          </w:p>
        </w:tc>
      </w:tr>
      <w:tr>
        <w:trPr>
          <w:cantSplit/>
        </w:trPr>
        <w:tc>
          <w:tcPr>
            <w:tcW w:type="dxa" w:w="3456"/>
            <w:vAlign w:val="top"/>
          </w:tcPr>
          <w:p>
            <w:pPr>
              <w:spacing w:after="40" w:before="0" w:line="259" w:lineRule="auto"/>
            </w:pPr>
            <w:r>
              <w:rPr>
                <w:rFonts w:ascii="Calibri" w:hAnsi="Calibri"/>
                <w:b/>
                <w:i w:val="0"/>
                <w:color w:val="212121"/>
                <w:sz w:val="19"/>
              </w:rPr>
              <w:t>Erosions/ulcers of oral or genital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Atrophic-erosive mucosal disease with raw, painful areas ± desquamative gingivitis.</w:t>
            </w:r>
          </w:p>
        </w:tc>
      </w:tr>
      <w:tr>
        <w:trPr>
          <w:cantSplit/>
        </w:trPr>
        <w:tc>
          <w:tcPr>
            <w:tcW w:type="dxa" w:w="3456"/>
            <w:vAlign w:val="top"/>
          </w:tcPr>
          <w:p>
            <w:pPr>
              <w:spacing w:after="40" w:before="0" w:line="259" w:lineRule="auto"/>
            </w:pPr>
            <w:r>
              <w:rPr>
                <w:rFonts w:ascii="Calibri" w:hAnsi="Calibri"/>
                <w:b/>
                <w:i w:val="0"/>
                <w:color w:val="212121"/>
                <w:sz w:val="19"/>
              </w:rPr>
              <w:t>Hypertrophic verrucous plaques on shins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Thick, warty, intensely itchy plaques over the shins – the hypertrophic variant, often chronic.</w:t>
            </w:r>
          </w:p>
        </w:tc>
      </w:tr>
      <w:tr>
        <w:trPr>
          <w:cantSplit/>
        </w:trPr>
        <w:tc>
          <w:tcPr>
            <w:tcW w:type="dxa" w:w="3456"/>
            <w:vAlign w:val="top"/>
          </w:tcPr>
          <w:p>
            <w:pPr>
              <w:spacing w:after="40" w:before="0" w:line="259" w:lineRule="auto"/>
            </w:pPr>
            <w:r>
              <w:rPr>
                <w:rFonts w:ascii="Calibri" w:hAnsi="Calibri"/>
                <w:b/>
                <w:i w:val="0"/>
                <w:color w:val="212121"/>
                <w:sz w:val="19"/>
              </w:rPr>
              <w:t>Nail dystrophy with pterygium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Longitudinal ridging, thinning and dorsal pterygium; twenty-nail dystrophy if all nails affected.</w:t>
            </w:r>
          </w:p>
        </w:tc>
      </w:tr>
      <w:tr>
        <w:trPr>
          <w:cantSplit/>
        </w:trPr>
        <w:tc>
          <w:tcPr>
            <w:tcW w:type="dxa" w:w="3456"/>
            <w:vAlign w:val="top"/>
          </w:tcPr>
          <w:p>
            <w:pPr>
              <w:spacing w:after="40" w:before="0" w:line="259" w:lineRule="auto"/>
            </w:pPr>
            <w:r>
              <w:rPr>
                <w:rFonts w:ascii="Calibri" w:hAnsi="Calibri"/>
                <w:b/>
                <w:i w:val="0"/>
                <w:color w:val="212121"/>
                <w:sz w:val="19"/>
              </w:rPr>
              <w:t>Scarring alopecia with perifollicular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Lichen planopilaris – perifollicular scale/erythema with permanent hair loss.</w:t>
            </w:r>
          </w:p>
        </w:tc>
      </w:tr>
      <w:tr>
        <w:trPr>
          <w:cantSplit/>
        </w:trPr>
        <w:tc>
          <w:tcPr>
            <w:tcW w:type="dxa" w:w="3456"/>
            <w:vAlign w:val="top"/>
          </w:tcPr>
          <w:p>
            <w:pPr>
              <w:spacing w:after="40" w:before="0" w:line="259" w:lineRule="auto"/>
            </w:pPr>
            <w:r>
              <w:rPr>
                <w:rFonts w:ascii="Calibri" w:hAnsi="Calibri"/>
                <w:b/>
                <w:i w:val="0"/>
                <w:color w:val="212121"/>
                <w:sz w:val="19"/>
              </w:rPr>
              <w:t>Slate-grey macules (lichen planus pigmentosus)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Diffuse or reticulate grey-brown macules on face/flexures; blue-grey dots on dermoscopy.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Intractable pruritus with excoriation and sleep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erosive oral/genital lesions impairing eating, speech and intercourse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Prominent, long-lasting post-inflammatory hyperpigmentation (skin of colour)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or candidal infection of eroded skin/mucosa</w:t>
            </w:r>
          </w:p>
        </w:tc>
        <w:tc>
          <w:tcPr>
            <w:tcW w:type="dxa" w:w="2980"/>
            <w:vAlign w:val="top"/>
          </w:tcPr>
          <w:p>
            <w:pPr>
              <w:spacing w:after="40" w:before="0" w:line="259" w:lineRule="auto"/>
            </w:pPr>
            <w:r>
              <w:rPr>
                <w:rFonts w:ascii="Calibri" w:hAnsi="Calibri"/>
                <w:b w:val="0"/>
                <w:i w:val="0"/>
                <w:color w:val="212121"/>
                <w:sz w:val="19"/>
              </w:rPr>
              <w:t>Direct symptomatic burden of active mucocutaneous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Scarring alopecia (lichen planopilaris / frontal fibrosing alopecia)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nail loss and dorsal pterygium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Genital scarring, adhesions and introital/vaginal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Oesophageal, urethral or lacrimal strictures in severe erosive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and marked impairment of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depression from chronic, visible, itchy or painful disease</w:t>
            </w:r>
          </w:p>
        </w:tc>
        <w:tc>
          <w:tcPr>
            <w:tcW w:type="dxa" w:w="2980"/>
            <w:vAlign w:val="top"/>
          </w:tcPr>
          <w:p>
            <w:pPr>
              <w:spacing w:after="40" w:before="0" w:line="259" w:lineRule="auto"/>
            </w:pPr>
            <w:r>
              <w:rPr>
                <w:rFonts w:ascii="Calibri" w:hAnsi="Calibri"/>
                <w:b w:val="0"/>
                <w:i w:val="0"/>
                <w:color w:val="212121"/>
                <w:sz w:val="19"/>
              </w:rPr>
              <w:t>Scarring and functional/psychological sequelae of chronic or erosive LP</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Malignant transformation of oral LP to oral squamous cell carcinoma (pooled ~1.37%)</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Vulval squamous cell carcinoma arising in long-standing erosive genital 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cicatricial alopecia and irreversible nail destruction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genital/oesophageal stenosis requiring surgical intervention</w:t>
            </w:r>
          </w:p>
        </w:tc>
        <w:tc>
          <w:tcPr>
            <w:tcW w:type="dxa" w:w="2980"/>
            <w:vAlign w:val="top"/>
          </w:tcPr>
          <w:p>
            <w:pPr>
              <w:spacing w:after="40" w:before="0" w:line="259" w:lineRule="auto"/>
            </w:pPr>
            <w:r>
              <w:rPr>
                <w:rFonts w:ascii="Calibri" w:hAnsi="Calibri"/>
                <w:b w:val="0"/>
                <w:i w:val="0"/>
                <w:color w:val="212121"/>
                <w:sz w:val="19"/>
              </w:rPr>
              <w:t>Irreversible, potentially life-threatening outcomes of long-standing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Raised triglycerides/LDL and low HDL; supports routine lipid screening and cardiovascular-risk assessment.</w:t>
            </w:r>
          </w:p>
          <w:p>
            <w:pPr>
              <w:spacing w:after="40" w:before="0" w:line="259" w:lineRule="auto"/>
            </w:pPr>
            <w:r>
              <w:rPr>
                <w:rFonts w:ascii="Calibri" w:hAnsi="Calibri"/>
                <w:b/>
                <w:i w:val="0"/>
                <w:color w:val="212121"/>
                <w:sz w:val="19"/>
              </w:rPr>
              <w:t>Up to 60%</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Clustered central obesity, dysglycaemia, dyslipidaemia and hypertension; strongest with mucosal LP.</w:t>
            </w:r>
          </w:p>
          <w:p>
            <w:pPr>
              <w:spacing w:after="40" w:before="0" w:line="259" w:lineRule="auto"/>
            </w:pPr>
            <w:r>
              <w:rPr>
                <w:rFonts w:ascii="Calibri" w:hAnsi="Calibri"/>
                <w:b/>
                <w:i w:val="0"/>
                <w:color w:val="212121"/>
                <w:sz w:val="19"/>
              </w:rPr>
              <w:t>~27–34%</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Significant excess in LP, especially oral disease; part of Grinspan syndrome.</w:t>
            </w:r>
          </w:p>
          <w:p>
            <w:pPr>
              <w:spacing w:after="40" w:before="0" w:line="259" w:lineRule="auto"/>
            </w:pPr>
            <w:r>
              <w:rPr>
                <w:rFonts w:ascii="Calibri" w:hAnsi="Calibri"/>
                <w:b/>
                <w:i w:val="0"/>
                <w:color w:val="212121"/>
                <w:sz w:val="19"/>
              </w:rPr>
              <w:t>~15%</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Over-represented in LP and a component of Grinspan syndrome and metabolic syndrome.</w:t>
            </w:r>
          </w:p>
          <w:p>
            <w:pPr>
              <w:spacing w:after="40" w:before="0" w:line="259" w:lineRule="auto"/>
            </w:pPr>
            <w:r>
              <w:rPr>
                <w:rFonts w:ascii="Calibri" w:hAnsi="Calibri"/>
                <w:b/>
                <w:i w:val="0"/>
                <w:color w:val="212121"/>
                <w:sz w:val="19"/>
              </w:rPr>
              <w:t>~11–51%</w:t>
            </w:r>
          </w:p>
        </w:tc>
      </w:tr>
      <w:tr>
        <w:trPr>
          <w:cantSplit/>
        </w:trPr>
        <w:tc>
          <w:tcPr>
            <w:tcW w:type="dxa" w:w="2232"/>
            <w:vAlign w:val="top"/>
          </w:tcPr>
          <w:p>
            <w:pPr>
              <w:spacing w:after="40" w:before="0" w:line="259" w:lineRule="auto"/>
            </w:pPr>
            <w:r>
              <w:rPr>
                <w:rFonts w:ascii="Calibri" w:hAnsi="Calibri"/>
                <w:b/>
                <w:i w:val="0"/>
                <w:color w:val="212121"/>
                <w:sz w:val="19"/>
              </w:rPr>
              <w:t>Thyroid disease / hypothyroidism</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Autoimmune thyroid disease shares a T-cell basis; commoner in oral LP (OR 2.10).</w:t>
            </w:r>
          </w:p>
          <w:p>
            <w:pPr>
              <w:spacing w:after="40" w:before="0" w:line="259" w:lineRule="auto"/>
            </w:pPr>
            <w:r>
              <w:rPr>
                <w:rFonts w:ascii="Calibri" w:hAnsi="Calibri"/>
                <w:b/>
                <w:i w:val="0"/>
                <w:color w:val="212121"/>
                <w:sz w:val="19"/>
              </w:rPr>
              <w:t>OR ~2.1</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Significantly higher in oral LP; bidirectional with chronic itch/pain.</w:t>
            </w:r>
          </w:p>
          <w:p>
            <w:pPr>
              <w:spacing w:after="40" w:before="0" w:line="259" w:lineRule="auto"/>
            </w:pPr>
            <w:r>
              <w:rPr>
                <w:rFonts w:ascii="Calibri" w:hAnsi="Calibri"/>
                <w:b/>
                <w:i w:val="0"/>
                <w:color w:val="212121"/>
                <w:sz w:val="19"/>
              </w:rPr>
              <w:t>Significantly raised</w:t>
            </w:r>
          </w:p>
        </w:tc>
      </w:tr>
      <w:tr>
        <w:trPr>
          <w:cantSplit/>
        </w:trPr>
        <w:tc>
          <w:tcPr>
            <w:tcW w:type="dxa" w:w="2232"/>
            <w:vAlign w:val="top"/>
          </w:tcPr>
          <w:p>
            <w:pPr>
              <w:spacing w:after="40" w:before="0" w:line="259" w:lineRule="auto"/>
            </w:pPr>
            <w:r>
              <w:rPr>
                <w:rFonts w:ascii="Calibri" w:hAnsi="Calibri"/>
                <w:b/>
                <w:i w:val="0"/>
                <w:color w:val="212121"/>
                <w:sz w:val="19"/>
              </w:rPr>
              <w:t>Hepatitis C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Established trigger in some regions via molecular mimicry; weak association in India.</w:t>
            </w:r>
          </w:p>
          <w:p>
            <w:pPr>
              <w:spacing w:after="40" w:before="0" w:line="259" w:lineRule="auto"/>
            </w:pPr>
            <w:r>
              <w:rPr>
                <w:rFonts w:ascii="Calibri" w:hAnsi="Calibri"/>
                <w:b/>
                <w:i w:val="0"/>
                <w:color w:val="212121"/>
                <w:sz w:val="19"/>
              </w:rPr>
              <w:t>~0–2% (India)</w:t>
            </w:r>
          </w:p>
        </w:tc>
      </w:tr>
      <w:tr>
        <w:trPr>
          <w:cantSplit/>
        </w:trPr>
        <w:tc>
          <w:tcPr>
            <w:tcW w:type="dxa" w:w="2232"/>
            <w:vAlign w:val="top"/>
          </w:tcPr>
          <w:p>
            <w:pPr>
              <w:spacing w:after="40" w:before="0" w:line="259" w:lineRule="auto"/>
            </w:pPr>
            <w:r>
              <w:rPr>
                <w:rFonts w:ascii="Calibri" w:hAnsi="Calibri"/>
                <w:b/>
                <w:i w:val="0"/>
                <w:color w:val="212121"/>
                <w:sz w:val="19"/>
              </w:rPr>
              <w:t>Other autoimmune disease (vitiligo, alopecia areata)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Reflect shared autoimmune susceptibility in a subset of patients.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lichen planus is a non-contagious, immune-mediated condition; cutaneous LP is often self-limiting over 1–2 years, while oral/genital disease tends to be chronic.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post-inflammatory hyperpigmentation, especially in darker skin, and that it fades slowly over months – avoid picking or scratching, which worsens it (Koebner phenomenon).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a skin/mucosal biopsy when advised to confirm the diagnosis and exclude look-alikes.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screening for associated conditions – blood sugar, lipids and thyroid function – and treat them.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thickened, ulcerated, indurated or non-healing area in the mouth promptly, as long-standing oral LP carries a small (~1%) risk of malignant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for erosive oral or genital disease so that scarring and complications are caught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Oral/erosive LP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skin of colour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at least 150 minutes/week of moderate activity (brisk walking, cycling, swimming) to counter the metabolic syndrome and dyslipidaemia linked to 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and reduce prolonged sitting.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gradual 5–10% weight reduction if overweight, targeting central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to an Asian-Indian BMI target of 18.5–22.9 kg/m² and waist &lt; 90 cm (men) / &lt; 80 cm (women).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Overweight/sedentary LP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dyslipidaemia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oral flares, choose soft, bland, cool foods and avoid spicy, acidic, salty, crunchy or very hot items that sting erosive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known lichenoid contact triggers such as cinnamon and strongly flavoured foods/toothpastes.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fibre-rich, low-glycaemic diet with whole grains (oats, millets), pulses, vegetables and healthy fats to control lipids and glucose.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sugar-sweetened beverages, fried and ultra-processed foods that worsen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and use bland saliva substitutes if the mouth is dry.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Erosive oral LP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LP with dyslipidaemia/diabetes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oral lichenoid contact lesions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to support immune balance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nocturnal itch (antihistamine at night, cool bedroom, cotton clothing) to protect sleep and reduce scratching.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a wind-down routine and limit screens/caffeine before bed to ease stress-related flares.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Stressed/anxious LP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use – smoked and smokeless – and quit areca/betel-quid chewing, which sustain oral lichenoid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quitlines, nicotine replacement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stopping tobacco and areca lowers the risk of malignant transformation of oral 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any tobacco/areca-related white or red oral patch examined and biopsied if suspicious.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oral 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Betel-quid/areca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LP patients under surveillance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 1–2 standard drinks/day, with alcohol-free days) or abstain.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the tobacco-plus-alcohol combination, which multiplies oral mucosal and malignant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alcohol to limit hepatic and metabolic strain, especially if lipids or liver enzymes are raised.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LP patients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LP with dyslipidaemia/fatty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tobacco-alcohol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address stress, anxiety and low mood, which precipitate and flare lichen planus.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 yoga, breathing exercises, mindfulness, regular activity and adequate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counselling or cognitive behavioural therapy, and psychiatric referral where depression/anxiety is significant.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the itch-scratch-stress cycle with prompt symptom control and reassurance about the benign, non-contagious nature of most LP.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Oral/erosive LP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depressed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ced.org/archive/volume/6/issue/1/article/7644" TargetMode="External"/><Relationship Id="rId10" Type="http://schemas.openxmlformats.org/officeDocument/2006/relationships/hyperlink" Target="https://www.nature.com/articles/6401349" TargetMode="External"/><Relationship Id="rId11" Type="http://schemas.openxmlformats.org/officeDocument/2006/relationships/hyperlink" Target="https://ijdvl.com/lichen-planus-and-hepatitis-c-virus-hcv-is-there-an-association-a-serological-study-of-65-cases/" TargetMode="External"/><Relationship Id="rId12" Type="http://schemas.openxmlformats.org/officeDocument/2006/relationships/hyperlink" Target="https://dermnetnz.org/topics/lichen-planus" TargetMode="External"/><Relationship Id="rId13" Type="http://schemas.openxmlformats.org/officeDocument/2006/relationships/hyperlink" Target="https://pmc.ncbi.nlm.nih.gov/articles/PMC8816610/" TargetMode="External"/><Relationship Id="rId14" Type="http://schemas.openxmlformats.org/officeDocument/2006/relationships/hyperlink" Target="https://academic.oup.com/skinhd/article/4/1/ski2.315/7755681" TargetMode="External"/><Relationship Id="rId15" Type="http://schemas.openxmlformats.org/officeDocument/2006/relationships/hyperlink" Target="https://www.frontiersin.org/journals/endocrinology/articles/10.3389/fendo.2017.00310/full" TargetMode="External"/><Relationship Id="rId16" Type="http://schemas.openxmlformats.org/officeDocument/2006/relationships/hyperlink" Target="https://link.springer.com/article/10.1007/s40257-015-014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