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Keloids &amp; Hypertrophic Scars</w:t>
      </w:r>
    </w:p>
    <w:p>
      <w:pPr>
        <w:spacing w:before="0" w:after="160"/>
      </w:pPr>
      <w:r>
        <w:rPr>
          <w:rFonts w:ascii="Calibri" w:hAnsi="Calibri"/>
          <w:b/>
          <w:i w:val="0"/>
          <w:color w:val="212121"/>
          <w:sz w:val="22"/>
        </w:rPr>
        <w:t xml:space="preserve">AKA </w:t>
      </w:r>
      <w:r>
        <w:rPr>
          <w:rFonts w:ascii="Calibri" w:hAnsi="Calibri"/>
          <w:b w:val="0"/>
          <w:i w:val="0"/>
          <w:color w:val="212121"/>
          <w:sz w:val="22"/>
        </w:rPr>
        <w:t>i.e., Keloid scar, Keloid disease, Cheloid; Hypertrophic scar, Raised/thick scar, “Proud flesh”</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Keloids and hypertrophic scars are benign fibroproliferative dermal lesions arising from aberrant wound healing after skin injury or inflammation, characterised by excessive, disorganised deposition of collagen (chiefly types I and III). A hypertrophic scar remains confined within the boundaries of the original wound and often regresses partially over months to years, whereas a keloid grows beyond the original wound margins, does not regress spontaneously, and characteristically recurs after excision. Both cause pruritus, pain and cosmetic disfigurement and, over joints, functional impairment. They are markedly more common in individuals with darker skin phototypes (Fitzpatrick IV–VI), the predominant phototype across the Indian subcontinent.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Keloids and hypertrophic scars disproportionately affect people with pigmented skin (Fitzpatrick phototypes IV–VI), which predominates across India; reported incidence in darker-pigmented populations ranges from about 4.5% to 16%, compared with well under 1% in fair-skinned groups. In multi-ethnic Asian data, ethnic Chinese show the highest keloid prevalence, ahead of Indian and Malay populations. In Indian dermatology practice keloids are a common presentation, frequently provoked by the widespread cultural practice of ear- and nose-piercing (often in infancy), BCG vaccination scars, acne and folliculitis.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Keloids and hypertrophic scars are primarily a clinical diagnosis based on lesion morphology, behaviour and a history of preceding skin injury; biopsy is reserved for diagnostic uncertainty: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raised, firm scar developing at the site of prior skin injury or inflammation (for keloids, sometimes after trivial or unrecognised trauma);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keloid — the lesion extends beyond the boundaries of the original wound, does not regress spontaneously, and characteristically recurs after excision;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hypertrophic scar — the lesion remains confined within the original wound margins and tends to flatten/regress over months to years;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associated symptoms of pruritus, pain or tenderness and, over joints, contracture and restricted movement;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severity graded and monitored with scar scales (Vancouver Scar Scale, POSAS) and, where needed, high-frequency ultrasound for thickness;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biopsy/histopathology only when the diagnosis is uncertain or to exclude mimics such as dermatofibrosarcoma protuberans, scar sarcoid or keloidal morphoea.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Excessive scars are classified by their growth behaviour relative to the original wound, with keloids and hypertrophic scars representing the two principal entities:</w:t>
      </w:r>
    </w:p>
    <w:p>
      <w:pPr>
        <w:spacing w:before="0" w:after="80"/>
      </w:pPr>
      <w:r>
        <w:rPr>
          <w:rFonts w:ascii="Calibri" w:hAnsi="Calibri"/>
          <w:b w:val="0"/>
          <w:i w:val="0"/>
          <w:color w:val="212121"/>
          <w:sz w:val="21"/>
        </w:rPr>
        <w:t>(1) Hypertrophic scars — raised, erythematous scars that remain within the confines of the original wound, appear within weeks of injury, frequently cross flexural surfaces causing contractures, and tend to regress partially over 1–2 years;</w:t>
      </w:r>
    </w:p>
    <w:p>
      <w:pPr>
        <w:spacing w:before="0" w:after="80"/>
      </w:pPr>
      <w:r>
        <w:rPr>
          <w:rFonts w:ascii="Calibri" w:hAnsi="Calibri"/>
          <w:b w:val="0"/>
          <w:i w:val="0"/>
          <w:color w:val="212121"/>
          <w:sz w:val="21"/>
        </w:rPr>
        <w:t>(2) Keloids — firm, often purplish-red lesions that grow beyond the original wound margins, may arise months after (or without obvious) injury, do not regress spontaneously and recur after excision, with collagen synthesis far greater than in hypertrophic scars;</w:t>
      </w:r>
    </w:p>
    <w:p>
      <w:pPr>
        <w:spacing w:before="0" w:after="80"/>
      </w:pPr>
      <w:r>
        <w:rPr>
          <w:rFonts w:ascii="Calibri" w:hAnsi="Calibri"/>
          <w:b w:val="0"/>
          <w:i w:val="0"/>
          <w:color w:val="212121"/>
          <w:sz w:val="21"/>
        </w:rPr>
        <w:t>(3) Morphological subtypes of keloids — focal/minor keloids (small, e.g., after ear-piercing, generally more steroid-responsive) versus major/extensive keloids (large, spreading lesions on chest, shoulder or back that are more treatment-resistant), and single versus multiple/familial keloids;</w:t>
      </w:r>
    </w:p>
    <w:p>
      <w:pPr>
        <w:spacing w:before="0" w:after="80"/>
      </w:pPr>
      <w:r>
        <w:rPr>
          <w:rFonts w:ascii="Calibri" w:hAnsi="Calibri"/>
          <w:b w:val="0"/>
          <w:i w:val="0"/>
          <w:color w:val="212121"/>
          <w:sz w:val="21"/>
        </w:rPr>
        <w:t>(4) By trigger — spontaneous keloids versus those secondary to a defined insult (surgery, burns, acne keloidalis nuchae, piercing, vaccination or folliculitis).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Strong familial clustering — roughly one-third to one-half of patients have an affected first-degree relative; polygenic inheritance with reported HLA-haplotype and blood-group A associations, and rare syndromic links (Rubinstein–Taybi and Goeminne syndromes).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Skin phototype / ethnicity: Markedly more common in Fitzpatrick IV–VI skin (the predominant phototype in India); incidence in darker-pigmented populations is about 4.5–16% versus well under 1% in fair skin.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Skin injury and inflammation (provoking factors): Almost any dermal trauma can trigger a lesion — ear/nose piercing, surgery, burns, lacerations, tattoos, vaccination (BCG), acne and folliculitis; keloids may follow even trivial injury.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Aberrant wound healing: A prolonged inflammatory and proliferative phase with fibroblast dysregulation, elevated TGF-β signalling and excessive, disorganised type I/III collagen — keloid collagen synthesis is roughly 20× that of normal skin and about 3× that of a hypertrophic scar.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Mechanical tension: High skin-tension and high-motion sites (presternal chest, shoulder, deltoid, upper back, jawline) predispose to keloid and hypertrophic scarring.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Hormonal factors: Risk is elevated during puberty and pregnancy, and lesions may enlarge in these states, implicating hormonal modulation of fibroblast activity.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 (10–30 years)</w:t>
            </w:r>
          </w:p>
        </w:tc>
        <w:tc>
          <w:tcPr>
            <w:tcW w:type="dxa" w:w="4276"/>
            <w:vAlign w:val="top"/>
          </w:tcPr>
          <w:p>
            <w:pPr>
              <w:spacing w:after="60" w:line="259" w:lineRule="auto"/>
            </w:pPr>
            <w:r>
              <w:rPr>
                <w:rFonts w:ascii="Calibri" w:hAnsi="Calibri"/>
                <w:b w:val="0"/>
                <w:i w:val="0"/>
                <w:color w:val="212121"/>
                <w:sz w:val="19"/>
              </w:rPr>
              <w:t>Peak incidence during years of high dermal turnover, active fibroplasia and frequent skin trauma (piercing, acne, sports injuries). Most patients first notice a keloid in their twenties.</w:t>
            </w:r>
          </w:p>
          <w:p>
            <w:pPr>
              <w:spacing w:after="40" w:before="60" w:line="259" w:lineRule="auto"/>
            </w:pPr>
            <w:r>
              <w:rPr>
                <w:rFonts w:ascii="Calibri" w:hAnsi="Calibri"/>
                <w:b w:val="0"/>
                <w:i w:val="0"/>
                <w:color w:val="212121"/>
                <w:sz w:val="19"/>
              </w:rPr>
              <w:t>Black people aged 10–30 have the greatest risk of developing keloids; most people first notice keloids in their 20s.</w:t>
            </w:r>
          </w:p>
          <w:p>
            <w:pPr>
              <w:spacing w:after="40" w:line="252" w:lineRule="auto"/>
            </w:pPr>
            <w:hyperlink r:id="rId9">
              <w:r>
                <w:rPr>
                  <w:rFonts w:ascii="Calibri" w:hAnsi="Calibri" w:cs="Calibri"/>
                  <w:sz w:val="18"/>
                  <w:color w:val="1155CC"/>
                  <w:u w:val="single"/>
                </w:rPr>
                <w:t xml:space="preserve">aad.org — keloids: causes/who gets</w:t>
              </w:r>
            </w:hyperlink>
          </w:p>
          <w:p>
            <w:pPr>
              <w:spacing w:before="60" w:after="40"/>
            </w:pPr>
            <w:r>
              <w:rPr>
                <w:rFonts w:ascii="Calibri" w:hAnsi="Calibri"/>
                <w:b w:val="0"/>
                <w:i w:val="0"/>
                <w:color w:val="5A5A5A"/>
                <w:sz w:val="18"/>
              </w:rPr>
              <w:t>#youngadults  #puberty  #fibroplasia  #piercing  #acne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Incidence declines with age as fibroblast activity and dermal turnover fall; new keloids rarely arise de novo in the very old, though lesions acquired earlier persist and can still form after surgery.</w:t>
            </w:r>
          </w:p>
          <w:p>
            <w:pPr>
              <w:spacing w:after="40" w:before="60" w:line="259" w:lineRule="auto"/>
            </w:pPr>
            <w:r>
              <w:rPr>
                <w:rFonts w:ascii="Calibri" w:hAnsi="Calibri"/>
                <w:b w:val="0"/>
                <w:i w:val="0"/>
                <w:color w:val="212121"/>
                <w:sz w:val="19"/>
              </w:rPr>
              <w:t>Keloids most often begin between ages 10 and 30 but can develop at any age, including in people over 70.</w:t>
            </w:r>
          </w:p>
          <w:p>
            <w:pPr>
              <w:spacing w:after="40" w:line="252" w:lineRule="auto"/>
            </w:pPr>
            <w:hyperlink r:id="rId9">
              <w:r>
                <w:rPr>
                  <w:rFonts w:ascii="Calibri" w:hAnsi="Calibri" w:cs="Calibri"/>
                  <w:sz w:val="18"/>
                  <w:color w:val="1155CC"/>
                  <w:u w:val="single"/>
                </w:rPr>
                <w:t xml:space="preserve">aad.org — keloids: who gets</w:t>
              </w:r>
            </w:hyperlink>
          </w:p>
          <w:p>
            <w:pPr>
              <w:spacing w:before="60" w:after="40"/>
            </w:pPr>
            <w:r>
              <w:rPr>
                <w:rFonts w:ascii="Calibri" w:hAnsi="Calibri"/>
                <w:b w:val="0"/>
                <w:i w:val="0"/>
                <w:color w:val="5A5A5A"/>
                <w:sz w:val="18"/>
              </w:rPr>
              <w:t>#ageing  #lowerincidence  #persistentscar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Females</w:t>
            </w:r>
          </w:p>
        </w:tc>
        <w:tc>
          <w:tcPr>
            <w:tcW w:type="dxa" w:w="4276"/>
            <w:vAlign w:val="top"/>
          </w:tcPr>
          <w:p>
            <w:pPr>
              <w:spacing w:after="60" w:line="259" w:lineRule="auto"/>
            </w:pPr>
            <w:r>
              <w:rPr>
                <w:rFonts w:ascii="Calibri" w:hAnsi="Calibri"/>
                <w:b w:val="0"/>
                <w:i w:val="0"/>
                <w:color w:val="212121"/>
                <w:sz w:val="19"/>
              </w:rPr>
              <w:t>Often present more frequently, partly reflecting cosmetic ear/nose-piercing and jewellery use and hormonal influences; keloids may enlarge in pregnancy. Overall biological incidence is broadly similar between sexes.</w:t>
            </w:r>
          </w:p>
          <w:p>
            <w:pPr>
              <w:spacing w:after="40" w:before="60" w:line="259" w:lineRule="auto"/>
            </w:pPr>
            <w:r>
              <w:rPr>
                <w:rFonts w:ascii="Calibri" w:hAnsi="Calibri"/>
                <w:b w:val="0"/>
                <w:i w:val="0"/>
                <w:color w:val="212121"/>
                <w:sz w:val="19"/>
              </w:rPr>
              <w:t>Pregnancy increases keloid risk because of hormonal changes during gestation.</w:t>
            </w:r>
          </w:p>
          <w:p>
            <w:pPr>
              <w:spacing w:after="40" w:line="252" w:lineRule="auto"/>
            </w:pPr>
            <w:hyperlink r:id="rId9">
              <w:r>
                <w:rPr>
                  <w:rFonts w:ascii="Calibri" w:hAnsi="Calibri" w:cs="Calibri"/>
                  <w:sz w:val="18"/>
                  <w:color w:val="1155CC"/>
                  <w:u w:val="single"/>
                </w:rPr>
                <w:t xml:space="preserve">aad.org — keloids &amp; pregnancy</w:t>
              </w:r>
            </w:hyperlink>
          </w:p>
          <w:p>
            <w:pPr>
              <w:spacing w:before="60" w:after="40"/>
            </w:pPr>
            <w:r>
              <w:rPr>
                <w:rFonts w:ascii="Calibri" w:hAnsi="Calibri"/>
                <w:b w:val="0"/>
                <w:i w:val="0"/>
                <w:color w:val="5A5A5A"/>
                <w:sz w:val="18"/>
              </w:rPr>
              <w:t>#piercing  #pregnancy  #hormonal  #cosmetic</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skin phototype</w:t>
            </w:r>
          </w:p>
        </w:tc>
        <w:tc>
          <w:tcPr>
            <w:tcW w:type="dxa" w:w="2160"/>
            <w:vAlign w:val="top"/>
          </w:tcPr>
          <w:p>
            <w:pPr>
              <w:spacing w:after="40" w:before="0" w:line="259" w:lineRule="auto"/>
            </w:pPr>
            <w:r>
              <w:rPr>
                <w:rFonts w:ascii="Calibri" w:hAnsi="Calibri"/>
                <w:b w:val="0"/>
                <w:i w:val="0"/>
                <w:color w:val="212121"/>
                <w:sz w:val="19"/>
              </w:rPr>
              <w:t>Indian / South Asian skin (Fitzpatrick IV–VI)</w:t>
            </w:r>
          </w:p>
        </w:tc>
        <w:tc>
          <w:tcPr>
            <w:tcW w:type="dxa" w:w="4276"/>
            <w:vAlign w:val="top"/>
          </w:tcPr>
          <w:p>
            <w:pPr>
              <w:spacing w:after="60" w:line="259" w:lineRule="auto"/>
            </w:pPr>
            <w:r>
              <w:rPr>
                <w:rFonts w:ascii="Calibri" w:hAnsi="Calibri"/>
                <w:b w:val="0"/>
                <w:i w:val="0"/>
                <w:color w:val="212121"/>
                <w:sz w:val="19"/>
              </w:rPr>
              <w:t>Highly pigmented phototypes that predominate across India carry a much higher keloid propensity than fair skin, linked to melanocyte density and fibroblast reactivity at sites of injury.</w:t>
            </w:r>
          </w:p>
          <w:p>
            <w:pPr>
              <w:spacing w:after="40" w:before="60" w:line="259" w:lineRule="auto"/>
            </w:pPr>
            <w:r>
              <w:rPr>
                <w:rFonts w:ascii="Calibri" w:hAnsi="Calibri"/>
                <w:b w:val="0"/>
                <w:i w:val="0"/>
                <w:color w:val="212121"/>
                <w:sz w:val="19"/>
              </w:rPr>
              <w:t>Incidence in darker-pigmented populations is reported at about 4.5% to 16%, versus well under 1% in fair skin.</w:t>
            </w:r>
          </w:p>
          <w:p>
            <w:pPr>
              <w:spacing w:after="40" w:line="252" w:lineRule="auto"/>
            </w:pPr>
            <w:hyperlink r:id="rId10">
              <w:r>
                <w:rPr>
                  <w:rFonts w:ascii="Calibri" w:hAnsi="Calibri" w:cs="Calibri"/>
                  <w:sz w:val="18"/>
                  <w:color w:val="1155CC"/>
                  <w:u w:val="single"/>
                </w:rPr>
                <w:t xml:space="preserve">StatPearls (NCBI) — Keloid, epidemiology</w:t>
              </w:r>
            </w:hyperlink>
          </w:p>
          <w:p>
            <w:pPr>
              <w:spacing w:before="60" w:after="40"/>
            </w:pPr>
            <w:r>
              <w:rPr>
                <w:rFonts w:ascii="Calibri" w:hAnsi="Calibri"/>
                <w:b w:val="0"/>
                <w:i w:val="0"/>
                <w:color w:val="5A5A5A"/>
                <w:sz w:val="18"/>
              </w:rPr>
              <w:t>#skinofcolour  #fitzpatrick  #melanin  #india  #pigmentedskin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East Asian (ethnic Chinese)</w:t>
            </w:r>
          </w:p>
        </w:tc>
        <w:tc>
          <w:tcPr>
            <w:tcW w:type="dxa" w:w="4276"/>
            <w:vAlign w:val="top"/>
          </w:tcPr>
          <w:p>
            <w:pPr>
              <w:spacing w:after="60" w:line="259" w:lineRule="auto"/>
            </w:pPr>
            <w:r>
              <w:rPr>
                <w:rFonts w:ascii="Calibri" w:hAnsi="Calibri"/>
                <w:b w:val="0"/>
                <w:i w:val="0"/>
                <w:color w:val="212121"/>
                <w:sz w:val="19"/>
              </w:rPr>
              <w:t>Within multi-ethnic Asian populations, ethnic Chinese show the highest keloid prevalence, ahead of Indian and Malay groups — underscoring the strong ancestral/genetic contribution.</w:t>
            </w:r>
          </w:p>
          <w:p>
            <w:pPr>
              <w:spacing w:after="40" w:before="60" w:line="259" w:lineRule="auto"/>
            </w:pPr>
            <w:r>
              <w:rPr>
                <w:rFonts w:ascii="Calibri" w:hAnsi="Calibri"/>
                <w:b w:val="0"/>
                <w:i w:val="0"/>
                <w:color w:val="212121"/>
                <w:sz w:val="19"/>
              </w:rPr>
              <w:t>Chinese individuals show higher keloid prevalence compared with Indian or Malaysian populations.</w:t>
            </w:r>
          </w:p>
          <w:p>
            <w:pPr>
              <w:spacing w:after="40" w:line="252" w:lineRule="auto"/>
            </w:pPr>
            <w:hyperlink r:id="rId11">
              <w:r>
                <w:rPr>
                  <w:rFonts w:ascii="Calibri" w:hAnsi="Calibri" w:cs="Calibri"/>
                  <w:sz w:val="18"/>
                  <w:color w:val="1155CC"/>
                  <w:u w:val="single"/>
                </w:rPr>
                <w:t xml:space="preserve">dermnetnz.org — keloid &amp; hypertrophic scar</w:t>
              </w:r>
            </w:hyperlink>
          </w:p>
          <w:p>
            <w:pPr>
              <w:spacing w:before="60" w:after="40"/>
            </w:pPr>
            <w:r>
              <w:rPr>
                <w:rFonts w:ascii="Calibri" w:hAnsi="Calibri"/>
                <w:b w:val="0"/>
                <w:i w:val="0"/>
                <w:color w:val="5A5A5A"/>
                <w:sz w:val="18"/>
              </w:rPr>
              <w:t>#eastasian  #ancestry  #geneticrisk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Cultural / regional practice</w:t>
            </w:r>
          </w:p>
        </w:tc>
        <w:tc>
          <w:tcPr>
            <w:tcW w:type="dxa" w:w="2160"/>
            <w:vAlign w:val="top"/>
          </w:tcPr>
          <w:p>
            <w:pPr>
              <w:spacing w:after="40" w:before="0" w:line="259" w:lineRule="auto"/>
            </w:pPr>
            <w:r>
              <w:rPr>
                <w:rFonts w:ascii="Calibri" w:hAnsi="Calibri"/>
                <w:b w:val="0"/>
                <w:i w:val="0"/>
                <w:color w:val="212121"/>
                <w:sz w:val="19"/>
              </w:rPr>
              <w:t>Communities with routine ear &amp; nose piercing (incl. infants)</w:t>
            </w:r>
          </w:p>
        </w:tc>
        <w:tc>
          <w:tcPr>
            <w:tcW w:type="dxa" w:w="4276"/>
            <w:vAlign w:val="top"/>
          </w:tcPr>
          <w:p>
            <w:pPr>
              <w:spacing w:after="60" w:line="259" w:lineRule="auto"/>
            </w:pPr>
            <w:r>
              <w:rPr>
                <w:rFonts w:ascii="Calibri" w:hAnsi="Calibri"/>
                <w:b w:val="0"/>
                <w:i w:val="0"/>
                <w:color w:val="212121"/>
                <w:sz w:val="19"/>
              </w:rPr>
              <w:t>Widespread cultural ear- and nose-piercing across the Indian subcontinent creates repeated dermal trauma at high-risk sites, making the earlobe one of the commonest locations for keloids in Indian practice.</w:t>
            </w:r>
          </w:p>
          <w:p>
            <w:pPr>
              <w:spacing w:after="40" w:before="60" w:line="259" w:lineRule="auto"/>
            </w:pPr>
            <w:r>
              <w:rPr>
                <w:rFonts w:ascii="Calibri" w:hAnsi="Calibri"/>
                <w:b w:val="0"/>
                <w:i w:val="0"/>
                <w:color w:val="212121"/>
                <w:sz w:val="19"/>
              </w:rPr>
              <w:t>Ear-piercing is a leading trigger of earlobe keloids; the earlobe is among the most common keloid sites.</w:t>
            </w:r>
          </w:p>
          <w:p>
            <w:pPr>
              <w:spacing w:after="40" w:line="252" w:lineRule="auto"/>
            </w:pPr>
            <w:hyperlink r:id="rId10">
              <w:r>
                <w:rPr>
                  <w:rFonts w:ascii="Calibri" w:hAnsi="Calibri" w:cs="Calibri"/>
                  <w:sz w:val="18"/>
                  <w:color w:val="1155CC"/>
                  <w:u w:val="single"/>
                </w:rPr>
                <w:t xml:space="preserve">StatPearls (NCBI) — Keloid, sites/triggers</w:t>
              </w:r>
            </w:hyperlink>
          </w:p>
          <w:p>
            <w:pPr>
              <w:spacing w:before="60" w:after="40"/>
            </w:pPr>
            <w:r>
              <w:rPr>
                <w:rFonts w:ascii="Calibri" w:hAnsi="Calibri"/>
                <w:b w:val="0"/>
                <w:i w:val="0"/>
                <w:color w:val="5A5A5A"/>
                <w:sz w:val="18"/>
              </w:rPr>
              <w:t>#earpiercing  #nosepiercing  #earlobe  #culturalpractice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Body piercing &amp; tattoos</w:t>
            </w:r>
          </w:p>
        </w:tc>
        <w:tc>
          <w:tcPr>
            <w:tcW w:type="dxa" w:w="2160"/>
            <w:vAlign w:val="top"/>
          </w:tcPr>
          <w:p>
            <w:pPr>
              <w:spacing w:after="40" w:before="0" w:line="259" w:lineRule="auto"/>
            </w:pPr>
            <w:r>
              <w:rPr>
                <w:rFonts w:ascii="Calibri" w:hAnsi="Calibri"/>
                <w:b w:val="0"/>
                <w:i w:val="0"/>
                <w:color w:val="212121"/>
                <w:sz w:val="19"/>
              </w:rPr>
              <w:t>Pierced or tattooed individuals</w:t>
            </w:r>
          </w:p>
        </w:tc>
        <w:tc>
          <w:tcPr>
            <w:tcW w:type="dxa" w:w="4276"/>
            <w:vAlign w:val="top"/>
          </w:tcPr>
          <w:p>
            <w:pPr>
              <w:spacing w:after="60" w:line="259" w:lineRule="auto"/>
            </w:pPr>
            <w:r>
              <w:rPr>
                <w:rFonts w:ascii="Calibri" w:hAnsi="Calibri"/>
                <w:b w:val="0"/>
                <w:i w:val="0"/>
                <w:color w:val="212121"/>
                <w:sz w:val="19"/>
              </w:rPr>
              <w:t>Piercings (especially high ear-cartilage), tattoos and other elective skin trauma repeatedly breach the dermis and can seed keloids in predisposed skin.</w:t>
            </w:r>
          </w:p>
          <w:p>
            <w:pPr>
              <w:spacing w:after="40" w:before="60" w:line="259" w:lineRule="auto"/>
            </w:pPr>
            <w:r>
              <w:rPr>
                <w:rFonts w:ascii="Calibri" w:hAnsi="Calibri"/>
                <w:b w:val="0"/>
                <w:i w:val="0"/>
                <w:color w:val="212121"/>
                <w:sz w:val="19"/>
              </w:rPr>
              <w:t>Keloids commonly follow skin injuries including piercings, tattoos, acne, surgery and burns.</w:t>
            </w:r>
          </w:p>
          <w:p>
            <w:pPr>
              <w:spacing w:after="40" w:line="252" w:lineRule="auto"/>
            </w:pPr>
            <w:hyperlink r:id="rId9">
              <w:r>
                <w:rPr>
                  <w:rFonts w:ascii="Calibri" w:hAnsi="Calibri" w:cs="Calibri"/>
                  <w:sz w:val="18"/>
                  <w:color w:val="1155CC"/>
                  <w:u w:val="single"/>
                </w:rPr>
                <w:t xml:space="preserve">aad.org — keloid triggers</w:t>
              </w:r>
            </w:hyperlink>
          </w:p>
          <w:p>
            <w:pPr>
              <w:spacing w:before="60" w:after="40"/>
            </w:pPr>
            <w:r>
              <w:rPr>
                <w:rFonts w:ascii="Calibri" w:hAnsi="Calibri"/>
                <w:b w:val="0"/>
                <w:i w:val="0"/>
                <w:color w:val="5A5A5A"/>
                <w:sz w:val="18"/>
              </w:rPr>
              <w:t>#piercing  #tattoo  #skintrauma  #elective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Grooming / shaving</w:t>
            </w:r>
          </w:p>
        </w:tc>
        <w:tc>
          <w:tcPr>
            <w:tcW w:type="dxa" w:w="2160"/>
            <w:vAlign w:val="top"/>
          </w:tcPr>
          <w:p>
            <w:pPr>
              <w:spacing w:after="40" w:before="0" w:line="259" w:lineRule="auto"/>
            </w:pPr>
            <w:r>
              <w:rPr>
                <w:rFonts w:ascii="Calibri" w:hAnsi="Calibri"/>
                <w:b w:val="0"/>
                <w:i w:val="0"/>
                <w:color w:val="212121"/>
                <w:sz w:val="19"/>
              </w:rPr>
              <w:t>Young men with acne keloidalis nuchae</w:t>
            </w:r>
          </w:p>
        </w:tc>
        <w:tc>
          <w:tcPr>
            <w:tcW w:type="dxa" w:w="4276"/>
            <w:vAlign w:val="top"/>
          </w:tcPr>
          <w:p>
            <w:pPr>
              <w:spacing w:after="60" w:line="259" w:lineRule="auto"/>
            </w:pPr>
            <w:r>
              <w:rPr>
                <w:rFonts w:ascii="Calibri" w:hAnsi="Calibri"/>
                <w:b w:val="0"/>
                <w:i w:val="0"/>
                <w:color w:val="212121"/>
                <w:sz w:val="19"/>
              </w:rPr>
              <w:t>Close shaving of the occiput/posterior neck and ingrown hairs drive chronic folliculitis that keloidises — acne keloidalis nuchae — predominantly in young men of African or Asian descent.</w:t>
            </w:r>
          </w:p>
          <w:p>
            <w:pPr>
              <w:spacing w:after="40" w:before="60" w:line="259" w:lineRule="auto"/>
            </w:pPr>
            <w:r>
              <w:rPr>
                <w:rFonts w:ascii="Calibri" w:hAnsi="Calibri"/>
                <w:b w:val="0"/>
                <w:i w:val="0"/>
                <w:color w:val="212121"/>
                <w:sz w:val="19"/>
              </w:rPr>
              <w:t>Chronic folliculitis and acne are recognised inflammatory triggers of keloid formation.</w:t>
            </w:r>
          </w:p>
          <w:p>
            <w:pPr>
              <w:spacing w:after="40" w:line="252" w:lineRule="auto"/>
            </w:pPr>
            <w:hyperlink r:id="rId10">
              <w:r>
                <w:rPr>
                  <w:rFonts w:ascii="Calibri" w:hAnsi="Calibri" w:cs="Calibri"/>
                  <w:sz w:val="18"/>
                  <w:color w:val="1155CC"/>
                  <w:u w:val="single"/>
                </w:rPr>
                <w:t xml:space="preserve">StatPearls (NCBI) — Keloid, causes</w:t>
              </w:r>
            </w:hyperlink>
          </w:p>
          <w:p>
            <w:pPr>
              <w:spacing w:before="60" w:after="40"/>
            </w:pPr>
            <w:r>
              <w:rPr>
                <w:rFonts w:ascii="Calibri" w:hAnsi="Calibri"/>
                <w:b w:val="0"/>
                <w:i w:val="0"/>
                <w:color w:val="5A5A5A"/>
                <w:sz w:val="18"/>
              </w:rPr>
              <w:t>#acnekeloidalis  #folliculitis  #shaving  #nape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with wounds</w:t>
            </w:r>
          </w:p>
        </w:tc>
        <w:tc>
          <w:tcPr>
            <w:tcW w:type="dxa" w:w="4276"/>
            <w:vAlign w:val="top"/>
          </w:tcPr>
          <w:p>
            <w:pPr>
              <w:spacing w:after="60" w:line="259" w:lineRule="auto"/>
            </w:pPr>
            <w:r>
              <w:rPr>
                <w:rFonts w:ascii="Calibri" w:hAnsi="Calibri"/>
                <w:b w:val="0"/>
                <w:i w:val="0"/>
                <w:color w:val="212121"/>
                <w:sz w:val="19"/>
              </w:rPr>
              <w:t>Smoking impairs wound healing and increases infection/dehiscence, which can worsen scarring; its direct link to keloid formation is complex, with some studies reporting a paradoxical inverse association.</w:t>
            </w:r>
          </w:p>
          <w:p>
            <w:pPr>
              <w:spacing w:after="40" w:before="60" w:line="259" w:lineRule="auto"/>
            </w:pPr>
            <w:r>
              <w:rPr>
                <w:rFonts w:ascii="Calibri" w:hAnsi="Calibri"/>
                <w:b w:val="0"/>
                <w:i w:val="0"/>
                <w:color w:val="212121"/>
                <w:sz w:val="19"/>
              </w:rPr>
              <w:t>General clinical evidence: smoking impairs cutaneous wound healing; cessation is advised peri-operatively.</w:t>
            </w:r>
          </w:p>
          <w:p>
            <w:pPr>
              <w:spacing w:before="60" w:after="40"/>
            </w:pPr>
            <w:r>
              <w:rPr>
                <w:rFonts w:ascii="Calibri" w:hAnsi="Calibri"/>
                <w:b w:val="0"/>
                <w:i w:val="0"/>
                <w:color w:val="5A5A5A"/>
                <w:sz w:val="18"/>
              </w:rPr>
              <w:t>#smoking  #woundhealing  #perioperative  #paradox</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Wound-healing micronutrients</w:t>
            </w:r>
          </w:p>
        </w:tc>
        <w:tc>
          <w:tcPr>
            <w:tcW w:type="dxa" w:w="2160"/>
            <w:vAlign w:val="top"/>
          </w:tcPr>
          <w:p>
            <w:pPr>
              <w:spacing w:after="40" w:before="0" w:line="259" w:lineRule="auto"/>
            </w:pPr>
            <w:r>
              <w:rPr>
                <w:rFonts w:ascii="Calibri" w:hAnsi="Calibri"/>
                <w:b w:val="0"/>
                <w:i w:val="0"/>
                <w:color w:val="212121"/>
                <w:sz w:val="19"/>
              </w:rPr>
              <w:t>Protein / vitamin C / zinc deficient individuals</w:t>
            </w:r>
          </w:p>
        </w:tc>
        <w:tc>
          <w:tcPr>
            <w:tcW w:type="dxa" w:w="4276"/>
            <w:vAlign w:val="top"/>
          </w:tcPr>
          <w:p>
            <w:pPr>
              <w:spacing w:after="60" w:line="259" w:lineRule="auto"/>
            </w:pPr>
            <w:r>
              <w:rPr>
                <w:rFonts w:ascii="Calibri" w:hAnsi="Calibri"/>
                <w:b w:val="0"/>
                <w:i w:val="0"/>
                <w:color w:val="212121"/>
                <w:sz w:val="19"/>
              </w:rPr>
              <w:t>Deficiency of protein, vitamin C and zinc impairs orderly collagen synthesis and remodelling, prolonging the inflammatory phase that predisposes to abnormal scarring.</w:t>
            </w:r>
          </w:p>
          <w:p>
            <w:pPr>
              <w:spacing w:after="40" w:before="60" w:line="259" w:lineRule="auto"/>
            </w:pPr>
            <w:r>
              <w:rPr>
                <w:rFonts w:ascii="Calibri" w:hAnsi="Calibri"/>
                <w:b w:val="0"/>
                <w:i w:val="0"/>
                <w:color w:val="212121"/>
                <w:sz w:val="19"/>
              </w:rPr>
              <w:t>General clinical statement: undernutrition and micronutrient deficiency impair wound healing and collagen remodelling.</w:t>
            </w:r>
          </w:p>
          <w:p>
            <w:pPr>
              <w:spacing w:before="60" w:after="40"/>
            </w:pPr>
            <w:r>
              <w:rPr>
                <w:rFonts w:ascii="Calibri" w:hAnsi="Calibri"/>
                <w:b w:val="0"/>
                <w:i w:val="0"/>
                <w:color w:val="5A5A5A"/>
                <w:sz w:val="18"/>
              </w:rPr>
              <w:t>#protein  #vitaminc  #zinc  #nutrition  #woundhealing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D</w:t>
            </w:r>
          </w:p>
        </w:tc>
        <w:tc>
          <w:tcPr>
            <w:tcW w:type="dxa" w:w="2160"/>
            <w:vAlign w:val="top"/>
          </w:tcPr>
          <w:p>
            <w:pPr>
              <w:spacing w:after="40" w:before="0" w:line="259" w:lineRule="auto"/>
            </w:pPr>
            <w:r>
              <w:rPr>
                <w:rFonts w:ascii="Calibri" w:hAnsi="Calibri"/>
                <w:b w:val="0"/>
                <w:i w:val="0"/>
                <w:color w:val="212121"/>
                <w:sz w:val="19"/>
              </w:rPr>
              <w:t>Vitamin-D-deficient adults</w:t>
            </w:r>
          </w:p>
        </w:tc>
        <w:tc>
          <w:tcPr>
            <w:tcW w:type="dxa" w:w="4276"/>
            <w:vAlign w:val="top"/>
          </w:tcPr>
          <w:p>
            <w:pPr>
              <w:spacing w:after="60" w:line="259" w:lineRule="auto"/>
            </w:pPr>
            <w:r>
              <w:rPr>
                <w:rFonts w:ascii="Calibri" w:hAnsi="Calibri"/>
                <w:b w:val="0"/>
                <w:i w:val="0"/>
                <w:color w:val="212121"/>
                <w:sz w:val="19"/>
              </w:rPr>
              <w:t>Vitamin D deficiency is highly prevalent in India (pigmented skin, limited sun exposure) and has been reported at lower serum levels in keloid patients, with a possible role in fibroblast regulation.</w:t>
            </w:r>
          </w:p>
          <w:p>
            <w:pPr>
              <w:spacing w:after="40" w:before="60" w:line="259" w:lineRule="auto"/>
            </w:pPr>
            <w:r>
              <w:rPr>
                <w:rFonts w:ascii="Calibri" w:hAnsi="Calibri"/>
                <w:b w:val="0"/>
                <w:i w:val="0"/>
                <w:color w:val="212121"/>
                <w:sz w:val="19"/>
              </w:rPr>
              <w:t>General clinical statement: lower serum vitamin D has been reported in keloid patients (association, not established causation).</w:t>
            </w:r>
          </w:p>
          <w:p>
            <w:pPr>
              <w:spacing w:before="60" w:after="40"/>
            </w:pPr>
            <w:r>
              <w:rPr>
                <w:rFonts w:ascii="Calibri" w:hAnsi="Calibri"/>
                <w:b w:val="0"/>
                <w:i w:val="0"/>
                <w:color w:val="5A5A5A"/>
                <w:sz w:val="18"/>
              </w:rPr>
              <w:t>#vitamind  #deficiency  #india  #fibroblast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keloids</w:t>
            </w:r>
          </w:p>
        </w:tc>
        <w:tc>
          <w:tcPr>
            <w:tcW w:type="dxa" w:w="4276"/>
            <w:vAlign w:val="top"/>
          </w:tcPr>
          <w:p>
            <w:pPr>
              <w:spacing w:after="60" w:line="259" w:lineRule="auto"/>
            </w:pPr>
            <w:r>
              <w:rPr>
                <w:rFonts w:ascii="Calibri" w:hAnsi="Calibri"/>
                <w:b w:val="0"/>
                <w:i w:val="0"/>
                <w:color w:val="212121"/>
                <w:sz w:val="19"/>
              </w:rPr>
              <w:t>Inherited susceptibility strongly increases risk; familial keloids are common, particularly in people of African or Asian descent.</w:t>
            </w:r>
          </w:p>
          <w:p>
            <w:pPr>
              <w:spacing w:after="40" w:before="60" w:line="259" w:lineRule="auto"/>
            </w:pPr>
            <w:r>
              <w:rPr>
                <w:rFonts w:ascii="Calibri" w:hAnsi="Calibri"/>
                <w:b w:val="0"/>
                <w:i w:val="0"/>
                <w:color w:val="212121"/>
                <w:sz w:val="19"/>
              </w:rPr>
              <w:t>Between about 33% and 50% of people with keloids have at least one first-degree relative with the condition.</w:t>
            </w:r>
          </w:p>
          <w:p>
            <w:pPr>
              <w:spacing w:after="40" w:line="252" w:lineRule="auto"/>
            </w:pPr>
            <w:hyperlink r:id="rId12">
              <w:r>
                <w:rPr>
                  <w:rFonts w:ascii="Calibri" w:hAnsi="Calibri" w:cs="Calibri"/>
                  <w:sz w:val="18"/>
                  <w:color w:val="1155CC"/>
                  <w:u w:val="single"/>
                </w:rPr>
                <w:t xml:space="preserve">aad.org — keloids overview (family history)</w:t>
              </w:r>
            </w:hyperlink>
          </w:p>
          <w:p>
            <w:pPr>
              <w:spacing w:before="60" w:after="40"/>
            </w:pPr>
            <w:r>
              <w:rPr>
                <w:rFonts w:ascii="Calibri" w:hAnsi="Calibri"/>
                <w:b w:val="0"/>
                <w:i w:val="0"/>
                <w:color w:val="5A5A5A"/>
                <w:sz w:val="18"/>
              </w:rPr>
              <w:t>#familyhistory  #inherited  #susceptibility  #firstdegree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Syndromic</w:t>
            </w:r>
          </w:p>
        </w:tc>
        <w:tc>
          <w:tcPr>
            <w:tcW w:type="dxa" w:w="2160"/>
            <w:vAlign w:val="top"/>
          </w:tcPr>
          <w:p>
            <w:pPr>
              <w:spacing w:after="40" w:before="0" w:line="259" w:lineRule="auto"/>
            </w:pPr>
            <w:r>
              <w:rPr>
                <w:rFonts w:ascii="Calibri" w:hAnsi="Calibri"/>
                <w:b w:val="0"/>
                <w:i w:val="0"/>
                <w:color w:val="212121"/>
                <w:sz w:val="19"/>
              </w:rPr>
              <w:t>Rubinstein–Taybi &amp; Goeminne syndromes</w:t>
            </w:r>
          </w:p>
        </w:tc>
        <w:tc>
          <w:tcPr>
            <w:tcW w:type="dxa" w:w="4276"/>
            <w:vAlign w:val="top"/>
          </w:tcPr>
          <w:p>
            <w:pPr>
              <w:spacing w:after="60" w:line="259" w:lineRule="auto"/>
            </w:pPr>
            <w:r>
              <w:rPr>
                <w:rFonts w:ascii="Calibri" w:hAnsi="Calibri"/>
                <w:b w:val="0"/>
                <w:i w:val="0"/>
                <w:color w:val="212121"/>
                <w:sz w:val="19"/>
              </w:rPr>
              <w:t>Rare genetic syndromes are associated with a markedly increased tendency to keloid formation, reflecting monogenic contributions to the phenotype.</w:t>
            </w:r>
          </w:p>
          <w:p>
            <w:pPr>
              <w:spacing w:after="40" w:before="60" w:line="259" w:lineRule="auto"/>
            </w:pPr>
            <w:r>
              <w:rPr>
                <w:rFonts w:ascii="Calibri" w:hAnsi="Calibri"/>
                <w:b w:val="0"/>
                <w:i w:val="0"/>
                <w:color w:val="212121"/>
                <w:sz w:val="19"/>
              </w:rPr>
              <w:t>Rare syndromes such as Rubinstein–Taybi and Goeminne syndrome increase keloid risk.</w:t>
            </w:r>
          </w:p>
          <w:p>
            <w:pPr>
              <w:spacing w:after="40" w:line="252" w:lineRule="auto"/>
            </w:pPr>
            <w:hyperlink r:id="rId10">
              <w:r>
                <w:rPr>
                  <w:rFonts w:ascii="Calibri" w:hAnsi="Calibri" w:cs="Calibri"/>
                  <w:sz w:val="18"/>
                  <w:color w:val="1155CC"/>
                  <w:u w:val="single"/>
                </w:rPr>
                <w:t xml:space="preserve">StatPearls (NCBI) — Keloid, genetics</w:t>
              </w:r>
            </w:hyperlink>
          </w:p>
          <w:p>
            <w:pPr>
              <w:spacing w:before="60" w:after="40"/>
            </w:pPr>
            <w:r>
              <w:rPr>
                <w:rFonts w:ascii="Calibri" w:hAnsi="Calibri"/>
                <w:b w:val="0"/>
                <w:i w:val="0"/>
                <w:color w:val="5A5A5A"/>
                <w:sz w:val="18"/>
              </w:rPr>
              <w:t>#syndromic  #rubinsteintaybi  #goeminne  #monogenic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Blood group &amp; HLA</w:t>
            </w:r>
          </w:p>
        </w:tc>
        <w:tc>
          <w:tcPr>
            <w:tcW w:type="dxa" w:w="2160"/>
            <w:vAlign w:val="top"/>
          </w:tcPr>
          <w:p>
            <w:pPr>
              <w:spacing w:after="40" w:before="0" w:line="259" w:lineRule="auto"/>
            </w:pPr>
            <w:r>
              <w:rPr>
                <w:rFonts w:ascii="Calibri" w:hAnsi="Calibri"/>
                <w:b w:val="0"/>
                <w:i w:val="0"/>
                <w:color w:val="212121"/>
                <w:sz w:val="19"/>
              </w:rPr>
              <w:t>Blood group A / specific HLA haplotypes</w:t>
            </w:r>
          </w:p>
        </w:tc>
        <w:tc>
          <w:tcPr>
            <w:tcW w:type="dxa" w:w="4276"/>
            <w:vAlign w:val="top"/>
          </w:tcPr>
          <w:p>
            <w:pPr>
              <w:spacing w:after="60" w:line="259" w:lineRule="auto"/>
            </w:pPr>
            <w:r>
              <w:rPr>
                <w:rFonts w:ascii="Calibri" w:hAnsi="Calibri"/>
                <w:b w:val="0"/>
                <w:i w:val="0"/>
                <w:color w:val="212121"/>
                <w:sz w:val="19"/>
              </w:rPr>
              <w:t>Associations with blood group A and certain HLA haplotypes suggest an immunogenetic contribution to keloid susceptibility.</w:t>
            </w:r>
          </w:p>
          <w:p>
            <w:pPr>
              <w:spacing w:after="40" w:before="60" w:line="259" w:lineRule="auto"/>
            </w:pPr>
            <w:r>
              <w:rPr>
                <w:rFonts w:ascii="Calibri" w:hAnsi="Calibri"/>
                <w:b w:val="0"/>
                <w:i w:val="0"/>
                <w:color w:val="212121"/>
                <w:sz w:val="19"/>
              </w:rPr>
              <w:t>A genetic association has been noted with some HLA haplotypes and blood group A.</w:t>
            </w:r>
          </w:p>
          <w:p>
            <w:pPr>
              <w:spacing w:after="40" w:line="252" w:lineRule="auto"/>
            </w:pPr>
            <w:hyperlink r:id="rId11">
              <w:r>
                <w:rPr>
                  <w:rFonts w:ascii="Calibri" w:hAnsi="Calibri" w:cs="Calibri"/>
                  <w:sz w:val="18"/>
                  <w:color w:val="1155CC"/>
                  <w:u w:val="single"/>
                </w:rPr>
                <w:t xml:space="preserve">dermnetnz.org — keloid genetics</w:t>
              </w:r>
            </w:hyperlink>
          </w:p>
          <w:p>
            <w:pPr>
              <w:spacing w:before="60" w:after="40"/>
            </w:pPr>
            <w:r>
              <w:rPr>
                <w:rFonts w:ascii="Calibri" w:hAnsi="Calibri"/>
                <w:b w:val="0"/>
                <w:i w:val="0"/>
                <w:color w:val="5A5A5A"/>
                <w:sz w:val="18"/>
              </w:rPr>
              <w:t>#hla  #bloodgroupA  #immunogenetics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Acne &amp; folliculitis</w:t>
            </w:r>
          </w:p>
        </w:tc>
        <w:tc>
          <w:tcPr>
            <w:tcW w:type="dxa" w:w="2160"/>
            <w:vAlign w:val="top"/>
          </w:tcPr>
          <w:p>
            <w:pPr>
              <w:spacing w:after="40" w:before="0" w:line="259" w:lineRule="auto"/>
            </w:pPr>
            <w:r>
              <w:rPr>
                <w:rFonts w:ascii="Calibri" w:hAnsi="Calibri"/>
                <w:b w:val="0"/>
                <w:i w:val="0"/>
                <w:color w:val="212121"/>
                <w:sz w:val="19"/>
              </w:rPr>
              <w:t>Inflammatory acne / folliculitis (incl. chest, back, nape)</w:t>
            </w:r>
          </w:p>
        </w:tc>
        <w:tc>
          <w:tcPr>
            <w:tcW w:type="dxa" w:w="4276"/>
            <w:vAlign w:val="top"/>
          </w:tcPr>
          <w:p>
            <w:pPr>
              <w:spacing w:after="60" w:line="259" w:lineRule="auto"/>
            </w:pPr>
            <w:r>
              <w:rPr>
                <w:rFonts w:ascii="Calibri" w:hAnsi="Calibri"/>
                <w:b w:val="0"/>
                <w:i w:val="0"/>
                <w:color w:val="212121"/>
                <w:sz w:val="19"/>
              </w:rPr>
              <w:t>Chronic cutaneous inflammation from acne and folliculitis is a frequent precursor of keloids, especially over the chest, shoulders, upper back and nape.</w:t>
            </w:r>
          </w:p>
          <w:p>
            <w:pPr>
              <w:spacing w:after="40" w:before="60" w:line="259" w:lineRule="auto"/>
            </w:pPr>
            <w:r>
              <w:rPr>
                <w:rFonts w:ascii="Calibri" w:hAnsi="Calibri"/>
                <w:b w:val="0"/>
                <w:i w:val="0"/>
                <w:color w:val="212121"/>
                <w:sz w:val="19"/>
              </w:rPr>
              <w:t>Acne and folliculitis are recognised inflammatory triggers of keloid formation.</w:t>
            </w:r>
          </w:p>
          <w:p>
            <w:pPr>
              <w:spacing w:after="40" w:line="252" w:lineRule="auto"/>
            </w:pPr>
            <w:hyperlink r:id="rId9">
              <w:r>
                <w:rPr>
                  <w:rFonts w:ascii="Calibri" w:hAnsi="Calibri" w:cs="Calibri"/>
                  <w:sz w:val="18"/>
                  <w:color w:val="1155CC"/>
                  <w:u w:val="single"/>
                </w:rPr>
                <w:t xml:space="preserve">aad.org — keloids after acne</w:t>
              </w:r>
            </w:hyperlink>
          </w:p>
          <w:p>
            <w:pPr>
              <w:spacing w:before="60" w:after="40"/>
            </w:pPr>
            <w:r>
              <w:rPr>
                <w:rFonts w:ascii="Calibri" w:hAnsi="Calibri"/>
                <w:b w:val="0"/>
                <w:i w:val="0"/>
                <w:color w:val="5A5A5A"/>
                <w:sz w:val="18"/>
              </w:rPr>
              <w:t>#acne  #folliculitis  #chestkeloid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Burns</w:t>
            </w:r>
          </w:p>
        </w:tc>
        <w:tc>
          <w:tcPr>
            <w:tcW w:type="dxa" w:w="2160"/>
            <w:vAlign w:val="top"/>
          </w:tcPr>
          <w:p>
            <w:pPr>
              <w:spacing w:after="40" w:before="0" w:line="259" w:lineRule="auto"/>
            </w:pPr>
            <w:r>
              <w:rPr>
                <w:rFonts w:ascii="Calibri" w:hAnsi="Calibri"/>
                <w:b w:val="0"/>
                <w:i w:val="0"/>
                <w:color w:val="212121"/>
                <w:sz w:val="19"/>
              </w:rPr>
              <w:t>Deep burn / traumatic-wound survivors</w:t>
            </w:r>
          </w:p>
        </w:tc>
        <w:tc>
          <w:tcPr>
            <w:tcW w:type="dxa" w:w="4276"/>
            <w:vAlign w:val="top"/>
          </w:tcPr>
          <w:p>
            <w:pPr>
              <w:spacing w:after="60" w:line="259" w:lineRule="auto"/>
            </w:pPr>
            <w:r>
              <w:rPr>
                <w:rFonts w:ascii="Calibri" w:hAnsi="Calibri"/>
                <w:b w:val="0"/>
                <w:i w:val="0"/>
                <w:color w:val="212121"/>
                <w:sz w:val="19"/>
              </w:rPr>
              <w:t>Deep partial- and full-thickness burns heal with hypertrophic scarring and contractures; India carries a very high burn burden, especially among women, making post-burn scarring a major cause of disability.</w:t>
            </w:r>
          </w:p>
          <w:p>
            <w:pPr>
              <w:spacing w:after="40" w:before="60" w:line="259" w:lineRule="auto"/>
            </w:pPr>
            <w:r>
              <w:rPr>
                <w:rFonts w:ascii="Calibri" w:hAnsi="Calibri"/>
                <w:b w:val="0"/>
                <w:i w:val="0"/>
                <w:color w:val="212121"/>
                <w:sz w:val="19"/>
              </w:rPr>
              <w:t>Hypertrophic scars and contractures are characteristic sequelae of deep burns and can occur in all skin types.</w:t>
            </w:r>
          </w:p>
          <w:p>
            <w:pPr>
              <w:spacing w:after="40" w:line="252" w:lineRule="auto"/>
            </w:pPr>
            <w:hyperlink r:id="rId11">
              <w:r>
                <w:rPr>
                  <w:rFonts w:ascii="Calibri" w:hAnsi="Calibri" w:cs="Calibri"/>
                  <w:sz w:val="18"/>
                  <w:color w:val="1155CC"/>
                  <w:u w:val="single"/>
                </w:rPr>
                <w:t xml:space="preserve">dermnetnz.org — hypertrophic scarring</w:t>
              </w:r>
            </w:hyperlink>
          </w:p>
          <w:p>
            <w:pPr>
              <w:spacing w:before="60" w:after="40"/>
            </w:pPr>
            <w:r>
              <w:rPr>
                <w:rFonts w:ascii="Calibri" w:hAnsi="Calibri"/>
                <w:b w:val="0"/>
                <w:i w:val="0"/>
                <w:color w:val="5A5A5A"/>
                <w:sz w:val="18"/>
              </w:rPr>
              <w:t>#burns  #contracture  #hypertrophic  #disability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Hormonal states</w:t>
            </w:r>
          </w:p>
        </w:tc>
        <w:tc>
          <w:tcPr>
            <w:tcW w:type="dxa" w:w="2160"/>
            <w:vAlign w:val="top"/>
          </w:tcPr>
          <w:p>
            <w:pPr>
              <w:spacing w:after="40" w:before="0" w:line="259" w:lineRule="auto"/>
            </w:pPr>
            <w:r>
              <w:rPr>
                <w:rFonts w:ascii="Calibri" w:hAnsi="Calibri"/>
                <w:b w:val="0"/>
                <w:i w:val="0"/>
                <w:color w:val="212121"/>
                <w:sz w:val="19"/>
              </w:rPr>
              <w:t>Pregnancy &amp; puberty</w:t>
            </w:r>
          </w:p>
        </w:tc>
        <w:tc>
          <w:tcPr>
            <w:tcW w:type="dxa" w:w="4276"/>
            <w:vAlign w:val="top"/>
          </w:tcPr>
          <w:p>
            <w:pPr>
              <w:spacing w:after="60" w:line="259" w:lineRule="auto"/>
            </w:pPr>
            <w:r>
              <w:rPr>
                <w:rFonts w:ascii="Calibri" w:hAnsi="Calibri"/>
                <w:b w:val="0"/>
                <w:i w:val="0"/>
                <w:color w:val="212121"/>
                <w:sz w:val="19"/>
              </w:rPr>
              <w:t>Hormonal surges in puberty and pregnancy raise keloid risk and can cause existing lesions to enlarge, implicating hormonal modulation of fibroblast activity.</w:t>
            </w:r>
          </w:p>
          <w:p>
            <w:pPr>
              <w:spacing w:after="40" w:before="60" w:line="259" w:lineRule="auto"/>
            </w:pPr>
            <w:r>
              <w:rPr>
                <w:rFonts w:ascii="Calibri" w:hAnsi="Calibri"/>
                <w:b w:val="0"/>
                <w:i w:val="0"/>
                <w:color w:val="212121"/>
                <w:sz w:val="19"/>
              </w:rPr>
              <w:t>Keloid formation is notably elevated during pregnancy and puberty.</w:t>
            </w:r>
          </w:p>
          <w:p>
            <w:pPr>
              <w:spacing w:after="40" w:line="252" w:lineRule="auto"/>
            </w:pPr>
            <w:hyperlink r:id="rId10">
              <w:r>
                <w:rPr>
                  <w:rFonts w:ascii="Calibri" w:hAnsi="Calibri" w:cs="Calibri"/>
                  <w:sz w:val="18"/>
                  <w:color w:val="1155CC"/>
                  <w:u w:val="single"/>
                </w:rPr>
                <w:t xml:space="preserve">StatPearls (NCBI) — Keloid, risk factors</w:t>
              </w:r>
            </w:hyperlink>
          </w:p>
          <w:p>
            <w:pPr>
              <w:spacing w:before="60" w:after="40"/>
            </w:pPr>
            <w:r>
              <w:rPr>
                <w:rFonts w:ascii="Calibri" w:hAnsi="Calibri"/>
                <w:b w:val="0"/>
                <w:i w:val="0"/>
                <w:color w:val="5A5A5A"/>
                <w:sz w:val="18"/>
              </w:rPr>
              <w:t>#pregnancy  #puberty  #hormonal  #fibroblast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Hypertensive keloid patients</w:t>
            </w:r>
          </w:p>
        </w:tc>
        <w:tc>
          <w:tcPr>
            <w:tcW w:type="dxa" w:w="4276"/>
            <w:vAlign w:val="top"/>
          </w:tcPr>
          <w:p>
            <w:pPr>
              <w:spacing w:after="60" w:line="259" w:lineRule="auto"/>
            </w:pPr>
            <w:r>
              <w:rPr>
                <w:rFonts w:ascii="Calibri" w:hAnsi="Calibri"/>
                <w:b w:val="0"/>
                <w:i w:val="0"/>
                <w:color w:val="212121"/>
                <w:sz w:val="19"/>
              </w:rPr>
              <w:t>Hypertension has been reported in association with larger and more severe keloids, possibly through vascular/mechanical effects on dermal fibroblasts; the relationship is associative.</w:t>
            </w:r>
          </w:p>
          <w:p>
            <w:pPr>
              <w:spacing w:after="40" w:before="60" w:line="259" w:lineRule="auto"/>
            </w:pPr>
            <w:r>
              <w:rPr>
                <w:rFonts w:ascii="Calibri" w:hAnsi="Calibri"/>
                <w:b w:val="0"/>
                <w:i w:val="0"/>
                <w:color w:val="212121"/>
                <w:sz w:val="19"/>
              </w:rPr>
              <w:t>General clinical statement: hypertension has been reported to associate with keloid size/severity (association, not established causation).</w:t>
            </w:r>
          </w:p>
          <w:p>
            <w:pPr>
              <w:spacing w:before="60" w:after="40"/>
            </w:pPr>
            <w:r>
              <w:rPr>
                <w:rFonts w:ascii="Calibri" w:hAnsi="Calibri"/>
                <w:b w:val="0"/>
                <w:i w:val="0"/>
                <w:color w:val="5A5A5A"/>
                <w:sz w:val="18"/>
              </w:rPr>
              <w:t>#hypertension  #severity  #vascular</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 primary driver, but repeated mechanical stretching or re-injury of an immature scar at high-tension/high-motion sites (chest, shoulder, over joints) worsens hypertrophic and keloid scarring; tension offloading helps.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specific keloidogenic diet, but adequate protein, vitamin C and zinc are needed for orderly collagen remodelling; deficiency and obesity are linked to poorer or more severe scarring.</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supports tissue repair; poorly controlled nocturnal itch drives scratching that perpetuates inflammation and scar growth and disrupts sleep in a vicious cycle.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impairs cutaneous wound healing and increases infection/dehiscence that can worsen scars; its direct link with keloid formation is complex, with some studies reporting a paradoxical inverse association.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impairs wound healing and nutrition, particularly around surgery; no direct causal link with keloid formation is established.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Bidirectional: keloids commonly cause itch, pain and disfigurement with marked distress, anxiety and reduced quality of life; psychological stress may also impair healing behaviours.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skin moisturisation support the barrier and reduce itch, but there is no direct link between water intake and keloid prevention.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Good wound and piercing hygiene reduces secondary infection and prolonged inflammation, which are important drivers of excessive scarring; poor aftercare of piercings and acne increases keloid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Skin trauma is the central trigger — ear/nose piercing, surgery, burns, lacerations, tattoos, BCG vaccination, acne and folliculitis; keloids may follow even trivial injury in predisposed skin.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Fitzpatrick skin phototype</w:t>
            </w:r>
          </w:p>
        </w:tc>
        <w:tc>
          <w:tcPr>
            <w:tcW w:type="dxa" w:w="1655"/>
            <w:vAlign w:val="top"/>
          </w:tcPr>
          <w:p>
            <w:pPr>
              <w:spacing w:after="40" w:before="0" w:line="259" w:lineRule="auto"/>
            </w:pPr>
            <w:r>
              <w:rPr>
                <w:rFonts w:ascii="Calibri" w:hAnsi="Calibri"/>
                <w:b w:val="0"/>
                <w:i w:val="0"/>
                <w:color w:val="212121"/>
                <w:sz w:val="19"/>
              </w:rPr>
              <w:t>All injured skin</w:t>
            </w:r>
          </w:p>
        </w:tc>
        <w:tc>
          <w:tcPr>
            <w:tcW w:type="dxa" w:w="1512"/>
            <w:vAlign w:val="top"/>
          </w:tcPr>
          <w:p>
            <w:pPr>
              <w:spacing w:after="40" w:before="0" w:line="259" w:lineRule="auto"/>
            </w:pPr>
            <w:r>
              <w:rPr>
                <w:rFonts w:ascii="Calibri" w:hAnsi="Calibri"/>
                <w:b w:val="0"/>
                <w:i w:val="0"/>
                <w:color w:val="212121"/>
                <w:sz w:val="19"/>
              </w:rPr>
              <w:t>Type I–II (low propensity)</w:t>
            </w:r>
          </w:p>
        </w:tc>
        <w:tc>
          <w:tcPr>
            <w:tcW w:type="dxa" w:w="1512"/>
            <w:vAlign w:val="top"/>
          </w:tcPr>
          <w:p>
            <w:pPr>
              <w:spacing w:after="40" w:before="0" w:line="259" w:lineRule="auto"/>
            </w:pPr>
            <w:r>
              <w:rPr>
                <w:rFonts w:ascii="Calibri" w:hAnsi="Calibri"/>
                <w:b w:val="0"/>
                <w:i w:val="0"/>
                <w:color w:val="212121"/>
                <w:sz w:val="19"/>
              </w:rPr>
              <w:t>Type IV–VI (high propensity)</w:t>
            </w:r>
          </w:p>
        </w:tc>
        <w:tc>
          <w:tcPr>
            <w:tcW w:type="dxa" w:w="1468"/>
            <w:vAlign w:val="top"/>
          </w:tcPr>
          <w:p>
            <w:pPr>
              <w:spacing w:after="60" w:line="259" w:lineRule="auto"/>
            </w:pPr>
            <w:r>
              <w:rPr>
                <w:rFonts w:ascii="Calibri" w:hAnsi="Calibri"/>
                <w:b w:val="0"/>
                <w:i w:val="0"/>
                <w:color w:val="212121"/>
                <w:sz w:val="19"/>
              </w:rPr>
              <w:t>Pigmented phototypes predominant in India carry the highest keloid risk.</w:t>
            </w:r>
          </w:p>
          <w:p>
            <w:pPr>
              <w:spacing w:after="40" w:line="252" w:lineRule="auto"/>
            </w:pPr>
            <w:hyperlink r:id="rId10">
              <w:r>
                <w:rPr>
                  <w:rFonts w:ascii="Calibri" w:hAnsi="Calibri" w:cs="Calibri"/>
                  <w:sz w:val="18"/>
                  <w:color w:val="1155CC"/>
                  <w:u w:val="single"/>
                </w:rPr>
                <w:t xml:space="preserve">https://www.ncbi.nlm.nih.gov/books/NBK507899/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High-risk anatomical site</w:t>
            </w:r>
          </w:p>
        </w:tc>
        <w:tc>
          <w:tcPr>
            <w:tcW w:type="dxa" w:w="1655"/>
            <w:vAlign w:val="top"/>
          </w:tcPr>
          <w:p>
            <w:pPr>
              <w:spacing w:after="40" w:before="0" w:line="259" w:lineRule="auto"/>
            </w:pPr>
            <w:r>
              <w:rPr>
                <w:rFonts w:ascii="Calibri" w:hAnsi="Calibri"/>
                <w:b w:val="0"/>
                <w:i w:val="0"/>
                <w:color w:val="212121"/>
                <w:sz w:val="19"/>
              </w:rPr>
              <w:t>Wounds &amp; piercings</w:t>
            </w:r>
          </w:p>
        </w:tc>
        <w:tc>
          <w:tcPr>
            <w:tcW w:type="dxa" w:w="1512"/>
            <w:vAlign w:val="top"/>
          </w:tcPr>
          <w:p>
            <w:pPr>
              <w:spacing w:after="40" w:before="0" w:line="259" w:lineRule="auto"/>
            </w:pPr>
            <w:r>
              <w:rPr>
                <w:rFonts w:ascii="Calibri" w:hAnsi="Calibri"/>
                <w:b w:val="0"/>
                <w:i w:val="0"/>
                <w:color w:val="212121"/>
                <w:sz w:val="19"/>
              </w:rPr>
              <w:t>Low-tension sites (palm, sole — rare)</w:t>
            </w:r>
          </w:p>
        </w:tc>
        <w:tc>
          <w:tcPr>
            <w:tcW w:type="dxa" w:w="1512"/>
            <w:vAlign w:val="top"/>
          </w:tcPr>
          <w:p>
            <w:pPr>
              <w:spacing w:after="40" w:before="0" w:line="259" w:lineRule="auto"/>
            </w:pPr>
            <w:r>
              <w:rPr>
                <w:rFonts w:ascii="Calibri" w:hAnsi="Calibri"/>
                <w:b w:val="0"/>
                <w:i w:val="0"/>
                <w:color w:val="212121"/>
                <w:sz w:val="19"/>
              </w:rPr>
              <w:t>Presternal chest, shoulder, deltoid, earlobe, jawline, upper back</w:t>
            </w:r>
          </w:p>
        </w:tc>
        <w:tc>
          <w:tcPr>
            <w:tcW w:type="dxa" w:w="1468"/>
            <w:vAlign w:val="top"/>
          </w:tcPr>
          <w:p>
            <w:pPr>
              <w:spacing w:after="60" w:line="259" w:lineRule="auto"/>
            </w:pPr>
            <w:r>
              <w:rPr>
                <w:rFonts w:ascii="Calibri" w:hAnsi="Calibri"/>
                <w:b w:val="0"/>
                <w:i w:val="0"/>
                <w:color w:val="212121"/>
                <w:sz w:val="19"/>
              </w:rPr>
              <w:t>Mechanical tension and melanocyte density predict keloid formation.</w:t>
            </w:r>
          </w:p>
          <w:p>
            <w:pPr>
              <w:spacing w:after="40" w:line="252" w:lineRule="auto"/>
            </w:pPr>
            <w:hyperlink r:id="rId10">
              <w:r>
                <w:rPr>
                  <w:rFonts w:ascii="Calibri" w:hAnsi="Calibri" w:cs="Calibri"/>
                  <w:sz w:val="18"/>
                  <w:color w:val="1155CC"/>
                  <w:u w:val="single"/>
                </w:rPr>
                <w:t xml:space="preserve">https://www.ncbi.nlm.nih.gov/books/NBK507899/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Scar behaviour vs wound margin</w:t>
            </w:r>
          </w:p>
        </w:tc>
        <w:tc>
          <w:tcPr>
            <w:tcW w:type="dxa" w:w="1655"/>
            <w:vAlign w:val="top"/>
          </w:tcPr>
          <w:p>
            <w:pPr>
              <w:spacing w:after="40" w:before="0" w:line="259" w:lineRule="auto"/>
            </w:pPr>
            <w:r>
              <w:rPr>
                <w:rFonts w:ascii="Calibri" w:hAnsi="Calibri"/>
                <w:b w:val="0"/>
                <w:i w:val="0"/>
                <w:color w:val="212121"/>
                <w:sz w:val="19"/>
              </w:rPr>
              <w:t>Maturing scars</w:t>
            </w:r>
          </w:p>
        </w:tc>
        <w:tc>
          <w:tcPr>
            <w:tcW w:type="dxa" w:w="1512"/>
            <w:vAlign w:val="top"/>
          </w:tcPr>
          <w:p>
            <w:pPr>
              <w:spacing w:after="40" w:before="0" w:line="259" w:lineRule="auto"/>
            </w:pPr>
            <w:r>
              <w:rPr>
                <w:rFonts w:ascii="Calibri" w:hAnsi="Calibri"/>
                <w:b w:val="0"/>
                <w:i w:val="0"/>
                <w:color w:val="212121"/>
                <w:sz w:val="19"/>
              </w:rPr>
              <w:t>Stays within wound, flattens/regresses by 6–12 months (hypertrophic)</w:t>
            </w:r>
          </w:p>
        </w:tc>
        <w:tc>
          <w:tcPr>
            <w:tcW w:type="dxa" w:w="1512"/>
            <w:vAlign w:val="top"/>
          </w:tcPr>
          <w:p>
            <w:pPr>
              <w:spacing w:after="40" w:before="0" w:line="259" w:lineRule="auto"/>
            </w:pPr>
            <w:r>
              <w:rPr>
                <w:rFonts w:ascii="Calibri" w:hAnsi="Calibri"/>
                <w:b w:val="0"/>
                <w:i w:val="0"/>
                <w:color w:val="212121"/>
                <w:sz w:val="19"/>
              </w:rPr>
              <w:t>Grows beyond original wound margins, no regression (keloid)</w:t>
            </w:r>
          </w:p>
        </w:tc>
        <w:tc>
          <w:tcPr>
            <w:tcW w:type="dxa" w:w="1468"/>
            <w:vAlign w:val="top"/>
          </w:tcPr>
          <w:p>
            <w:pPr>
              <w:spacing w:after="60" w:line="259" w:lineRule="auto"/>
            </w:pPr>
            <w:r>
              <w:rPr>
                <w:rFonts w:ascii="Calibri" w:hAnsi="Calibri"/>
                <w:b w:val="0"/>
                <w:i w:val="0"/>
                <w:color w:val="212121"/>
                <w:sz w:val="19"/>
              </w:rPr>
              <w:t>Extension beyond margins is the defining keloid feature.</w:t>
            </w:r>
          </w:p>
          <w:p>
            <w:pPr>
              <w:spacing w:after="40" w:line="252" w:lineRule="auto"/>
            </w:pPr>
            <w:hyperlink r:id="rId11">
              <w:r>
                <w:rPr>
                  <w:rFonts w:ascii="Calibri" w:hAnsi="Calibri" w:cs="Calibri"/>
                  <w:sz w:val="18"/>
                  <w:color w:val="1155CC"/>
                  <w:u w:val="single"/>
                </w:rPr>
                <w:t xml:space="preserve">https://dermnetnz.org/topics/keloid-and-hypertrophic-scar</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Number/type of piercings</w:t>
            </w:r>
          </w:p>
        </w:tc>
        <w:tc>
          <w:tcPr>
            <w:tcW w:type="dxa" w:w="1655"/>
            <w:vAlign w:val="top"/>
          </w:tcPr>
          <w:p>
            <w:pPr>
              <w:spacing w:after="40" w:before="0" w:line="259" w:lineRule="auto"/>
            </w:pPr>
            <w:r>
              <w:rPr>
                <w:rFonts w:ascii="Calibri" w:hAnsi="Calibri"/>
                <w:b w:val="0"/>
                <w:i w:val="0"/>
                <w:color w:val="212121"/>
                <w:sz w:val="19"/>
              </w:rPr>
              <w:t>Ear/nose piercing</w:t>
            </w:r>
          </w:p>
        </w:tc>
        <w:tc>
          <w:tcPr>
            <w:tcW w:type="dxa" w:w="1512"/>
            <w:vAlign w:val="top"/>
          </w:tcPr>
          <w:p>
            <w:pPr>
              <w:spacing w:after="40" w:before="0" w:line="259" w:lineRule="auto"/>
            </w:pPr>
            <w:r>
              <w:rPr>
                <w:rFonts w:ascii="Calibri" w:hAnsi="Calibri"/>
                <w:b w:val="0"/>
                <w:i w:val="0"/>
                <w:color w:val="212121"/>
                <w:sz w:val="19"/>
              </w:rPr>
              <w:t>0 or a single low-tension lobe piercing</w:t>
            </w:r>
          </w:p>
        </w:tc>
        <w:tc>
          <w:tcPr>
            <w:tcW w:type="dxa" w:w="1512"/>
            <w:vAlign w:val="top"/>
          </w:tcPr>
          <w:p>
            <w:pPr>
              <w:spacing w:after="40" w:before="0" w:line="259" w:lineRule="auto"/>
            </w:pPr>
            <w:r>
              <w:rPr>
                <w:rFonts w:ascii="Calibri" w:hAnsi="Calibri"/>
                <w:b w:val="0"/>
                <w:i w:val="0"/>
                <w:color w:val="212121"/>
                <w:sz w:val="19"/>
              </w:rPr>
              <w:t>Multiple or high ear-cartilage piercings</w:t>
            </w:r>
          </w:p>
        </w:tc>
        <w:tc>
          <w:tcPr>
            <w:tcW w:type="dxa" w:w="1468"/>
            <w:vAlign w:val="top"/>
          </w:tcPr>
          <w:p>
            <w:pPr>
              <w:spacing w:after="60" w:line="259" w:lineRule="auto"/>
            </w:pPr>
            <w:r>
              <w:rPr>
                <w:rFonts w:ascii="Calibri" w:hAnsi="Calibri"/>
                <w:b w:val="0"/>
                <w:i w:val="0"/>
                <w:color w:val="212121"/>
                <w:sz w:val="19"/>
              </w:rPr>
              <w:t>Ear-piercing is a leading trigger of earlobe keloids, especially in India.</w:t>
            </w:r>
          </w:p>
          <w:p>
            <w:pPr>
              <w:spacing w:after="40" w:line="252" w:lineRule="auto"/>
            </w:pPr>
            <w:hyperlink r:id="rId9">
              <w:r>
                <w:rPr>
                  <w:rFonts w:ascii="Calibri" w:hAnsi="Calibri" w:cs="Calibri"/>
                  <w:sz w:val="18"/>
                  <w:color w:val="1155CC"/>
                  <w:u w:val="single"/>
                </w:rPr>
                <w:t xml:space="preserve">https://www.aad.org/public/diseases/a-z/keloids-causes</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Post-injury wound infection / prolonged inflammation</w:t>
            </w:r>
          </w:p>
        </w:tc>
        <w:tc>
          <w:tcPr>
            <w:tcW w:type="dxa" w:w="1655"/>
            <w:vAlign w:val="top"/>
          </w:tcPr>
          <w:p>
            <w:pPr>
              <w:spacing w:after="40" w:before="0" w:line="259" w:lineRule="auto"/>
            </w:pPr>
            <w:r>
              <w:rPr>
                <w:rFonts w:ascii="Calibri" w:hAnsi="Calibri"/>
                <w:b w:val="0"/>
                <w:i w:val="0"/>
                <w:color w:val="212121"/>
                <w:sz w:val="19"/>
              </w:rPr>
              <w:t>Piercings, acne, surgical wounds</w:t>
            </w:r>
          </w:p>
        </w:tc>
        <w:tc>
          <w:tcPr>
            <w:tcW w:type="dxa" w:w="1512"/>
            <w:vAlign w:val="top"/>
          </w:tcPr>
          <w:p>
            <w:pPr>
              <w:spacing w:after="40" w:before="0" w:line="259" w:lineRule="auto"/>
            </w:pPr>
            <w:r>
              <w:rPr>
                <w:rFonts w:ascii="Calibri" w:hAnsi="Calibri"/>
                <w:b w:val="0"/>
                <w:i w:val="0"/>
                <w:color w:val="212121"/>
                <w:sz w:val="19"/>
              </w:rPr>
              <w:t>Clean wound, primary healing</w:t>
            </w:r>
          </w:p>
        </w:tc>
        <w:tc>
          <w:tcPr>
            <w:tcW w:type="dxa" w:w="1512"/>
            <w:vAlign w:val="top"/>
          </w:tcPr>
          <w:p>
            <w:pPr>
              <w:spacing w:after="40" w:before="0" w:line="259" w:lineRule="auto"/>
            </w:pPr>
            <w:r>
              <w:rPr>
                <w:rFonts w:ascii="Calibri" w:hAnsi="Calibri"/>
                <w:b w:val="0"/>
                <w:i w:val="0"/>
                <w:color w:val="212121"/>
                <w:sz w:val="19"/>
              </w:rPr>
              <w:t>Secondary infection or inflammation persisting &gt;3 weeks</w:t>
            </w:r>
          </w:p>
        </w:tc>
        <w:tc>
          <w:tcPr>
            <w:tcW w:type="dxa" w:w="1468"/>
            <w:vAlign w:val="top"/>
          </w:tcPr>
          <w:p>
            <w:pPr>
              <w:spacing w:after="40" w:before="0" w:line="259" w:lineRule="auto"/>
            </w:pPr>
            <w:r>
              <w:rPr>
                <w:rFonts w:ascii="Calibri" w:hAnsi="Calibri"/>
                <w:b w:val="0"/>
                <w:i w:val="0"/>
                <w:color w:val="212121"/>
                <w:sz w:val="19"/>
              </w:rPr>
              <w:t>A prolonged inflammatory phase drives excess collagen deposition.</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Dermatology Life Quality Index (DLQI)</w:t>
            </w:r>
          </w:p>
        </w:tc>
        <w:tc>
          <w:tcPr>
            <w:tcW w:type="dxa" w:w="1655"/>
            <w:vAlign w:val="top"/>
          </w:tcPr>
          <w:p>
            <w:pPr>
              <w:spacing w:after="40" w:before="0" w:line="259" w:lineRule="auto"/>
            </w:pPr>
            <w:r>
              <w:rPr>
                <w:rFonts w:ascii="Calibri" w:hAnsi="Calibri"/>
                <w:b w:val="0"/>
                <w:i w:val="0"/>
                <w:color w:val="212121"/>
                <w:sz w:val="19"/>
              </w:rPr>
              <w:t>Visible/symptomatic keloids</w:t>
            </w:r>
          </w:p>
        </w:tc>
        <w:tc>
          <w:tcPr>
            <w:tcW w:type="dxa" w:w="1512"/>
            <w:vAlign w:val="top"/>
          </w:tcPr>
          <w:p>
            <w:pPr>
              <w:spacing w:after="40" w:before="0" w:line="259" w:lineRule="auto"/>
            </w:pPr>
            <w:r>
              <w:rPr>
                <w:rFonts w:ascii="Calibri" w:hAnsi="Calibri"/>
                <w:b w:val="0"/>
                <w:i w:val="0"/>
                <w:color w:val="212121"/>
                <w:sz w:val="19"/>
              </w:rPr>
              <w:t>0–1 (no effect on life)</w:t>
            </w:r>
          </w:p>
        </w:tc>
        <w:tc>
          <w:tcPr>
            <w:tcW w:type="dxa" w:w="1512"/>
            <w:vAlign w:val="top"/>
          </w:tcPr>
          <w:p>
            <w:pPr>
              <w:spacing w:after="40" w:before="0" w:line="259" w:lineRule="auto"/>
            </w:pPr>
            <w:r>
              <w:rPr>
                <w:rFonts w:ascii="Calibri" w:hAnsi="Calibri"/>
                <w:b w:val="0"/>
                <w:i w:val="0"/>
                <w:color w:val="212121"/>
                <w:sz w:val="19"/>
              </w:rPr>
              <w:t>&gt;10 (very large effect on quality of life)</w:t>
            </w:r>
          </w:p>
        </w:tc>
        <w:tc>
          <w:tcPr>
            <w:tcW w:type="dxa" w:w="1468"/>
            <w:vAlign w:val="top"/>
          </w:tcPr>
          <w:p>
            <w:pPr>
              <w:spacing w:after="40" w:before="0" w:line="259" w:lineRule="auto"/>
            </w:pPr>
            <w:r>
              <w:rPr>
                <w:rFonts w:ascii="Calibri" w:hAnsi="Calibri"/>
                <w:b w:val="0"/>
                <w:i w:val="0"/>
                <w:color w:val="212121"/>
                <w:sz w:val="19"/>
              </w:rPr>
              <w:t>Itch, pain and disfigurement cause marked psychosocial burden.</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Mechanical tension on fresh scar</w:t>
            </w:r>
          </w:p>
        </w:tc>
        <w:tc>
          <w:tcPr>
            <w:tcW w:type="dxa" w:w="1655"/>
            <w:vAlign w:val="top"/>
          </w:tcPr>
          <w:p>
            <w:pPr>
              <w:spacing w:after="40" w:before="0" w:line="259" w:lineRule="auto"/>
            </w:pPr>
            <w:r>
              <w:rPr>
                <w:rFonts w:ascii="Calibri" w:hAnsi="Calibri"/>
                <w:b w:val="0"/>
                <w:i w:val="0"/>
                <w:color w:val="212121"/>
                <w:sz w:val="19"/>
              </w:rPr>
              <w:t>Scars over joints/high-motion sites</w:t>
            </w:r>
          </w:p>
        </w:tc>
        <w:tc>
          <w:tcPr>
            <w:tcW w:type="dxa" w:w="1512"/>
            <w:vAlign w:val="top"/>
          </w:tcPr>
          <w:p>
            <w:pPr>
              <w:spacing w:after="40" w:before="0" w:line="259" w:lineRule="auto"/>
            </w:pPr>
            <w:r>
              <w:rPr>
                <w:rFonts w:ascii="Calibri" w:hAnsi="Calibri"/>
                <w:b w:val="0"/>
                <w:i w:val="0"/>
                <w:color w:val="212121"/>
                <w:sz w:val="19"/>
              </w:rPr>
              <w:t>Tension offloaded (taping/silicone; avoid over-stretch)</w:t>
            </w:r>
          </w:p>
        </w:tc>
        <w:tc>
          <w:tcPr>
            <w:tcW w:type="dxa" w:w="1512"/>
            <w:vAlign w:val="top"/>
          </w:tcPr>
          <w:p>
            <w:pPr>
              <w:spacing w:after="40" w:before="0" w:line="259" w:lineRule="auto"/>
            </w:pPr>
            <w:r>
              <w:rPr>
                <w:rFonts w:ascii="Calibri" w:hAnsi="Calibri"/>
                <w:b w:val="0"/>
                <w:i w:val="0"/>
                <w:color w:val="212121"/>
                <w:sz w:val="19"/>
              </w:rPr>
              <w:t>Repeated stretching or re-injury of immature scar</w:t>
            </w:r>
          </w:p>
        </w:tc>
        <w:tc>
          <w:tcPr>
            <w:tcW w:type="dxa" w:w="1468"/>
            <w:vAlign w:val="top"/>
          </w:tcPr>
          <w:p>
            <w:pPr>
              <w:spacing w:after="40" w:before="0" w:line="259" w:lineRule="auto"/>
            </w:pPr>
            <w:r>
              <w:rPr>
                <w:rFonts w:ascii="Calibri" w:hAnsi="Calibri"/>
                <w:b w:val="0"/>
                <w:i w:val="0"/>
                <w:color w:val="212121"/>
                <w:sz w:val="19"/>
              </w:rPr>
              <w:t>Tension prolongs and worsens hypertrophic/keloid scarring.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40" w:before="0" w:line="259" w:lineRule="auto"/>
            </w:pPr>
            <w:r>
              <w:rPr>
                <w:rFonts w:ascii="Calibri" w:hAnsi="Calibri"/>
                <w:b w:val="0"/>
                <w:i w:val="0"/>
                <w:color w:val="212121"/>
                <w:sz w:val="19"/>
              </w:rPr>
              <w:t>Higher BMI is associated with more severe scarring.</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Wound-healing nutrition (protein, vitamin C, zinc)</w:t>
            </w:r>
          </w:p>
        </w:tc>
        <w:tc>
          <w:tcPr>
            <w:tcW w:type="dxa" w:w="1655"/>
            <w:vAlign w:val="top"/>
          </w:tcPr>
          <w:p>
            <w:pPr>
              <w:spacing w:after="40" w:before="0" w:line="259" w:lineRule="auto"/>
            </w:pPr>
            <w:r>
              <w:rPr>
                <w:rFonts w:ascii="Calibri" w:hAnsi="Calibri"/>
                <w:b w:val="0"/>
                <w:i w:val="0"/>
                <w:color w:val="212121"/>
                <w:sz w:val="19"/>
              </w:rPr>
              <w:t>Healing wounds</w:t>
            </w:r>
          </w:p>
        </w:tc>
        <w:tc>
          <w:tcPr>
            <w:tcW w:type="dxa" w:w="1512"/>
            <w:vAlign w:val="top"/>
          </w:tcPr>
          <w:p>
            <w:pPr>
              <w:spacing w:after="40" w:before="0" w:line="259" w:lineRule="auto"/>
            </w:pPr>
            <w:r>
              <w:rPr>
                <w:rFonts w:ascii="Calibri" w:hAnsi="Calibri"/>
                <w:b w:val="0"/>
                <w:i w:val="0"/>
                <w:color w:val="212121"/>
                <w:sz w:val="19"/>
              </w:rPr>
              <w:t>Adequate protein &amp; micronutrients</w:t>
            </w:r>
          </w:p>
        </w:tc>
        <w:tc>
          <w:tcPr>
            <w:tcW w:type="dxa" w:w="1512"/>
            <w:vAlign w:val="top"/>
          </w:tcPr>
          <w:p>
            <w:pPr>
              <w:spacing w:after="40" w:before="0" w:line="259" w:lineRule="auto"/>
            </w:pPr>
            <w:r>
              <w:rPr>
                <w:rFonts w:ascii="Calibri" w:hAnsi="Calibri"/>
                <w:b w:val="0"/>
                <w:i w:val="0"/>
                <w:color w:val="212121"/>
                <w:sz w:val="19"/>
              </w:rPr>
              <w:t>Protein / vitamin C / zinc deficiency</w:t>
            </w:r>
          </w:p>
        </w:tc>
        <w:tc>
          <w:tcPr>
            <w:tcW w:type="dxa" w:w="1468"/>
            <w:vAlign w:val="top"/>
          </w:tcPr>
          <w:p>
            <w:pPr>
              <w:spacing w:after="40" w:before="0" w:line="259" w:lineRule="auto"/>
            </w:pPr>
            <w:r>
              <w:rPr>
                <w:rFonts w:ascii="Calibri" w:hAnsi="Calibri"/>
                <w:b w:val="0"/>
                <w:i w:val="0"/>
                <w:color w:val="212121"/>
                <w:sz w:val="19"/>
              </w:rPr>
              <w:t>Deficiency impairs orderly collagen remodelling.</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nocturnal itch control</w:t>
            </w:r>
          </w:p>
        </w:tc>
        <w:tc>
          <w:tcPr>
            <w:tcW w:type="dxa" w:w="1655"/>
            <w:vAlign w:val="top"/>
          </w:tcPr>
          <w:p>
            <w:pPr>
              <w:spacing w:after="40" w:before="0" w:line="259" w:lineRule="auto"/>
            </w:pPr>
            <w:r>
              <w:rPr>
                <w:rFonts w:ascii="Calibri" w:hAnsi="Calibri"/>
                <w:b w:val="0"/>
                <w:i w:val="0"/>
                <w:color w:val="212121"/>
                <w:sz w:val="19"/>
              </w:rPr>
              <w:t>Symptomatic keloids</w:t>
            </w:r>
          </w:p>
        </w:tc>
        <w:tc>
          <w:tcPr>
            <w:tcW w:type="dxa" w:w="1512"/>
            <w:vAlign w:val="top"/>
          </w:tcPr>
          <w:p>
            <w:pPr>
              <w:spacing w:after="40" w:before="0" w:line="259" w:lineRule="auto"/>
            </w:pPr>
            <w:r>
              <w:rPr>
                <w:rFonts w:ascii="Calibri" w:hAnsi="Calibri"/>
                <w:b w:val="0"/>
                <w:i w:val="0"/>
                <w:color w:val="212121"/>
                <w:sz w:val="19"/>
              </w:rPr>
              <w:t>7–9 h/night; itch controlled</w:t>
            </w:r>
          </w:p>
        </w:tc>
        <w:tc>
          <w:tcPr>
            <w:tcW w:type="dxa" w:w="1512"/>
            <w:vAlign w:val="top"/>
          </w:tcPr>
          <w:p>
            <w:pPr>
              <w:spacing w:after="40" w:before="0" w:line="259" w:lineRule="auto"/>
            </w:pPr>
            <w:r>
              <w:rPr>
                <w:rFonts w:ascii="Calibri" w:hAnsi="Calibri"/>
                <w:b w:val="0"/>
                <w:i w:val="0"/>
                <w:color w:val="212121"/>
                <w:sz w:val="19"/>
              </w:rPr>
              <w:t>Sleep loss from pruritus → nocturnal scratching</w:t>
            </w:r>
          </w:p>
        </w:tc>
        <w:tc>
          <w:tcPr>
            <w:tcW w:type="dxa" w:w="1468"/>
            <w:vAlign w:val="top"/>
          </w:tcPr>
          <w:p>
            <w:pPr>
              <w:spacing w:after="40" w:before="0" w:line="259" w:lineRule="auto"/>
            </w:pPr>
            <w:r>
              <w:rPr>
                <w:rFonts w:ascii="Calibri" w:hAnsi="Calibri"/>
                <w:b w:val="0"/>
                <w:i w:val="0"/>
                <w:color w:val="212121"/>
                <w:sz w:val="19"/>
              </w:rPr>
              <w:t>Scratching perpetuates inflammation and scar growth.</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with wounds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1/day (impairs wound healing)</w:t>
            </w:r>
          </w:p>
        </w:tc>
        <w:tc>
          <w:tcPr>
            <w:tcW w:type="dxa" w:w="1468"/>
            <w:vAlign w:val="top"/>
          </w:tcPr>
          <w:p>
            <w:pPr>
              <w:spacing w:after="40" w:before="0" w:line="259" w:lineRule="auto"/>
            </w:pPr>
            <w:r>
              <w:rPr>
                <w:rFonts w:ascii="Calibri" w:hAnsi="Calibri"/>
                <w:b w:val="0"/>
                <w:i w:val="0"/>
                <w:color w:val="212121"/>
                <w:sz w:val="19"/>
              </w:rPr>
              <w:t>Cessation advised peri-operatively; keloid association is complex/paradoxical.</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with healing wounds</w:t>
            </w:r>
          </w:p>
        </w:tc>
        <w:tc>
          <w:tcPr>
            <w:tcW w:type="dxa" w:w="1512"/>
            <w:vAlign w:val="top"/>
          </w:tcPr>
          <w:p>
            <w:pPr>
              <w:spacing w:after="40" w:before="0" w:line="259" w:lineRule="auto"/>
            </w:pPr>
            <w:r>
              <w:rPr>
                <w:rFonts w:ascii="Calibri" w:hAnsi="Calibri"/>
                <w:b w:val="0"/>
                <w:i w:val="0"/>
                <w:color w:val="212121"/>
                <w:sz w:val="19"/>
              </w:rPr>
              <w:t>None to low-risk limits (avoid peri-operatively)</w:t>
            </w:r>
          </w:p>
        </w:tc>
        <w:tc>
          <w:tcPr>
            <w:tcW w:type="dxa" w:w="1512"/>
            <w:vAlign w:val="top"/>
          </w:tcPr>
          <w:p>
            <w:pPr>
              <w:spacing w:after="40" w:before="0" w:line="259" w:lineRule="auto"/>
            </w:pPr>
            <w:r>
              <w:rPr>
                <w:rFonts w:ascii="Calibri" w:hAnsi="Calibri"/>
                <w:b w:val="0"/>
                <w:i w:val="0"/>
                <w:color w:val="212121"/>
                <w:sz w:val="19"/>
              </w:rPr>
              <w:t>Heavy intake around surgery/healing</w:t>
            </w:r>
          </w:p>
        </w:tc>
        <w:tc>
          <w:tcPr>
            <w:tcW w:type="dxa" w:w="1468"/>
            <w:vAlign w:val="top"/>
          </w:tcPr>
          <w:p>
            <w:pPr>
              <w:spacing w:after="40" w:before="0" w:line="259" w:lineRule="auto"/>
            </w:pPr>
            <w:r>
              <w:rPr>
                <w:rFonts w:ascii="Calibri" w:hAnsi="Calibri"/>
                <w:b w:val="0"/>
                <w:i w:val="0"/>
                <w:color w:val="212121"/>
                <w:sz w:val="19"/>
              </w:rPr>
              <w:t>Excess impairs wound healing and nutrition.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Dermal collagen architecture</w:t>
            </w:r>
          </w:p>
        </w:tc>
        <w:tc>
          <w:tcPr>
            <w:tcW w:type="dxa" w:w="892"/>
            <w:vAlign w:val="top"/>
          </w:tcPr>
          <w:p>
            <w:pPr>
              <w:spacing w:after="40" w:before="0" w:line="259" w:lineRule="auto"/>
            </w:pPr>
            <w:r>
              <w:rPr>
                <w:rFonts w:ascii="Calibri" w:hAnsi="Calibri"/>
                <w:b w:val="0"/>
                <w:i w:val="0"/>
                <w:color w:val="212121"/>
                <w:sz w:val="16"/>
              </w:rPr>
              <w:t>Skin biopsy</w:t>
            </w:r>
          </w:p>
        </w:tc>
        <w:tc>
          <w:tcPr>
            <w:tcW w:type="dxa" w:w="950"/>
            <w:vAlign w:val="top"/>
          </w:tcPr>
          <w:p>
            <w:pPr>
              <w:spacing w:after="40" w:before="0" w:line="259" w:lineRule="auto"/>
            </w:pPr>
            <w:r>
              <w:rPr>
                <w:rFonts w:ascii="Calibri" w:hAnsi="Calibri"/>
                <w:b w:val="0"/>
                <w:i w:val="0"/>
                <w:color w:val="212121"/>
                <w:sz w:val="16"/>
              </w:rPr>
              <w:t>Mature, organised, basket-weave collagen</w:t>
            </w:r>
          </w:p>
        </w:tc>
        <w:tc>
          <w:tcPr>
            <w:tcW w:type="dxa" w:w="950"/>
            <w:vAlign w:val="top"/>
          </w:tcPr>
          <w:p>
            <w:pPr>
              <w:spacing w:after="40" w:before="0" w:line="259" w:lineRule="auto"/>
            </w:pPr>
            <w:r>
              <w:rPr>
                <w:rFonts w:ascii="Calibri" w:hAnsi="Calibri"/>
                <w:b w:val="0"/>
                <w:i w:val="0"/>
                <w:color w:val="212121"/>
                <w:sz w:val="16"/>
              </w:rPr>
              <w:t>Keloid: thick, hyalinised, eosinophilic “keloidal” collagen bundles in whorls extending beyond wound; Hypertrophic: fine collagen in nodules with abundant myofibroblasts within wound</w:t>
            </w:r>
          </w:p>
        </w:tc>
        <w:tc>
          <w:tcPr>
            <w:tcW w:type="dxa" w:w="1036"/>
            <w:vAlign w:val="top"/>
          </w:tcPr>
          <w:p>
            <w:pPr>
              <w:spacing w:after="40" w:before="0" w:line="259" w:lineRule="auto"/>
            </w:pPr>
            <w:r>
              <w:rPr>
                <w:rFonts w:ascii="Calibri" w:hAnsi="Calibri"/>
                <w:b w:val="0"/>
                <w:i w:val="0"/>
                <w:color w:val="212121"/>
                <w:sz w:val="16"/>
              </w:rPr>
              <w:t>Distinguishes keloid from hypertrophic scar and excludes mimics (DFSP, morphoea, sarcoid)</w:t>
            </w:r>
          </w:p>
        </w:tc>
        <w:tc>
          <w:tcPr>
            <w:tcW w:type="dxa" w:w="1036"/>
            <w:vAlign w:val="top"/>
          </w:tcPr>
          <w:p>
            <w:pPr>
              <w:spacing w:after="40" w:before="0" w:line="259" w:lineRule="auto"/>
            </w:pPr>
            <w:r>
              <w:rPr>
                <w:rFonts w:ascii="Calibri" w:hAnsi="Calibri"/>
                <w:b w:val="0"/>
                <w:i w:val="0"/>
                <w:color w:val="212121"/>
                <w:sz w:val="16"/>
              </w:rPr>
              <w:t>Atypical, rapidly growing or recurrent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 gold standard when uncertain</w:t>
            </w:r>
          </w:p>
        </w:tc>
        <w:tc>
          <w:tcPr>
            <w:tcW w:type="dxa" w:w="720"/>
            <w:vAlign w:val="top"/>
          </w:tcPr>
          <w:p>
            <w:pPr>
              <w:spacing w:after="40" w:before="0" w:line="259" w:lineRule="auto"/>
            </w:pPr>
            <w:r>
              <w:rPr>
                <w:rFonts w:ascii="Calibri" w:hAnsi="Calibri"/>
                <w:b w:val="0"/>
                <w:i w:val="0"/>
                <w:color w:val="212121"/>
                <w:sz w:val="16"/>
              </w:rPr>
              <w:t>Diagnosis is usually clinical; biopsy reserved for doubt.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Scar thickness, depth &amp; margins</w:t>
            </w:r>
          </w:p>
        </w:tc>
        <w:tc>
          <w:tcPr>
            <w:tcW w:type="dxa" w:w="892"/>
            <w:vAlign w:val="top"/>
          </w:tcPr>
          <w:p>
            <w:pPr>
              <w:spacing w:after="40" w:before="0" w:line="259" w:lineRule="auto"/>
            </w:pPr>
            <w:r>
              <w:rPr>
                <w:rFonts w:ascii="Calibri" w:hAnsi="Calibri"/>
                <w:b w:val="0"/>
                <w:i w:val="0"/>
                <w:color w:val="212121"/>
                <w:sz w:val="16"/>
              </w:rPr>
              <w:t>High-frequency ultrasonography</w:t>
            </w:r>
          </w:p>
        </w:tc>
        <w:tc>
          <w:tcPr>
            <w:tcW w:type="dxa" w:w="950"/>
            <w:vAlign w:val="top"/>
          </w:tcPr>
          <w:p>
            <w:pPr>
              <w:spacing w:after="40" w:before="0" w:line="259" w:lineRule="auto"/>
            </w:pPr>
            <w:r>
              <w:rPr>
                <w:rFonts w:ascii="Calibri" w:hAnsi="Calibri"/>
                <w:b w:val="0"/>
                <w:i w:val="0"/>
                <w:color w:val="212121"/>
                <w:sz w:val="16"/>
              </w:rPr>
              <w:t>Thin dermal scar confined within wound</w:t>
            </w:r>
          </w:p>
        </w:tc>
        <w:tc>
          <w:tcPr>
            <w:tcW w:type="dxa" w:w="950"/>
            <w:vAlign w:val="top"/>
          </w:tcPr>
          <w:p>
            <w:pPr>
              <w:spacing w:after="40" w:before="0" w:line="259" w:lineRule="auto"/>
            </w:pPr>
            <w:r>
              <w:rPr>
                <w:rFonts w:ascii="Calibri" w:hAnsi="Calibri"/>
                <w:b w:val="0"/>
                <w:i w:val="0"/>
                <w:color w:val="212121"/>
                <w:sz w:val="16"/>
              </w:rPr>
              <w:t>Increased dermal thickness; hypoechoic tissue extending beyond the wound margins (keloid)</w:t>
            </w:r>
          </w:p>
        </w:tc>
        <w:tc>
          <w:tcPr>
            <w:tcW w:type="dxa" w:w="1036"/>
            <w:vAlign w:val="top"/>
          </w:tcPr>
          <w:p>
            <w:pPr>
              <w:spacing w:after="40" w:before="0" w:line="259" w:lineRule="auto"/>
            </w:pPr>
            <w:r>
              <w:rPr>
                <w:rFonts w:ascii="Calibri" w:hAnsi="Calibri"/>
                <w:b w:val="0"/>
                <w:i w:val="0"/>
                <w:color w:val="212121"/>
                <w:sz w:val="16"/>
              </w:rPr>
              <w:t>Objective size/depth for baseline and treatment monitoring</w:t>
            </w:r>
          </w:p>
        </w:tc>
        <w:tc>
          <w:tcPr>
            <w:tcW w:type="dxa" w:w="1036"/>
            <w:vAlign w:val="top"/>
          </w:tcPr>
          <w:p>
            <w:pPr>
              <w:spacing w:after="40" w:before="0" w:line="259" w:lineRule="auto"/>
            </w:pPr>
            <w:r>
              <w:rPr>
                <w:rFonts w:ascii="Calibri" w:hAnsi="Calibri"/>
                <w:b w:val="0"/>
                <w:i w:val="0"/>
                <w:color w:val="212121"/>
                <w:sz w:val="16"/>
              </w:rPr>
              <w:t>Large or deep keloids pre-treatment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 / monitoring</w:t>
            </w:r>
          </w:p>
        </w:tc>
        <w:tc>
          <w:tcPr>
            <w:tcW w:type="dxa" w:w="720"/>
            <w:vAlign w:val="top"/>
          </w:tcPr>
          <w:p>
            <w:pPr>
              <w:spacing w:after="40" w:before="0" w:line="259" w:lineRule="auto"/>
            </w:pPr>
            <w:r>
              <w:rPr>
                <w:rFonts w:ascii="Calibri" w:hAnsi="Calibri"/>
                <w:b w:val="0"/>
                <w:i w:val="0"/>
                <w:color w:val="212121"/>
                <w:sz w:val="16"/>
              </w:rPr>
              <w:t>Non-invasive; operator dependent.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scoring</w:t>
            </w:r>
          </w:p>
        </w:tc>
        <w:tc>
          <w:tcPr>
            <w:tcW w:type="dxa" w:w="1036"/>
            <w:vAlign w:val="top"/>
          </w:tcPr>
          <w:p>
            <w:pPr>
              <w:spacing w:after="40" w:before="0" w:line="259" w:lineRule="auto"/>
            </w:pPr>
            <w:r>
              <w:rPr>
                <w:rFonts w:ascii="Calibri" w:hAnsi="Calibri"/>
                <w:b w:val="0"/>
                <w:i w:val="0"/>
                <w:color w:val="212121"/>
                <w:sz w:val="16"/>
              </w:rPr>
              <w:t>Scar severity (pigmentation, vascularity, pliability, height)</w:t>
            </w:r>
          </w:p>
        </w:tc>
        <w:tc>
          <w:tcPr>
            <w:tcW w:type="dxa" w:w="892"/>
            <w:vAlign w:val="top"/>
          </w:tcPr>
          <w:p>
            <w:pPr>
              <w:spacing w:after="40" w:before="0" w:line="259" w:lineRule="auto"/>
            </w:pPr>
            <w:r>
              <w:rPr>
                <w:rFonts w:ascii="Calibri" w:hAnsi="Calibri"/>
                <w:b w:val="0"/>
                <w:i w:val="0"/>
                <w:color w:val="212121"/>
                <w:sz w:val="16"/>
              </w:rPr>
              <w:t>Vancouver Scar Scale (VSS)</w:t>
            </w:r>
          </w:p>
        </w:tc>
        <w:tc>
          <w:tcPr>
            <w:tcW w:type="dxa" w:w="950"/>
            <w:vAlign w:val="top"/>
          </w:tcPr>
          <w:p>
            <w:pPr>
              <w:spacing w:after="40" w:before="0" w:line="259" w:lineRule="auto"/>
            </w:pPr>
            <w:r>
              <w:rPr>
                <w:rFonts w:ascii="Calibri" w:hAnsi="Calibri"/>
                <w:b w:val="0"/>
                <w:i w:val="0"/>
                <w:color w:val="212121"/>
                <w:sz w:val="16"/>
              </w:rPr>
              <w:t>0 (normal skin)</w:t>
            </w:r>
          </w:p>
        </w:tc>
        <w:tc>
          <w:tcPr>
            <w:tcW w:type="dxa" w:w="950"/>
            <w:vAlign w:val="top"/>
          </w:tcPr>
          <w:p>
            <w:pPr>
              <w:spacing w:after="40" w:before="0" w:line="259" w:lineRule="auto"/>
            </w:pPr>
            <w:r>
              <w:rPr>
                <w:rFonts w:ascii="Calibri" w:hAnsi="Calibri"/>
                <w:b w:val="0"/>
                <w:i w:val="0"/>
                <w:color w:val="212121"/>
                <w:sz w:val="16"/>
              </w:rPr>
              <w:t>Higher composite score = more severe scar</w:t>
            </w:r>
          </w:p>
        </w:tc>
        <w:tc>
          <w:tcPr>
            <w:tcW w:type="dxa" w:w="1036"/>
            <w:vAlign w:val="top"/>
          </w:tcPr>
          <w:p>
            <w:pPr>
              <w:spacing w:after="40" w:before="0" w:line="259" w:lineRule="auto"/>
            </w:pPr>
            <w:r>
              <w:rPr>
                <w:rFonts w:ascii="Calibri" w:hAnsi="Calibri"/>
                <w:b w:val="0"/>
                <w:i w:val="0"/>
                <w:color w:val="212121"/>
                <w:sz w:val="16"/>
              </w:rPr>
              <w:t>Standardised objective severity and treatment response</w:t>
            </w:r>
          </w:p>
        </w:tc>
        <w:tc>
          <w:tcPr>
            <w:tcW w:type="dxa" w:w="1036"/>
            <w:vAlign w:val="top"/>
          </w:tcPr>
          <w:p>
            <w:pPr>
              <w:spacing w:after="40" w:before="0" w:line="259" w:lineRule="auto"/>
            </w:pPr>
            <w:r>
              <w:rPr>
                <w:rFonts w:ascii="Calibri" w:hAnsi="Calibri"/>
                <w:b w:val="0"/>
                <w:i w:val="0"/>
                <w:color w:val="212121"/>
                <w:sz w:val="16"/>
              </w:rPr>
              <w:t>All hypertrophic scars/keloids, especially post-burn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Widely used, especially in burns rehabilitation.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scoring</w:t>
            </w:r>
          </w:p>
        </w:tc>
        <w:tc>
          <w:tcPr>
            <w:tcW w:type="dxa" w:w="1036"/>
            <w:vAlign w:val="top"/>
          </w:tcPr>
          <w:p>
            <w:pPr>
              <w:spacing w:after="40" w:before="0" w:line="259" w:lineRule="auto"/>
            </w:pPr>
            <w:r>
              <w:rPr>
                <w:rFonts w:ascii="Calibri" w:hAnsi="Calibri"/>
                <w:b w:val="0"/>
                <w:i w:val="0"/>
                <w:color w:val="212121"/>
                <w:sz w:val="16"/>
              </w:rPr>
              <w:t>Patient- &amp; observer-rated scar assessment</w:t>
            </w:r>
          </w:p>
        </w:tc>
        <w:tc>
          <w:tcPr>
            <w:tcW w:type="dxa" w:w="892"/>
            <w:vAlign w:val="top"/>
          </w:tcPr>
          <w:p>
            <w:pPr>
              <w:spacing w:after="40" w:before="0" w:line="259" w:lineRule="auto"/>
            </w:pPr>
            <w:r>
              <w:rPr>
                <w:rFonts w:ascii="Calibri" w:hAnsi="Calibri"/>
                <w:b w:val="0"/>
                <w:i w:val="0"/>
                <w:color w:val="212121"/>
                <w:sz w:val="16"/>
              </w:rPr>
              <w:t>POSAS (Patient &amp; Observer Scar Assessment Scale)</w:t>
            </w:r>
          </w:p>
        </w:tc>
        <w:tc>
          <w:tcPr>
            <w:tcW w:type="dxa" w:w="950"/>
            <w:vAlign w:val="top"/>
          </w:tcPr>
          <w:p>
            <w:pPr>
              <w:spacing w:after="40" w:before="0" w:line="259" w:lineRule="auto"/>
            </w:pPr>
            <w:r>
              <w:rPr>
                <w:rFonts w:ascii="Calibri" w:hAnsi="Calibri"/>
                <w:b w:val="0"/>
                <w:i w:val="0"/>
                <w:color w:val="212121"/>
                <w:sz w:val="16"/>
              </w:rPr>
              <w:t>Score near 1 (like normal skin)</w:t>
            </w:r>
          </w:p>
        </w:tc>
        <w:tc>
          <w:tcPr>
            <w:tcW w:type="dxa" w:w="950"/>
            <w:vAlign w:val="top"/>
          </w:tcPr>
          <w:p>
            <w:pPr>
              <w:spacing w:after="40" w:before="0" w:line="259" w:lineRule="auto"/>
            </w:pPr>
            <w:r>
              <w:rPr>
                <w:rFonts w:ascii="Calibri" w:hAnsi="Calibri"/>
                <w:b w:val="0"/>
                <w:i w:val="0"/>
                <w:color w:val="212121"/>
                <w:sz w:val="16"/>
              </w:rPr>
              <w:t>Rising score with symptoms (itch, pain) and signs (thickness, colour, pliability)</w:t>
            </w:r>
          </w:p>
        </w:tc>
        <w:tc>
          <w:tcPr>
            <w:tcW w:type="dxa" w:w="1036"/>
            <w:vAlign w:val="top"/>
          </w:tcPr>
          <w:p>
            <w:pPr>
              <w:spacing w:after="40" w:before="0" w:line="259" w:lineRule="auto"/>
            </w:pPr>
            <w:r>
              <w:rPr>
                <w:rFonts w:ascii="Calibri" w:hAnsi="Calibri"/>
                <w:b w:val="0"/>
                <w:i w:val="0"/>
                <w:color w:val="212121"/>
                <w:sz w:val="16"/>
              </w:rPr>
              <w:t>Captures patient-reported symptoms plus observer signs</w:t>
            </w:r>
          </w:p>
        </w:tc>
        <w:tc>
          <w:tcPr>
            <w:tcW w:type="dxa" w:w="1036"/>
            <w:vAlign w:val="top"/>
          </w:tcPr>
          <w:p>
            <w:pPr>
              <w:spacing w:after="40" w:before="0" w:line="259" w:lineRule="auto"/>
            </w:pPr>
            <w:r>
              <w:rPr>
                <w:rFonts w:ascii="Calibri" w:hAnsi="Calibri"/>
                <w:b w:val="0"/>
                <w:i w:val="0"/>
                <w:color w:val="212121"/>
                <w:sz w:val="16"/>
              </w:rPr>
              <w:t>Symptomatic scars in follow-up and trials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Complements the VSS.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1036"/>
            <w:vAlign w:val="top"/>
          </w:tcPr>
          <w:p>
            <w:pPr>
              <w:spacing w:after="40" w:before="0" w:line="259" w:lineRule="auto"/>
            </w:pPr>
            <w:r>
              <w:rPr>
                <w:rFonts w:ascii="Calibri" w:hAnsi="Calibri"/>
                <w:b w:val="0"/>
                <w:i w:val="0"/>
                <w:color w:val="212121"/>
                <w:sz w:val="16"/>
              </w:rPr>
              <w:t>Vascular &amp; pigment pattern</w:t>
            </w:r>
          </w:p>
        </w:tc>
        <w:tc>
          <w:tcPr>
            <w:tcW w:type="dxa" w:w="892"/>
            <w:vAlign w:val="top"/>
          </w:tcPr>
          <w:p>
            <w:pPr>
              <w:spacing w:after="40" w:before="0" w:line="259" w:lineRule="auto"/>
            </w:pPr>
            <w:r>
              <w:rPr>
                <w:rFonts w:ascii="Calibri" w:hAnsi="Calibri"/>
                <w:b w:val="0"/>
                <w:i w:val="0"/>
                <w:color w:val="212121"/>
                <w:sz w:val="16"/>
              </w:rPr>
              <w:t>Dermoscopy</w:t>
            </w:r>
          </w:p>
        </w:tc>
        <w:tc>
          <w:tcPr>
            <w:tcW w:type="dxa" w:w="950"/>
            <w:vAlign w:val="top"/>
          </w:tcPr>
          <w:p>
            <w:pPr>
              <w:spacing w:after="40" w:before="0" w:line="259" w:lineRule="auto"/>
            </w:pPr>
            <w:r>
              <w:rPr>
                <w:rFonts w:ascii="Calibri" w:hAnsi="Calibri"/>
                <w:b w:val="0"/>
                <w:i w:val="0"/>
                <w:color w:val="212121"/>
                <w:sz w:val="16"/>
              </w:rPr>
              <w:t>No pathological vessels</w:t>
            </w:r>
          </w:p>
        </w:tc>
        <w:tc>
          <w:tcPr>
            <w:tcW w:type="dxa" w:w="950"/>
            <w:vAlign w:val="top"/>
          </w:tcPr>
          <w:p>
            <w:pPr>
              <w:spacing w:after="40" w:before="0" w:line="259" w:lineRule="auto"/>
            </w:pPr>
            <w:r>
              <w:rPr>
                <w:rFonts w:ascii="Calibri" w:hAnsi="Calibri"/>
                <w:b w:val="0"/>
                <w:i w:val="0"/>
                <w:color w:val="212121"/>
                <w:sz w:val="16"/>
              </w:rPr>
              <w:t>Homogeneous erythema, linear/arborising and comma-shaped vessels, structureless white or pigmented areas</w:t>
            </w:r>
          </w:p>
        </w:tc>
        <w:tc>
          <w:tcPr>
            <w:tcW w:type="dxa" w:w="1036"/>
            <w:vAlign w:val="top"/>
          </w:tcPr>
          <w:p>
            <w:pPr>
              <w:spacing w:after="40" w:before="0" w:line="259" w:lineRule="auto"/>
            </w:pPr>
            <w:r>
              <w:rPr>
                <w:rFonts w:ascii="Calibri" w:hAnsi="Calibri"/>
                <w:b w:val="0"/>
                <w:i w:val="0"/>
                <w:color w:val="212121"/>
                <w:sz w:val="16"/>
              </w:rPr>
              <w:t>Supports diagnosis and assessment of vascular activity</w:t>
            </w:r>
          </w:p>
        </w:tc>
        <w:tc>
          <w:tcPr>
            <w:tcW w:type="dxa" w:w="1036"/>
            <w:vAlign w:val="top"/>
          </w:tcPr>
          <w:p>
            <w:pPr>
              <w:spacing w:after="40" w:before="0" w:line="259" w:lineRule="auto"/>
            </w:pPr>
            <w:r>
              <w:rPr>
                <w:rFonts w:ascii="Calibri" w:hAnsi="Calibri"/>
                <w:b w:val="0"/>
                <w:i w:val="0"/>
                <w:color w:val="212121"/>
                <w:sz w:val="16"/>
              </w:rPr>
              <w:t>Clinically ambiguous lesions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Non-invasive bedside tool.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Immunohistochemistry</w:t>
            </w:r>
          </w:p>
        </w:tc>
        <w:tc>
          <w:tcPr>
            <w:tcW w:type="dxa" w:w="1036"/>
            <w:vAlign w:val="top"/>
          </w:tcPr>
          <w:p>
            <w:pPr>
              <w:spacing w:after="40" w:before="0" w:line="259" w:lineRule="auto"/>
            </w:pPr>
            <w:r>
              <w:rPr>
                <w:rFonts w:ascii="Calibri" w:hAnsi="Calibri"/>
                <w:b w:val="0"/>
                <w:i w:val="0"/>
                <w:color w:val="212121"/>
                <w:sz w:val="16"/>
              </w:rPr>
              <w:t>Myofibroblast (α-SMA) &amp; collagen typing</w:t>
            </w:r>
          </w:p>
        </w:tc>
        <w:tc>
          <w:tcPr>
            <w:tcW w:type="dxa" w:w="892"/>
            <w:vAlign w:val="top"/>
          </w:tcPr>
          <w:p>
            <w:pPr>
              <w:spacing w:after="40" w:before="0" w:line="259" w:lineRule="auto"/>
            </w:pPr>
            <w:r>
              <w:rPr>
                <w:rFonts w:ascii="Calibri" w:hAnsi="Calibri"/>
                <w:b w:val="0"/>
                <w:i w:val="0"/>
                <w:color w:val="212121"/>
                <w:sz w:val="16"/>
              </w:rPr>
              <w:t>Special stains on biopsy</w:t>
            </w:r>
          </w:p>
        </w:tc>
        <w:tc>
          <w:tcPr>
            <w:tcW w:type="dxa" w:w="950"/>
            <w:vAlign w:val="top"/>
          </w:tcPr>
          <w:p>
            <w:pPr>
              <w:spacing w:after="40" w:before="0" w:line="259" w:lineRule="auto"/>
            </w:pPr>
            <w:r>
              <w:rPr>
                <w:rFonts w:ascii="Calibri" w:hAnsi="Calibri"/>
                <w:b w:val="0"/>
                <w:i w:val="0"/>
                <w:color w:val="212121"/>
                <w:sz w:val="16"/>
              </w:rPr>
              <w:t>Sparse myofibroblasts</w:t>
            </w:r>
          </w:p>
        </w:tc>
        <w:tc>
          <w:tcPr>
            <w:tcW w:type="dxa" w:w="950"/>
            <w:vAlign w:val="top"/>
          </w:tcPr>
          <w:p>
            <w:pPr>
              <w:spacing w:after="40" w:before="0" w:line="259" w:lineRule="auto"/>
            </w:pPr>
            <w:r>
              <w:rPr>
                <w:rFonts w:ascii="Calibri" w:hAnsi="Calibri"/>
                <w:b w:val="0"/>
                <w:i w:val="0"/>
                <w:color w:val="212121"/>
                <w:sz w:val="16"/>
              </w:rPr>
              <w:t>Hypertrophic scar: abundant α-SMA-positive myofibroblasts in nodules; Keloid: sparse myofibroblasts with thick hyalinised collagen</w:t>
            </w:r>
          </w:p>
        </w:tc>
        <w:tc>
          <w:tcPr>
            <w:tcW w:type="dxa" w:w="1036"/>
            <w:vAlign w:val="top"/>
          </w:tcPr>
          <w:p>
            <w:pPr>
              <w:spacing w:after="40" w:before="0" w:line="259" w:lineRule="auto"/>
            </w:pPr>
            <w:r>
              <w:rPr>
                <w:rFonts w:ascii="Calibri" w:hAnsi="Calibri"/>
                <w:b w:val="0"/>
                <w:i w:val="0"/>
                <w:color w:val="212121"/>
                <w:sz w:val="16"/>
              </w:rPr>
              <w:t>Aids keloid vs hypertrophic differentiation in difficult cases</w:t>
            </w:r>
          </w:p>
        </w:tc>
        <w:tc>
          <w:tcPr>
            <w:tcW w:type="dxa" w:w="1036"/>
            <w:vAlign w:val="top"/>
          </w:tcPr>
          <w:p>
            <w:pPr>
              <w:spacing w:after="40" w:before="0" w:line="259" w:lineRule="auto"/>
            </w:pPr>
            <w:r>
              <w:rPr>
                <w:rFonts w:ascii="Calibri" w:hAnsi="Calibri"/>
                <w:b w:val="0"/>
                <w:i w:val="0"/>
                <w:color w:val="212121"/>
                <w:sz w:val="16"/>
              </w:rPr>
              <w:t>Research / ambiguous histology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Not part of routine work-up.</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Raised scar, itching, pain, cosmetic concern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Cardinal presenting features of excessive scarring</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About 86% report pruritus and 46% pain.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Inciting trigger</w:t>
            </w:r>
          </w:p>
        </w:tc>
        <w:tc>
          <w:tcPr>
            <w:tcW w:type="dxa" w:w="979"/>
            <w:vAlign w:val="top"/>
          </w:tcPr>
          <w:p>
            <w:pPr>
              <w:spacing w:after="40" w:before="0" w:line="259" w:lineRule="auto"/>
            </w:pPr>
            <w:r>
              <w:rPr>
                <w:rFonts w:ascii="Calibri" w:hAnsi="Calibri"/>
                <w:b w:val="0"/>
                <w:i w:val="0"/>
                <w:color w:val="212121"/>
                <w:sz w:val="16"/>
              </w:rPr>
              <w:t>Piercing, surgery, burn, acne/folliculitis, vaccination (BCG), laceration, tattoo</w:t>
            </w:r>
          </w:p>
        </w:tc>
        <w:tc>
          <w:tcPr>
            <w:tcW w:type="dxa" w:w="950"/>
            <w:vAlign w:val="top"/>
          </w:tcPr>
          <w:p>
            <w:pPr>
              <w:spacing w:after="40" w:before="0" w:line="259" w:lineRule="auto"/>
            </w:pPr>
            <w:r>
              <w:rPr>
                <w:rFonts w:ascii="Calibri" w:hAnsi="Calibri"/>
                <w:b w:val="0"/>
                <w:i w:val="0"/>
                <w:color w:val="212121"/>
                <w:sz w:val="16"/>
              </w:rPr>
              <w:t>No preceding injury</w:t>
            </w:r>
          </w:p>
        </w:tc>
        <w:tc>
          <w:tcPr>
            <w:tcW w:type="dxa" w:w="950"/>
            <w:vAlign w:val="top"/>
          </w:tcPr>
          <w:p>
            <w:pPr>
              <w:spacing w:after="40" w:before="0" w:line="259" w:lineRule="auto"/>
            </w:pPr>
            <w:r>
              <w:rPr>
                <w:rFonts w:ascii="Calibri" w:hAnsi="Calibri"/>
                <w:b w:val="0"/>
                <w:i w:val="0"/>
                <w:color w:val="212121"/>
                <w:sz w:val="16"/>
              </w:rPr>
              <w:t>Scar at site of prior skin trauma or inflammation</w:t>
            </w:r>
          </w:p>
        </w:tc>
        <w:tc>
          <w:tcPr>
            <w:tcW w:type="dxa" w:w="1036"/>
            <w:vAlign w:val="top"/>
          </w:tcPr>
          <w:p>
            <w:pPr>
              <w:spacing w:after="40" w:before="0" w:line="259" w:lineRule="auto"/>
            </w:pPr>
            <w:r>
              <w:rPr>
                <w:rFonts w:ascii="Calibri" w:hAnsi="Calibri"/>
                <w:b w:val="0"/>
                <w:i w:val="0"/>
                <w:color w:val="212121"/>
                <w:sz w:val="16"/>
              </w:rPr>
              <w:t>Identifies provoking factor; keloids may follow minor or unnoticed trauma</w:t>
            </w:r>
          </w:p>
        </w:tc>
        <w:tc>
          <w:tcPr>
            <w:tcW w:type="dxa" w:w="1036"/>
            <w:vAlign w:val="top"/>
          </w:tcPr>
          <w:p>
            <w:pPr>
              <w:spacing w:after="40" w:before="0" w:line="259" w:lineRule="auto"/>
            </w:pPr>
            <w:r>
              <w:rPr>
                <w:rFonts w:ascii="Calibri" w:hAnsi="Calibri"/>
                <w:b w:val="0"/>
                <w:i w:val="0"/>
                <w:color w:val="212121"/>
                <w:sz w:val="16"/>
              </w:rPr>
              <w:t>Pierced, post-surgical, burns, acne-prone</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Ear/nose piercing is a very common trigger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 with keloids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affected first-degree relative</w:t>
            </w:r>
          </w:p>
        </w:tc>
        <w:tc>
          <w:tcPr>
            <w:tcW w:type="dxa" w:w="1036"/>
            <w:vAlign w:val="top"/>
          </w:tcPr>
          <w:p>
            <w:pPr>
              <w:spacing w:after="40" w:before="0" w:line="259" w:lineRule="auto"/>
            </w:pPr>
            <w:r>
              <w:rPr>
                <w:rFonts w:ascii="Calibri" w:hAnsi="Calibri"/>
                <w:b w:val="0"/>
                <w:i w:val="0"/>
                <w:color w:val="212121"/>
                <w:sz w:val="16"/>
              </w:rPr>
              <w:t>Genetic predisposition</w:t>
            </w:r>
          </w:p>
        </w:tc>
        <w:tc>
          <w:tcPr>
            <w:tcW w:type="dxa" w:w="1036"/>
            <w:vAlign w:val="top"/>
          </w:tcPr>
          <w:p>
            <w:pPr>
              <w:spacing w:after="40" w:before="0" w:line="259" w:lineRule="auto"/>
            </w:pPr>
            <w:r>
              <w:rPr>
                <w:rFonts w:ascii="Calibri" w:hAnsi="Calibri"/>
                <w:b w:val="0"/>
                <w:i w:val="0"/>
                <w:color w:val="212121"/>
                <w:sz w:val="16"/>
              </w:rPr>
              <w:t>African/Asian descent, familial keloids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About 33–50% have an affected relative.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Skin phototype &amp; ethnicity</w:t>
            </w:r>
          </w:p>
        </w:tc>
        <w:tc>
          <w:tcPr>
            <w:tcW w:type="dxa" w:w="979"/>
            <w:vAlign w:val="top"/>
          </w:tcPr>
          <w:p>
            <w:pPr>
              <w:spacing w:after="40" w:before="0" w:line="259" w:lineRule="auto"/>
            </w:pPr>
            <w:r>
              <w:rPr>
                <w:rFonts w:ascii="Calibri" w:hAnsi="Calibri"/>
                <w:b w:val="0"/>
                <w:i w:val="0"/>
                <w:color w:val="212121"/>
                <w:sz w:val="16"/>
              </w:rPr>
              <w:t>Fitzpatrick phototype</w:t>
            </w:r>
          </w:p>
        </w:tc>
        <w:tc>
          <w:tcPr>
            <w:tcW w:type="dxa" w:w="950"/>
            <w:vAlign w:val="top"/>
          </w:tcPr>
          <w:p>
            <w:pPr>
              <w:spacing w:after="40" w:before="0" w:line="259" w:lineRule="auto"/>
            </w:pPr>
            <w:r>
              <w:rPr>
                <w:rFonts w:ascii="Calibri" w:hAnsi="Calibri"/>
                <w:b w:val="0"/>
                <w:i w:val="0"/>
                <w:color w:val="212121"/>
                <w:sz w:val="16"/>
              </w:rPr>
              <w:t>Type I–II</w:t>
            </w:r>
          </w:p>
        </w:tc>
        <w:tc>
          <w:tcPr>
            <w:tcW w:type="dxa" w:w="950"/>
            <w:vAlign w:val="top"/>
          </w:tcPr>
          <w:p>
            <w:pPr>
              <w:spacing w:after="40" w:before="0" w:line="259" w:lineRule="auto"/>
            </w:pPr>
            <w:r>
              <w:rPr>
                <w:rFonts w:ascii="Calibri" w:hAnsi="Calibri"/>
                <w:b w:val="0"/>
                <w:i w:val="0"/>
                <w:color w:val="212121"/>
                <w:sz w:val="16"/>
              </w:rPr>
              <w:t>Type IV–VI</w:t>
            </w:r>
          </w:p>
        </w:tc>
        <w:tc>
          <w:tcPr>
            <w:tcW w:type="dxa" w:w="1036"/>
            <w:vAlign w:val="top"/>
          </w:tcPr>
          <w:p>
            <w:pPr>
              <w:spacing w:after="40" w:before="0" w:line="259" w:lineRule="auto"/>
            </w:pPr>
            <w:r>
              <w:rPr>
                <w:rFonts w:ascii="Calibri" w:hAnsi="Calibri"/>
                <w:b w:val="0"/>
                <w:i w:val="0"/>
                <w:color w:val="212121"/>
                <w:sz w:val="16"/>
              </w:rPr>
              <w:t>Higher keloid propensity in pigmented skin</w:t>
            </w:r>
          </w:p>
        </w:tc>
        <w:tc>
          <w:tcPr>
            <w:tcW w:type="dxa" w:w="1036"/>
            <w:vAlign w:val="top"/>
          </w:tcPr>
          <w:p>
            <w:pPr>
              <w:spacing w:after="40" w:before="0" w:line="259" w:lineRule="auto"/>
            </w:pPr>
            <w:r>
              <w:rPr>
                <w:rFonts w:ascii="Calibri" w:hAnsi="Calibri"/>
                <w:b w:val="0"/>
                <w:i w:val="0"/>
                <w:color w:val="212121"/>
                <w:sz w:val="16"/>
              </w:rPr>
              <w:t>Indian/South Asian, East Asian, African descent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Predominant phototype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Scar morphology &amp; margins</w:t>
            </w:r>
          </w:p>
        </w:tc>
        <w:tc>
          <w:tcPr>
            <w:tcW w:type="dxa" w:w="979"/>
            <w:vAlign w:val="top"/>
          </w:tcPr>
          <w:p>
            <w:pPr>
              <w:spacing w:after="40" w:before="0" w:line="259" w:lineRule="auto"/>
            </w:pPr>
            <w:r>
              <w:rPr>
                <w:rFonts w:ascii="Calibri" w:hAnsi="Calibri"/>
                <w:b w:val="0"/>
                <w:i w:val="0"/>
                <w:color w:val="212121"/>
                <w:sz w:val="16"/>
              </w:rPr>
              <w:t>Growth relative to original wound</w:t>
            </w:r>
          </w:p>
        </w:tc>
        <w:tc>
          <w:tcPr>
            <w:tcW w:type="dxa" w:w="950"/>
            <w:vAlign w:val="top"/>
          </w:tcPr>
          <w:p>
            <w:pPr>
              <w:spacing w:after="40" w:before="0" w:line="259" w:lineRule="auto"/>
            </w:pPr>
            <w:r>
              <w:rPr>
                <w:rFonts w:ascii="Calibri" w:hAnsi="Calibri"/>
                <w:b w:val="0"/>
                <w:i w:val="0"/>
                <w:color w:val="212121"/>
                <w:sz w:val="16"/>
              </w:rPr>
              <w:t>Flat or atrophic mature scar</w:t>
            </w:r>
          </w:p>
        </w:tc>
        <w:tc>
          <w:tcPr>
            <w:tcW w:type="dxa" w:w="950"/>
            <w:vAlign w:val="top"/>
          </w:tcPr>
          <w:p>
            <w:pPr>
              <w:spacing w:after="40" w:before="0" w:line="259" w:lineRule="auto"/>
            </w:pPr>
            <w:r>
              <w:rPr>
                <w:rFonts w:ascii="Calibri" w:hAnsi="Calibri"/>
                <w:b w:val="0"/>
                <w:i w:val="0"/>
                <w:color w:val="212121"/>
                <w:sz w:val="16"/>
              </w:rPr>
              <w:t>Keloid: firm, raised, extends beyond wound margins, claw-like; Hypertrophic: raised but confined within margins</w:t>
            </w:r>
          </w:p>
        </w:tc>
        <w:tc>
          <w:tcPr>
            <w:tcW w:type="dxa" w:w="1036"/>
            <w:vAlign w:val="top"/>
          </w:tcPr>
          <w:p>
            <w:pPr>
              <w:spacing w:after="40" w:before="0" w:line="259" w:lineRule="auto"/>
            </w:pPr>
            <w:r>
              <w:rPr>
                <w:rFonts w:ascii="Calibri" w:hAnsi="Calibri"/>
                <w:b w:val="0"/>
                <w:i w:val="0"/>
                <w:color w:val="212121"/>
                <w:sz w:val="16"/>
              </w:rPr>
              <w:t>Key clinical distinction between the two entities</w:t>
            </w:r>
          </w:p>
        </w:tc>
        <w:tc>
          <w:tcPr>
            <w:tcW w:type="dxa" w:w="1036"/>
            <w:vAlign w:val="top"/>
          </w:tcPr>
          <w:p>
            <w:pPr>
              <w:spacing w:after="40" w:before="0" w:line="259" w:lineRule="auto"/>
            </w:pPr>
            <w:r>
              <w:rPr>
                <w:rFonts w:ascii="Calibri" w:hAnsi="Calibri"/>
                <w:b w:val="0"/>
                <w:i w:val="0"/>
                <w:color w:val="212121"/>
                <w:sz w:val="16"/>
              </w:rPr>
              <w:t>All raised scars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 gold standard</w:t>
            </w:r>
          </w:p>
        </w:tc>
        <w:tc>
          <w:tcPr>
            <w:tcW w:type="dxa" w:w="720"/>
            <w:vAlign w:val="top"/>
          </w:tcPr>
          <w:p>
            <w:pPr>
              <w:spacing w:after="40" w:before="0" w:line="259" w:lineRule="auto"/>
            </w:pPr>
            <w:r>
              <w:rPr>
                <w:rFonts w:ascii="Calibri" w:hAnsi="Calibri"/>
                <w:b w:val="0"/>
                <w:i w:val="0"/>
                <w:color w:val="212121"/>
                <w:sz w:val="16"/>
              </w:rPr>
              <w:t>Extension beyond margins is the clinical hallmark of keloid.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Site, tenderness &amp; function</w:t>
            </w:r>
          </w:p>
        </w:tc>
        <w:tc>
          <w:tcPr>
            <w:tcW w:type="dxa" w:w="979"/>
            <w:vAlign w:val="top"/>
          </w:tcPr>
          <w:p>
            <w:pPr>
              <w:spacing w:after="40" w:before="0" w:line="259" w:lineRule="auto"/>
            </w:pPr>
            <w:r>
              <w:rPr>
                <w:rFonts w:ascii="Calibri" w:hAnsi="Calibri"/>
                <w:b w:val="0"/>
                <w:i w:val="0"/>
                <w:color w:val="212121"/>
                <w:sz w:val="16"/>
              </w:rPr>
              <w:t>Anatomical site, tenderness, joint mobility</w:t>
            </w:r>
          </w:p>
        </w:tc>
        <w:tc>
          <w:tcPr>
            <w:tcW w:type="dxa" w:w="950"/>
            <w:vAlign w:val="top"/>
          </w:tcPr>
          <w:p>
            <w:pPr>
              <w:spacing w:after="40" w:before="0" w:line="259" w:lineRule="auto"/>
            </w:pPr>
            <w:r>
              <w:rPr>
                <w:rFonts w:ascii="Calibri" w:hAnsi="Calibri"/>
                <w:b w:val="0"/>
                <w:i w:val="0"/>
                <w:color w:val="212121"/>
                <w:sz w:val="16"/>
              </w:rPr>
              <w:t>Supple scar, full range of motion</w:t>
            </w:r>
          </w:p>
        </w:tc>
        <w:tc>
          <w:tcPr>
            <w:tcW w:type="dxa" w:w="950"/>
            <w:vAlign w:val="top"/>
          </w:tcPr>
          <w:p>
            <w:pPr>
              <w:spacing w:after="40" w:before="0" w:line="259" w:lineRule="auto"/>
            </w:pPr>
            <w:r>
              <w:rPr>
                <w:rFonts w:ascii="Calibri" w:hAnsi="Calibri"/>
                <w:b w:val="0"/>
                <w:i w:val="0"/>
                <w:color w:val="212121"/>
                <w:sz w:val="16"/>
              </w:rPr>
              <w:t>High-tension sites (chest, shoulder, earlobe); tenderness; contracture limiting movement</w:t>
            </w:r>
          </w:p>
        </w:tc>
        <w:tc>
          <w:tcPr>
            <w:tcW w:type="dxa" w:w="1036"/>
            <w:vAlign w:val="top"/>
          </w:tcPr>
          <w:p>
            <w:pPr>
              <w:spacing w:after="40" w:before="0" w:line="259" w:lineRule="auto"/>
            </w:pPr>
            <w:r>
              <w:rPr>
                <w:rFonts w:ascii="Calibri" w:hAnsi="Calibri"/>
                <w:b w:val="0"/>
                <w:i w:val="0"/>
                <w:color w:val="212121"/>
                <w:sz w:val="16"/>
              </w:rPr>
              <w:t>Assesses functional impact and recurrence risk</w:t>
            </w:r>
          </w:p>
        </w:tc>
        <w:tc>
          <w:tcPr>
            <w:tcW w:type="dxa" w:w="1036"/>
            <w:vAlign w:val="top"/>
          </w:tcPr>
          <w:p>
            <w:pPr>
              <w:spacing w:after="40" w:before="0" w:line="259" w:lineRule="auto"/>
            </w:pPr>
            <w:r>
              <w:rPr>
                <w:rFonts w:ascii="Calibri" w:hAnsi="Calibri"/>
                <w:b w:val="0"/>
                <w:i w:val="0"/>
                <w:color w:val="212121"/>
                <w:sz w:val="16"/>
              </w:rPr>
              <w:t>Scars over joints, post-burn contractures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Contractures are especially important after burns.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Symptom mapping</w:t>
            </w:r>
          </w:p>
        </w:tc>
        <w:tc>
          <w:tcPr>
            <w:tcW w:type="dxa" w:w="979"/>
            <w:vAlign w:val="top"/>
          </w:tcPr>
          <w:p>
            <w:pPr>
              <w:spacing w:after="40" w:before="0" w:line="259" w:lineRule="auto"/>
            </w:pPr>
            <w:r>
              <w:rPr>
                <w:rFonts w:ascii="Calibri" w:hAnsi="Calibri"/>
                <w:b w:val="0"/>
                <w:i w:val="0"/>
                <w:color w:val="212121"/>
                <w:sz w:val="16"/>
              </w:rPr>
              <w:t>Pruritus, pain, growth activity</w:t>
            </w:r>
          </w:p>
        </w:tc>
        <w:tc>
          <w:tcPr>
            <w:tcW w:type="dxa" w:w="950"/>
            <w:vAlign w:val="top"/>
          </w:tcPr>
          <w:p>
            <w:pPr>
              <w:spacing w:after="40" w:before="0" w:line="259" w:lineRule="auto"/>
            </w:pPr>
            <w:r>
              <w:rPr>
                <w:rFonts w:ascii="Calibri" w:hAnsi="Calibri"/>
                <w:b w:val="0"/>
                <w:i w:val="0"/>
                <w:color w:val="212121"/>
                <w:sz w:val="16"/>
              </w:rPr>
              <w:t>Quiescent, asymptomatic scar</w:t>
            </w:r>
          </w:p>
        </w:tc>
        <w:tc>
          <w:tcPr>
            <w:tcW w:type="dxa" w:w="950"/>
            <w:vAlign w:val="top"/>
          </w:tcPr>
          <w:p>
            <w:pPr>
              <w:spacing w:after="40" w:before="0" w:line="259" w:lineRule="auto"/>
            </w:pPr>
            <w:r>
              <w:rPr>
                <w:rFonts w:ascii="Calibri" w:hAnsi="Calibri"/>
                <w:b w:val="0"/>
                <w:i w:val="0"/>
                <w:color w:val="212121"/>
                <w:sz w:val="16"/>
              </w:rPr>
              <w:t>Active itch/pain, erythema and ongoing enlargement</w:t>
            </w:r>
          </w:p>
        </w:tc>
        <w:tc>
          <w:tcPr>
            <w:tcW w:type="dxa" w:w="1036"/>
            <w:vAlign w:val="top"/>
          </w:tcPr>
          <w:p>
            <w:pPr>
              <w:spacing w:after="40" w:before="0" w:line="259" w:lineRule="auto"/>
            </w:pPr>
            <w:r>
              <w:rPr>
                <w:rFonts w:ascii="Calibri" w:hAnsi="Calibri"/>
                <w:b w:val="0"/>
                <w:i w:val="0"/>
                <w:color w:val="212121"/>
                <w:sz w:val="16"/>
              </w:rPr>
              <w:t>Indicates an active, treatment-responsive lesion</w:t>
            </w:r>
          </w:p>
        </w:tc>
        <w:tc>
          <w:tcPr>
            <w:tcW w:type="dxa" w:w="1036"/>
            <w:vAlign w:val="top"/>
          </w:tcPr>
          <w:p>
            <w:pPr>
              <w:spacing w:after="40" w:before="0" w:line="259" w:lineRule="auto"/>
            </w:pPr>
            <w:r>
              <w:rPr>
                <w:rFonts w:ascii="Calibri" w:hAnsi="Calibri"/>
                <w:b w:val="0"/>
                <w:i w:val="0"/>
                <w:color w:val="212121"/>
                <w:sz w:val="16"/>
              </w:rPr>
              <w:t>Growing/symptomatic keloids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Guides timing and choice of therapy.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Raised, thickened scar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firm scar growing above the skin surface at the site of prior injury.</w:t>
            </w:r>
          </w:p>
        </w:tc>
      </w:tr>
      <w:tr>
        <w:trPr>
          <w:cantSplit/>
        </w:trPr>
        <w:tc>
          <w:tcPr>
            <w:tcW w:type="dxa" w:w="2304"/>
            <w:vAlign w:val="top"/>
          </w:tcPr>
          <w:p>
            <w:pPr>
              <w:spacing w:after="40" w:before="0" w:line="259" w:lineRule="auto"/>
            </w:pPr>
            <w:r>
              <w:rPr>
                <w:rFonts w:ascii="Calibri" w:hAnsi="Calibri"/>
                <w:b/>
                <w:i w:val="0"/>
                <w:color w:val="212121"/>
                <w:sz w:val="19"/>
              </w:rPr>
              <w:t>Pruritus (itching)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Reported in roughly 86% of patients; due to active fibroplasia and nerve involvement within the lesion.</w:t>
            </w:r>
          </w:p>
        </w:tc>
      </w:tr>
      <w:tr>
        <w:trPr>
          <w:cantSplit/>
        </w:trPr>
        <w:tc>
          <w:tcPr>
            <w:tcW w:type="dxa" w:w="2304"/>
            <w:vAlign w:val="top"/>
          </w:tcPr>
          <w:p>
            <w:pPr>
              <w:spacing w:after="40" w:before="0" w:line="259" w:lineRule="auto"/>
            </w:pPr>
            <w:r>
              <w:rPr>
                <w:rFonts w:ascii="Calibri" w:hAnsi="Calibri"/>
                <w:b/>
                <w:i w:val="0"/>
                <w:color w:val="212121"/>
                <w:sz w:val="19"/>
              </w:rPr>
              <w:t>Pain or tenderness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Reported in about 46%; typically most marked during active growth of the lesion.</w:t>
            </w:r>
          </w:p>
        </w:tc>
      </w:tr>
      <w:tr>
        <w:trPr>
          <w:cantSplit/>
        </w:trPr>
        <w:tc>
          <w:tcPr>
            <w:tcW w:type="dxa" w:w="2304"/>
            <w:vAlign w:val="top"/>
          </w:tcPr>
          <w:p>
            <w:pPr>
              <w:spacing w:after="40" w:before="0" w:line="259" w:lineRule="auto"/>
            </w:pPr>
            <w:r>
              <w:rPr>
                <w:rFonts w:ascii="Calibri" w:hAnsi="Calibri"/>
                <w:b/>
                <w:i w:val="0"/>
                <w:color w:val="212121"/>
                <w:sz w:val="19"/>
              </w:rPr>
              <w:t>Cosmetic disfigurement and distress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lesions (face, earlobe, chest) cause substantial psychosocial burden and reduced quality of life.</w:t>
            </w:r>
          </w:p>
        </w:tc>
      </w:tr>
      <w:tr>
        <w:trPr>
          <w:cantSplit/>
        </w:trPr>
        <w:tc>
          <w:tcPr>
            <w:tcW w:type="dxa" w:w="2304"/>
            <w:vAlign w:val="top"/>
          </w:tcPr>
          <w:p>
            <w:pPr>
              <w:spacing w:after="40" w:before="0" w:line="259" w:lineRule="auto"/>
            </w:pPr>
            <w:r>
              <w:rPr>
                <w:rFonts w:ascii="Calibri" w:hAnsi="Calibri"/>
                <w:b/>
                <w:i w:val="0"/>
                <w:color w:val="212121"/>
                <w:sz w:val="19"/>
              </w:rPr>
              <w:t>Continued growth beyond the wound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Characteristic of keloids — the lesion enlarges beyond the original injury over months to years.</w:t>
            </w:r>
          </w:p>
        </w:tc>
      </w:tr>
      <w:tr>
        <w:trPr>
          <w:cantSplit/>
        </w:trPr>
        <w:tc>
          <w:tcPr>
            <w:tcW w:type="dxa" w:w="2304"/>
            <w:vAlign w:val="top"/>
          </w:tcPr>
          <w:p>
            <w:pPr>
              <w:spacing w:after="40" w:before="0" w:line="259" w:lineRule="auto"/>
            </w:pPr>
            <w:r>
              <w:rPr>
                <w:rFonts w:ascii="Calibri" w:hAnsi="Calibri"/>
                <w:b/>
                <w:i w:val="0"/>
                <w:color w:val="212121"/>
                <w:sz w:val="19"/>
              </w:rPr>
              <w:t>Burning or stinging sensation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Often felt over the lesion during the active proliferative phase.</w:t>
            </w:r>
          </w:p>
        </w:tc>
      </w:tr>
      <w:tr>
        <w:trPr>
          <w:cantSplit/>
        </w:trPr>
        <w:tc>
          <w:tcPr>
            <w:tcW w:type="dxa" w:w="2304"/>
            <w:vAlign w:val="top"/>
          </w:tcPr>
          <w:p>
            <w:pPr>
              <w:spacing w:after="40" w:before="0" w:line="259" w:lineRule="auto"/>
            </w:pPr>
            <w:r>
              <w:rPr>
                <w:rFonts w:ascii="Calibri" w:hAnsi="Calibri"/>
                <w:b/>
                <w:i w:val="0"/>
                <w:color w:val="212121"/>
                <w:sz w:val="19"/>
              </w:rPr>
              <w:t>Paraesthesia / hypersensitivity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Altered or heightened sensation over the scar.</w:t>
            </w:r>
          </w:p>
        </w:tc>
      </w:tr>
      <w:tr>
        <w:trPr>
          <w:cantSplit/>
        </w:trPr>
        <w:tc>
          <w:tcPr>
            <w:tcW w:type="dxa" w:w="2304"/>
            <w:vAlign w:val="top"/>
          </w:tcPr>
          <w:p>
            <w:pPr>
              <w:spacing w:after="40" w:before="0" w:line="259" w:lineRule="auto"/>
            </w:pPr>
            <w:r>
              <w:rPr>
                <w:rFonts w:ascii="Calibri" w:hAnsi="Calibri"/>
                <w:b/>
                <w:i w:val="0"/>
                <w:color w:val="212121"/>
                <w:sz w:val="19"/>
              </w:rPr>
              <w:t>Tightness or restricted movement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When a hypertrophic/burn scar crosses a joint, producing contracture.</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nocturnal itch or pain, sometimes driving a scratch–inflammation cycle.</w:t>
            </w:r>
          </w:p>
        </w:tc>
      </w:tr>
      <w:tr>
        <w:trPr>
          <w:cantSplit/>
        </w:trPr>
        <w:tc>
          <w:tcPr>
            <w:tcW w:type="dxa" w:w="2304"/>
            <w:vAlign w:val="top"/>
          </w:tcPr>
          <w:p>
            <w:pPr>
              <w:spacing w:after="40" w:before="0" w:line="259" w:lineRule="auto"/>
            </w:pPr>
            <w:r>
              <w:rPr>
                <w:rFonts w:ascii="Calibri" w:hAnsi="Calibri"/>
                <w:b/>
                <w:i w:val="0"/>
                <w:color w:val="212121"/>
                <w:sz w:val="19"/>
              </w:rPr>
              <w:t>Discharge, ulceration or malodour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With secondary infection or breakdown within very large keloids.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Firm, rubbery, raised dermal nodule or plaque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Well-demarcated, hard scar tissue elevated above surrounding skin.</w:t>
            </w:r>
          </w:p>
        </w:tc>
      </w:tr>
      <w:tr>
        <w:trPr>
          <w:cantSplit/>
        </w:trPr>
        <w:tc>
          <w:tcPr>
            <w:tcW w:type="dxa" w:w="3456"/>
            <w:vAlign w:val="top"/>
          </w:tcPr>
          <w:p>
            <w:pPr>
              <w:spacing w:after="40" w:before="0" w:line="259" w:lineRule="auto"/>
            </w:pPr>
            <w:r>
              <w:rPr>
                <w:rFonts w:ascii="Calibri" w:hAnsi="Calibri"/>
                <w:b/>
                <w:i w:val="0"/>
                <w:color w:val="212121"/>
                <w:sz w:val="19"/>
              </w:rPr>
              <w:t>Extension beyond the original wound margins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Defining sign of a keloid, distinguishing it from a hypertrophic scar confined to the wound.</w:t>
            </w:r>
          </w:p>
        </w:tc>
      </w:tr>
      <w:tr>
        <w:trPr>
          <w:cantSplit/>
        </w:trPr>
        <w:tc>
          <w:tcPr>
            <w:tcW w:type="dxa" w:w="3456"/>
            <w:vAlign w:val="top"/>
          </w:tcPr>
          <w:p>
            <w:pPr>
              <w:spacing w:after="40" w:before="0" w:line="259" w:lineRule="auto"/>
            </w:pPr>
            <w:r>
              <w:rPr>
                <w:rFonts w:ascii="Calibri" w:hAnsi="Calibri"/>
                <w:b/>
                <w:i w:val="0"/>
                <w:color w:val="212121"/>
                <w:sz w:val="19"/>
              </w:rPr>
              <w:t>Smooth, shiny surface with loss of adnexa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Absent hair follicles and pores over the lesion.</w:t>
            </w:r>
          </w:p>
        </w:tc>
      </w:tr>
      <w:tr>
        <w:trPr>
          <w:cantSplit/>
        </w:trPr>
        <w:tc>
          <w:tcPr>
            <w:tcW w:type="dxa" w:w="3456"/>
            <w:vAlign w:val="top"/>
          </w:tcPr>
          <w:p>
            <w:pPr>
              <w:spacing w:after="40" w:before="0" w:line="259" w:lineRule="auto"/>
            </w:pPr>
            <w:r>
              <w:rPr>
                <w:rFonts w:ascii="Calibri" w:hAnsi="Calibri"/>
                <w:b/>
                <w:i w:val="0"/>
                <w:color w:val="212121"/>
                <w:sz w:val="19"/>
              </w:rPr>
              <w:t>Erythema or purplish-red to hyperpigmented colour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Keloids are typically purplish-red; hypertrophic scars pink to red, often hyperpigmented in darker skin.</w:t>
            </w:r>
          </w:p>
        </w:tc>
      </w:tr>
      <w:tr>
        <w:trPr>
          <w:cantSplit/>
        </w:trPr>
        <w:tc>
          <w:tcPr>
            <w:tcW w:type="dxa" w:w="3456"/>
            <w:vAlign w:val="top"/>
          </w:tcPr>
          <w:p>
            <w:pPr>
              <w:spacing w:after="40" w:before="0" w:line="259" w:lineRule="auto"/>
            </w:pPr>
            <w:r>
              <w:rPr>
                <w:rFonts w:ascii="Calibri" w:hAnsi="Calibri"/>
                <w:b/>
                <w:i w:val="0"/>
                <w:color w:val="212121"/>
                <w:sz w:val="19"/>
              </w:rPr>
              <w:t>Surface telangiectasia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Fine dilated vessels visible over the active lesion.</w:t>
            </w:r>
          </w:p>
        </w:tc>
      </w:tr>
      <w:tr>
        <w:trPr>
          <w:cantSplit/>
        </w:trPr>
        <w:tc>
          <w:tcPr>
            <w:tcW w:type="dxa" w:w="3456"/>
            <w:vAlign w:val="top"/>
          </w:tcPr>
          <w:p>
            <w:pPr>
              <w:spacing w:after="40" w:before="0" w:line="259" w:lineRule="auto"/>
            </w:pPr>
            <w:r>
              <w:rPr>
                <w:rFonts w:ascii="Calibri" w:hAnsi="Calibri"/>
                <w:b/>
                <w:i w:val="0"/>
                <w:color w:val="212121"/>
                <w:sz w:val="19"/>
              </w:rPr>
              <w:t>Tenderness and firm consistency on palpation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Lesion is hard and may be tender, especially while active.</w:t>
            </w:r>
          </w:p>
        </w:tc>
      </w:tr>
      <w:tr>
        <w:trPr>
          <w:cantSplit/>
        </w:trPr>
        <w:tc>
          <w:tcPr>
            <w:tcW w:type="dxa" w:w="3456"/>
            <w:vAlign w:val="top"/>
          </w:tcPr>
          <w:p>
            <w:pPr>
              <w:spacing w:after="40" w:before="0" w:line="259" w:lineRule="auto"/>
            </w:pPr>
            <w:r>
              <w:rPr>
                <w:rFonts w:ascii="Calibri" w:hAnsi="Calibri"/>
                <w:b/>
                <w:i w:val="0"/>
                <w:color w:val="212121"/>
                <w:sz w:val="19"/>
              </w:rPr>
              <w:t>Confinement to wound with partial regression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Contrasting sign of a hypertrophic scar — stays within margins and tends to flatten over 1–2 years.</w:t>
            </w:r>
          </w:p>
        </w:tc>
      </w:tr>
      <w:tr>
        <w:trPr>
          <w:cantSplit/>
        </w:trPr>
        <w:tc>
          <w:tcPr>
            <w:tcW w:type="dxa" w:w="3456"/>
            <w:vAlign w:val="top"/>
          </w:tcPr>
          <w:p>
            <w:pPr>
              <w:spacing w:after="40" w:before="0" w:line="259" w:lineRule="auto"/>
            </w:pPr>
            <w:r>
              <w:rPr>
                <w:rFonts w:ascii="Calibri" w:hAnsi="Calibri"/>
                <w:b/>
                <w:i w:val="0"/>
                <w:color w:val="212121"/>
                <w:sz w:val="19"/>
              </w:rPr>
              <w:t>Claw-like or pedunculated projections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Classic morphology of earlobe keloids.</w:t>
            </w:r>
          </w:p>
        </w:tc>
      </w:tr>
      <w:tr>
        <w:trPr>
          <w:cantSplit/>
        </w:trPr>
        <w:tc>
          <w:tcPr>
            <w:tcW w:type="dxa" w:w="3456"/>
            <w:vAlign w:val="top"/>
          </w:tcPr>
          <w:p>
            <w:pPr>
              <w:spacing w:after="40" w:before="0" w:line="259" w:lineRule="auto"/>
            </w:pPr>
            <w:r>
              <w:rPr>
                <w:rFonts w:ascii="Calibri" w:hAnsi="Calibri"/>
                <w:b/>
                <w:i w:val="0"/>
                <w:color w:val="212121"/>
                <w:sz w:val="19"/>
              </w:rPr>
              <w:t>Contracture limiting joint range of motion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Hypertrophic/burn scars across flexures restrict movement.</w:t>
            </w:r>
          </w:p>
        </w:tc>
      </w:tr>
      <w:tr>
        <w:trPr>
          <w:cantSplit/>
        </w:trPr>
        <w:tc>
          <w:tcPr>
            <w:tcW w:type="dxa" w:w="3456"/>
            <w:vAlign w:val="top"/>
          </w:tcPr>
          <w:p>
            <w:pPr>
              <w:spacing w:after="40" w:before="0" w:line="259" w:lineRule="auto"/>
            </w:pPr>
            <w:r>
              <w:rPr>
                <w:rFonts w:ascii="Calibri" w:hAnsi="Calibri"/>
                <w:b/>
                <w:i w:val="0"/>
                <w:color w:val="212121"/>
                <w:sz w:val="19"/>
              </w:rPr>
              <w:t>Ulceration or secondary infection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Breakdown, discharge or crusting in large or neglected lesions.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pruritus and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growth and cosmetic disfigurement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psychosocial distress, anxiety and reduced quality of life</w:t>
            </w:r>
          </w:p>
        </w:tc>
        <w:tc>
          <w:tcPr>
            <w:tcW w:type="dxa" w:w="2980"/>
            <w:vAlign w:val="top"/>
          </w:tcPr>
          <w:p>
            <w:pPr>
              <w:spacing w:after="40" w:before="0" w:line="259" w:lineRule="auto"/>
            </w:pPr>
            <w:r>
              <w:rPr>
                <w:rFonts w:ascii="Calibri" w:hAnsi="Calibri"/>
                <w:b w:val="0"/>
                <w:i w:val="0"/>
                <w:color w:val="212121"/>
                <w:sz w:val="19"/>
              </w:rPr>
              <w:t>Direct symptomatic and cosmetic burden of the lesion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Joint contracture and restricted range of motion (especially hypertrophic/burn scars over flexures)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secondary infection, ulceration or abscess within large keloids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recurrence after treatment (surgical excision alone: about 45–100%)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Pressure symptoms and structural deformity of the ear/face</w:t>
            </w:r>
          </w:p>
        </w:tc>
        <w:tc>
          <w:tcPr>
            <w:tcW w:type="dxa" w:w="2980"/>
            <w:vAlign w:val="top"/>
          </w:tcPr>
          <w:p>
            <w:pPr>
              <w:spacing w:after="40" w:before="0" w:line="259" w:lineRule="auto"/>
            </w:pPr>
            <w:r>
              <w:rPr>
                <w:rFonts w:ascii="Calibri" w:hAnsi="Calibri"/>
                <w:b w:val="0"/>
                <w:i w:val="0"/>
                <w:color w:val="212121"/>
                <w:sz w:val="19"/>
              </w:rPr>
              <w:t>Result from mass effect, chronic inflammation and treatment failure.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functional disability from established contractures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disfigurement with depression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Very rare malignant transformation (squamous cell carcinoma) in longstanding scars or chronic ulceration</w:t>
            </w:r>
          </w:p>
        </w:tc>
        <w:tc>
          <w:tcPr>
            <w:tcW w:type="dxa" w:w="2980"/>
            <w:vAlign w:val="top"/>
          </w:tcPr>
          <w:p>
            <w:pPr>
              <w:spacing w:after="40" w:before="0" w:line="259" w:lineRule="auto"/>
            </w:pPr>
            <w:r>
              <w:rPr>
                <w:rFonts w:ascii="Calibri" w:hAnsi="Calibri"/>
                <w:b w:val="0"/>
                <w:i w:val="0"/>
                <w:color w:val="212121"/>
                <w:sz w:val="19"/>
              </w:rPr>
              <w:t>Irreversible, disabling outcomes of longstanding or repeatedly recurrent lesions.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Acne &amp; folliculitis (incl. acne keloidalis nuchae)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Chronic cutaneous inflammation is a frequent precursor of keloids over the chest, back and nape.</w:t>
            </w:r>
          </w:p>
        </w:tc>
      </w:tr>
      <w:tr>
        <w:trPr>
          <w:cantSplit/>
        </w:trPr>
        <w:tc>
          <w:tcPr>
            <w:tcW w:type="dxa" w:w="2232"/>
            <w:vAlign w:val="top"/>
          </w:tcPr>
          <w:p>
            <w:pPr>
              <w:spacing w:after="40" w:before="0" w:line="259" w:lineRule="auto"/>
            </w:pPr>
            <w:r>
              <w:rPr>
                <w:rFonts w:ascii="Calibri" w:hAnsi="Calibri"/>
                <w:b/>
                <w:i w:val="0"/>
                <w:color w:val="212121"/>
                <w:sz w:val="19"/>
              </w:rPr>
              <w:t>Post-burn / traumatic wounds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Deep burns heal with hypertrophic scarring and contractures; a major cause of scar-related disability in India.</w:t>
            </w:r>
          </w:p>
        </w:tc>
      </w:tr>
      <w:tr>
        <w:trPr>
          <w:cantSplit/>
        </w:trPr>
        <w:tc>
          <w:tcPr>
            <w:tcW w:type="dxa" w:w="2232"/>
            <w:vAlign w:val="top"/>
          </w:tcPr>
          <w:p>
            <w:pPr>
              <w:spacing w:after="40" w:before="0" w:line="259" w:lineRule="auto"/>
            </w:pPr>
            <w:r>
              <w:rPr>
                <w:rFonts w:ascii="Calibri" w:hAnsi="Calibri"/>
                <w:b/>
                <w:i w:val="0"/>
                <w:color w:val="212121"/>
                <w:sz w:val="19"/>
              </w:rPr>
              <w:t>Atopic dermatitis / atopy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Chronic inflammation and scratching may increase the tendency to abnormal scarring.</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Reported association with larger and more severe keloids (associative, not established causation).</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Lower serum 25(OH)D reported in keloid patients; highly prevalent in India.</w:t>
            </w:r>
          </w:p>
        </w:tc>
      </w:tr>
      <w:tr>
        <w:trPr>
          <w:cantSplit/>
        </w:trPr>
        <w:tc>
          <w:tcPr>
            <w:tcW w:type="dxa" w:w="2232"/>
            <w:vAlign w:val="top"/>
          </w:tcPr>
          <w:p>
            <w:pPr>
              <w:spacing w:after="40" w:before="0" w:line="259" w:lineRule="auto"/>
            </w:pPr>
            <w:r>
              <w:rPr>
                <w:rFonts w:ascii="Calibri" w:hAnsi="Calibri"/>
                <w:b/>
                <w:i w:val="0"/>
                <w:color w:val="212121"/>
                <w:sz w:val="19"/>
              </w:rPr>
              <w:t>Obesity / raised BMI</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Associated with more severe scarring and greater skin tension.</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psychosocial burden from disfigurement, itch and pain.</w:t>
            </w:r>
          </w:p>
        </w:tc>
      </w:tr>
      <w:tr>
        <w:trPr>
          <w:cantSplit/>
        </w:trPr>
        <w:tc>
          <w:tcPr>
            <w:tcW w:type="dxa" w:w="2232"/>
            <w:vAlign w:val="top"/>
          </w:tcPr>
          <w:p>
            <w:pPr>
              <w:spacing w:after="40" w:before="0" w:line="259" w:lineRule="auto"/>
            </w:pPr>
            <w:r>
              <w:rPr>
                <w:rFonts w:ascii="Calibri" w:hAnsi="Calibri"/>
                <w:b/>
                <w:i w:val="0"/>
                <w:color w:val="212121"/>
                <w:sz w:val="19"/>
              </w:rPr>
              <w:t>Hidradenitis suppurativa / chronic scalp folliculitis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Chronic follicular inflammation predisposes to keloidal scarring.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keloid-prone individuals or families, avoid elective skin trauma — unnecessary piercings (especially high ear cartilage), tattoos and non-essential cosmetic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piercing is culturally important, limit it to a single earlobe piercing, keep it scrupulously clean, and remove the stud promptly at the first sign of a bump.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acne and folliculitis early to prevent inflammatory keloids (e.g., acne keloidalis nuchae); avoid picking or squeezing lesions and avoid close shaving of the nape.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scar prevention as soon as a wound has healed — silicone gel or sheeting worn 12–24 hours/day for at least 8–12 weeks, plus sun protection to reduce 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dermatological review early for any scar that itches, reddens or starts to rise above skin level, since small, early lesions respond best to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Keloid-prone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considering piercing/tattoos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Acne-prone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Fitzpatrick IV–VI skin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Offload mechanical tension on fresh scars at high-tension sites (chest, shoulder) with paper-tape or silicone taping and avoid over-stretching immature wounds.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regular gentle scar massage once the wound has fully closed to help soften and flatten the scar.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pressure therapy/garments (worn about 12–20 hours/day for several months) for hypertrophic and burn scars.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stretching and physiotherapy to prevent and treat joint contractures, and avoid contact sports that repeatedly re-injure a healing site until it matures.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Post-surgical &amp; burn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Scars over joints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High-tension-site scars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hypertrophic scars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dietary protein and micronutrients (vitamin C, zinc) to support orderly wound healing and collagen remodelling.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anaemia and general undernutrition, which impair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diet and a healthy weight, since obesity is linked with more severe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Check and correct vitamin D deficiency, which is common in India and reported to be lower in keloid patients.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good-quality sleep to support tissue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nocturnal itch with moisturisers, antihistamines and silicone to prevent scratching that worsens scars and disturbs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nails short and consider light cotton night dressings to reduce scratching trauma over the lesion.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itchy keloids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Post-burn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keloids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around any planned surgery or wound to optimise healing and reduce infection and wound breakdown that can worsen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during the post-operative and scar-maturation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although smoking impairs wound healing generally, its direct relationship with keloid formation is complex; cessation remains advised for overall skin and wound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wounds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Peri-operative period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especially around surgery and during wound healing, as excess intake impairs healing and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which also worsens sleep and skin 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healing wounds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address the psychosocial impact — keloids commonly cause distress, anxiety and reduced quality of life (assess with the DLQI).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reassurance, realistic expectations about recurrence, and counselling or peer support for visible or disfiguring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symptom control (itch and pain), which is central to improving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psychological support or treatment of depression/anxiety where the cosmetic burden is significant, especially in adolescents and young adults.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visible/facial keloids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keloids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Post-burn survivors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ad.org/public/diseases/a-z/keloids-causes" TargetMode="External"/><Relationship Id="rId10" Type="http://schemas.openxmlformats.org/officeDocument/2006/relationships/hyperlink" Target="https://www.ncbi.nlm.nih.gov/books/NBK507899/" TargetMode="External"/><Relationship Id="rId11" Type="http://schemas.openxmlformats.org/officeDocument/2006/relationships/hyperlink" Target="https://dermnetnz.org/topics/keloid-and-hypertrophic-scar" TargetMode="External"/><Relationship Id="rId12" Type="http://schemas.openxmlformats.org/officeDocument/2006/relationships/hyperlink" Target="https://www.aad.org/public/diseases/a-z/keloid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