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i w:val="0"/>
          <w:color w:val="2B2B33"/>
          <w:sz w:val="44"/>
        </w:rPr>
        <w:t>Bullous Pemphigoid</w:t>
      </w:r>
    </w:p>
    <w:p>
      <w:pPr>
        <w:spacing w:before="0" w:after="160"/>
      </w:pPr>
      <w:r>
        <w:rPr>
          <w:rFonts w:ascii="Calibri" w:hAnsi="Calibri"/>
          <w:b/>
          <w:i w:val="0"/>
          <w:color w:val="212121"/>
          <w:sz w:val="22"/>
        </w:rPr>
        <w:t xml:space="preserve">AKA </w:t>
      </w:r>
      <w:r>
        <w:rPr>
          <w:rFonts w:ascii="Calibri" w:hAnsi="Calibri"/>
          <w:b w:val="0"/>
          <w:i w:val="0"/>
          <w:color w:val="212121"/>
          <w:sz w:val="22"/>
        </w:rPr>
        <w:t>i.e., BP, Senile pemphigoid, Pemphigoid; a subepidermal autoimmune blistering disease</w:t>
      </w:r>
    </w:p>
    <w:p>
      <w:pPr>
        <w:spacing w:before="280" w:after="120"/>
      </w:pPr>
      <w:r>
        <w:rPr>
          <w:rFonts w:ascii="Calibri" w:hAnsi="Calibri"/>
          <w:b/>
          <w:i w:val="0"/>
          <w:color w:val="212121"/>
          <w:sz w:val="31"/>
        </w:rPr>
        <w:t>Introduction to MCP</w:t>
      </w:r>
    </w:p>
    <w:p>
      <w:pPr>
        <w:spacing w:before="200" w:after="120"/>
      </w:pPr>
      <w:r>
        <w:rPr>
          <w:rFonts w:ascii="Calibri" w:hAnsi="Calibri"/>
          <w:b/>
          <w:i w:val="0"/>
          <w:color w:val="212121"/>
          <w:sz w:val="25"/>
        </w:rPr>
        <w:t>Definition</w:t>
      </w:r>
    </w:p>
    <w:p>
      <w:pPr>
        <w:spacing w:before="0" w:after="120"/>
      </w:pPr>
      <w:r>
        <w:rPr>
          <w:rFonts w:ascii="Calibri" w:hAnsi="Calibri"/>
          <w:b w:val="0"/>
          <w:i w:val="0"/>
          <w:color w:val="212121"/>
          <w:sz w:val="21"/>
        </w:rPr>
        <w:t>Bullous pemphigoid (BP) is the most common autoimmune subepidermal blistering disease, occurring chiefly in the elderly. It is caused by IgG autoantibodies directed against the hemidesmosomal proteins BP180 (type XVII collagen / BPAG2) and BP230 (BPAG1) at the dermo-epidermal junction; antibody binding activates complement and recruits eosinophils and neutrophils, which split the epidermis from the dermis. Clinically it produces intense pruritus, urticarial plaques and large, tense, fluid-filled bullae that characteristically heal without scarring. BP is strongly associated with neurological disease and with certain drugs, notably DPP-4 inhibitors (gliptins).</w:t>
      </w:r>
    </w:p>
    <w:p>
      <w:pPr>
        <w:spacing w:before="200" w:after="120"/>
      </w:pPr>
      <w:r>
        <w:rPr>
          <w:rFonts w:ascii="Calibri" w:hAnsi="Calibri"/>
          <w:b/>
          <w:i w:val="0"/>
          <w:color w:val="212121"/>
          <w:sz w:val="25"/>
        </w:rPr>
        <w:t>Prevalence</w:t>
      </w:r>
    </w:p>
    <w:p>
      <w:pPr>
        <w:spacing w:before="0" w:after="120"/>
      </w:pPr>
      <w:r>
        <w:rPr>
          <w:rFonts w:ascii="Calibri" w:hAnsi="Calibri"/>
          <w:b w:val="0"/>
          <w:i w:val="0"/>
          <w:color w:val="212121"/>
          <w:sz w:val="21"/>
        </w:rPr>
        <w:t>Bullous pemphigoid is the most common autoimmune blistering disease of the elderly. Population incidence is estimated at roughly 6-13 new cases per million per year in Western studies, and robust nationwide Indian incidence figures are lacking. In Indian immunobullous clinics BP is the commonest subepidermal autoimmune bullous disease, accounting for about 40% of such cases, and Indian patients tend to present younger (mean age about 62.5 years) with a male preponderance (male:female roughly 1.6:1) and after a long delay (mean about 27.5 months).</w:t>
      </w:r>
    </w:p>
    <w:p>
      <w:pPr>
        <w:spacing w:before="200" w:after="120"/>
      </w:pPr>
      <w:r>
        <w:rPr>
          <w:rFonts w:ascii="Calibri" w:hAnsi="Calibri"/>
          <w:b/>
          <w:i w:val="0"/>
          <w:color w:val="212121"/>
          <w:sz w:val="25"/>
        </w:rPr>
        <w:t>Diagnosis</w:t>
      </w:r>
    </w:p>
    <w:p>
      <w:pPr>
        <w:spacing w:before="0" w:after="120"/>
      </w:pPr>
      <w:r>
        <w:rPr>
          <w:rFonts w:ascii="Calibri" w:hAnsi="Calibri"/>
          <w:b w:val="0"/>
          <w:i w:val="0"/>
          <w:color w:val="212121"/>
          <w:sz w:val="21"/>
        </w:rPr>
        <w:t>Bullous pemphigoid is diagnosed by combining a compatible clinical picture in an older adult with histopathology and, most importantly, immunofluorescence and serology:</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Compatible clinical features: intense pruritus with tense bullae and/or urticarial plaques, typically on the flexures, trunk and limbs of an older adult, with a negative Nikolsky sign;</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Lesional skin histopathology showing a subepidermal blister with an eosinophil-rich dermal infiltrate (eosinophilic spongiosis in the urticarial phase);</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Direct immunofluorescence (DIF) of perilesional skin, the diagnostic gold standard, showing linear deposition of IgG and/or complement C3 along the basement-membrane zone;</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Serology by ELISA/BIOCHIP detecting circulating IgG against BP180 (NC16A domain; about 89% sensitivity, 98% specificity) and/or BP230;</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Indirect immunofluorescence on 1M NaCl salt-split skin localising IgG to the epidermal (blister-roof) side, distinguishing BP from epidermolysis bullosa acquisita and anti-p200 pemphigoid;</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Support from the French Bullous Study Group clinical criteria (3 of 4: age over 70 years, absence of atrophic scars, absence of head/neck involvement, absence of mucosal involvement) once immunofluorescence confirms subepidermal linear IgG/C3.</w:t>
      </w:r>
    </w:p>
    <w:p>
      <w:pPr>
        <w:spacing w:before="200" w:after="120"/>
      </w:pPr>
      <w:r>
        <w:rPr>
          <w:rFonts w:ascii="Calibri" w:hAnsi="Calibri"/>
          <w:b/>
          <w:i w:val="0"/>
          <w:color w:val="212121"/>
          <w:sz w:val="25"/>
        </w:rPr>
        <w:t>Classification</w:t>
      </w:r>
    </w:p>
    <w:p>
      <w:pPr>
        <w:spacing w:before="0" w:after="120"/>
      </w:pPr>
      <w:r>
        <w:rPr>
          <w:rFonts w:ascii="Calibri" w:hAnsi="Calibri"/>
          <w:b w:val="0"/>
          <w:i w:val="0"/>
          <w:color w:val="212121"/>
          <w:sz w:val="21"/>
        </w:rPr>
        <w:t>Bullous pemphigoid encompasses a spectrum of clinical variants unified by subepidermal, anti-BP180/BP230 autoimmunity:</w:t>
      </w:r>
    </w:p>
    <w:p>
      <w:pPr>
        <w:spacing w:before="0" w:after="80"/>
      </w:pPr>
      <w:r>
        <w:rPr>
          <w:rFonts w:ascii="Calibri" w:hAnsi="Calibri"/>
          <w:b w:val="0"/>
          <w:i w:val="0"/>
          <w:color w:val="212121"/>
          <w:sz w:val="21"/>
        </w:rPr>
        <w:t>(1) Classic bullous BP, the typical widespread eruption of tense bullae on urticarial or normal-appearing skin with intense pruritus;</w:t>
      </w:r>
    </w:p>
    <w:p>
      <w:pPr>
        <w:spacing w:before="0" w:after="80"/>
      </w:pPr>
      <w:r>
        <w:rPr>
          <w:rFonts w:ascii="Calibri" w:hAnsi="Calibri"/>
          <w:b w:val="0"/>
          <w:i w:val="0"/>
          <w:color w:val="212121"/>
          <w:sz w:val="21"/>
        </w:rPr>
        <w:t>(2) Non-bullous (prodromal) BP, presenting as pruritus with urticarial, eczematous or excoriated lesions and no blisters, seen in about 20% of patients at presentation and a common cause of delayed or missed diagnosis;</w:t>
      </w:r>
    </w:p>
    <w:p>
      <w:pPr>
        <w:spacing w:before="0" w:after="80"/>
      </w:pPr>
      <w:r>
        <w:rPr>
          <w:rFonts w:ascii="Calibri" w:hAnsi="Calibri"/>
          <w:b w:val="0"/>
          <w:i w:val="0"/>
          <w:color w:val="212121"/>
          <w:sz w:val="21"/>
        </w:rPr>
        <w:t>(3) Localised variants, with disease confined to one region, for example pretibial, peristomal, or the Brunsting-Perry cicatricial variant;</w:t>
      </w:r>
    </w:p>
    <w:p>
      <w:pPr>
        <w:spacing w:before="0" w:after="80"/>
      </w:pPr>
      <w:r>
        <w:rPr>
          <w:rFonts w:ascii="Calibri" w:hAnsi="Calibri"/>
          <w:b w:val="0"/>
          <w:i w:val="0"/>
          <w:color w:val="212121"/>
          <w:sz w:val="21"/>
        </w:rPr>
        <w:t>(4) Drug-induced BP, precipitated by DPP-4 inhibitors (gliptins), immune-checkpoint inhibitors (anti-PD-1/PD-L1), diuretics and other drugs; it affects a somewhat younger subset, may show mucosal involvement, and the gliptin-associated form often improves after the culprit drug is withdrawn;</w:t>
      </w:r>
    </w:p>
    <w:p>
      <w:pPr>
        <w:spacing w:before="0" w:after="80"/>
      </w:pPr>
      <w:r>
        <w:rPr>
          <w:rFonts w:ascii="Calibri" w:hAnsi="Calibri"/>
          <w:b w:val="0"/>
          <w:i w:val="0"/>
          <w:color w:val="212121"/>
          <w:sz w:val="21"/>
        </w:rPr>
        <w:t>(5) Other morphological variants, including dyshidrosiform, nodularis (prurigo-like), vegetans and erythrodermic BP; and</w:t>
      </w:r>
    </w:p>
    <w:p>
      <w:pPr>
        <w:spacing w:before="0" w:after="80"/>
      </w:pPr>
      <w:r>
        <w:rPr>
          <w:rFonts w:ascii="Calibri" w:hAnsi="Calibri"/>
          <w:b w:val="0"/>
          <w:i w:val="0"/>
          <w:color w:val="212121"/>
          <w:sz w:val="21"/>
        </w:rPr>
        <w:t>(6) Childhood/infantile BP and the pregnancy-associated relative pemphigoid gestationis, which are distinct but mechanistically related subepidermal pemphigoid diseases.</w:t>
      </w:r>
    </w:p>
    <w:p>
      <w:pPr>
        <w:spacing w:before="200" w:after="120"/>
      </w:pPr>
      <w:r>
        <w:rPr>
          <w:rFonts w:ascii="Calibri" w:hAnsi="Calibri"/>
          <w:b/>
          <w:i w:val="0"/>
          <w:color w:val="212121"/>
          <w:sz w:val="25"/>
        </w:rPr>
        <w:t>Etiology</w:t>
      </w:r>
    </w:p>
    <w:p>
      <w:pPr>
        <w:spacing w:after="60"/>
        <w:ind w:left="432" w:hanging="288"/>
      </w:pPr>
      <w:r>
        <w:rPr>
          <w:rFonts w:ascii="Calibri" w:hAnsi="Calibri"/>
          <w:b/>
          <w:i w:val="0"/>
          <w:color w:val="212121"/>
          <w:sz w:val="21"/>
        </w:rPr>
        <w:t xml:space="preserve">1. </w:t>
      </w:r>
      <w:r>
        <w:rPr>
          <w:rFonts w:ascii="Calibri" w:hAnsi="Calibri"/>
          <w:b w:val="0"/>
          <w:i w:val="0"/>
          <w:color w:val="212121"/>
          <w:sz w:val="21"/>
        </w:rPr>
        <w:t>Autoantibody formation: IgG autoantibodies against the hemidesmosomal antigens BP180 (type XVII collagen / BPAG2, especially its NC16A domain) and BP230 (BPAG1) drive complement activation, mast-cell and eosinophil recruitment, and dermo-epidermal separation.</w:t>
      </w:r>
    </w:p>
    <w:p>
      <w:pPr>
        <w:spacing w:after="60"/>
        <w:ind w:left="432" w:hanging="288"/>
      </w:pPr>
      <w:r>
        <w:rPr>
          <w:rFonts w:ascii="Calibri" w:hAnsi="Calibri"/>
          <w:b/>
          <w:i w:val="0"/>
          <w:color w:val="212121"/>
          <w:sz w:val="21"/>
        </w:rPr>
        <w:t xml:space="preserve">2. </w:t>
      </w:r>
      <w:r>
        <w:rPr>
          <w:rFonts w:ascii="Calibri" w:hAnsi="Calibri"/>
          <w:b w:val="0"/>
          <w:i w:val="0"/>
          <w:color w:val="212121"/>
          <w:sz w:val="21"/>
        </w:rPr>
        <w:t>Ageing and immunosenescence: BP is overwhelmingly a disease of the elderly; age-related immune dysregulation and loss of self-tolerance underlie its steep rise in incidence after 60 years.</w:t>
      </w:r>
    </w:p>
    <w:p>
      <w:pPr>
        <w:spacing w:after="60"/>
        <w:ind w:left="432" w:hanging="288"/>
      </w:pPr>
      <w:r>
        <w:rPr>
          <w:rFonts w:ascii="Calibri" w:hAnsi="Calibri"/>
          <w:b/>
          <w:i w:val="0"/>
          <w:color w:val="212121"/>
          <w:sz w:val="21"/>
        </w:rPr>
        <w:t xml:space="preserve">3. </w:t>
      </w:r>
      <w:r>
        <w:rPr>
          <w:rFonts w:ascii="Calibri" w:hAnsi="Calibri"/>
          <w:b w:val="0"/>
          <w:i w:val="0"/>
          <w:color w:val="212121"/>
          <w:sz w:val="21"/>
        </w:rPr>
        <w:t>Neurological disease: Stroke, dementia, Parkinson's disease, multiple sclerosis and epilepsy are strongly associated; collagen XVII is expressed in the central nervous system, so neural injury may expose shared antigen and trigger autoantibodies, and neurological disease usually precedes BP by years.</w:t>
      </w:r>
    </w:p>
    <w:p>
      <w:pPr>
        <w:spacing w:after="60"/>
        <w:ind w:left="432" w:hanging="288"/>
      </w:pPr>
      <w:r>
        <w:rPr>
          <w:rFonts w:ascii="Calibri" w:hAnsi="Calibri"/>
          <w:b/>
          <w:i w:val="0"/>
          <w:color w:val="212121"/>
          <w:sz w:val="21"/>
        </w:rPr>
        <w:t xml:space="preserve">4. </w:t>
      </w:r>
      <w:r>
        <w:rPr>
          <w:rFonts w:ascii="Calibri" w:hAnsi="Calibri"/>
          <w:b w:val="0"/>
          <w:i w:val="0"/>
          <w:color w:val="212121"/>
          <w:sz w:val="21"/>
        </w:rPr>
        <w:t>Drugs: DPP-4 inhibitors (gliptins), immune-checkpoint inhibitors, loop and potassium-sparing diuretics, certain antibiotics and other agents can precipitate BP; these are important and sometimes reversible triggers, particularly relevant in India's large gliptin-treated diabetic population.</w:t>
      </w:r>
    </w:p>
    <w:p>
      <w:pPr>
        <w:spacing w:after="60"/>
        <w:ind w:left="432" w:hanging="288"/>
      </w:pPr>
      <w:r>
        <w:rPr>
          <w:rFonts w:ascii="Calibri" w:hAnsi="Calibri"/>
          <w:b/>
          <w:i w:val="0"/>
          <w:color w:val="212121"/>
          <w:sz w:val="21"/>
        </w:rPr>
        <w:t xml:space="preserve">5. </w:t>
      </w:r>
      <w:r>
        <w:rPr>
          <w:rFonts w:ascii="Calibri" w:hAnsi="Calibri"/>
          <w:b w:val="0"/>
          <w:i w:val="0"/>
          <w:color w:val="212121"/>
          <w:sz w:val="21"/>
        </w:rPr>
        <w:t>Genetic susceptibility: HLA class II alleles, notably HLA-DQB1*03:01, predispose to BP, especially the gliptin-associated form.</w:t>
      </w:r>
    </w:p>
    <w:p>
      <w:pPr>
        <w:spacing w:after="60"/>
        <w:ind w:left="432" w:hanging="288"/>
      </w:pPr>
      <w:r>
        <w:rPr>
          <w:rFonts w:ascii="Calibri" w:hAnsi="Calibri"/>
          <w:b/>
          <w:i w:val="0"/>
          <w:color w:val="212121"/>
          <w:sz w:val="21"/>
        </w:rPr>
        <w:t xml:space="preserve">6. </w:t>
      </w:r>
      <w:r>
        <w:rPr>
          <w:rFonts w:ascii="Calibri" w:hAnsi="Calibri"/>
          <w:b w:val="0"/>
          <w:i w:val="0"/>
          <w:color w:val="212121"/>
          <w:sz w:val="21"/>
        </w:rPr>
        <w:t>External and physical triggers: Trauma (Koebner phenomenon), ultraviolet exposure/phototherapy, radiotherapy, thermal burns and some infections can provoke or localise disease.</w:t>
      </w:r>
    </w:p>
    <w:p>
      <w:pPr>
        <w:spacing w:before="280" w:after="120"/>
      </w:pPr>
      <w:r>
        <w:rPr>
          <w:rFonts w:ascii="Calibri" w:hAnsi="Calibri"/>
          <w:b/>
          <w:i w:val="0"/>
          <w:color w:val="212121"/>
          <w:sz w:val="31"/>
        </w:rPr>
        <w:t>Research Draft of MCP</w:t>
      </w:r>
    </w:p>
    <w:p>
      <w:pPr>
        <w:spacing w:before="200" w:after="120"/>
      </w:pPr>
      <w:r>
        <w:rPr>
          <w:rFonts w:ascii="Calibri" w:hAnsi="Calibri"/>
          <w:b/>
          <w:i w:val="0"/>
          <w:color w:val="212121"/>
          <w:sz w:val="25"/>
        </w:rPr>
        <w:t>Profiles Prone To</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401"/>
        <w:gridCol w:w="2401"/>
        <w:gridCol w:w="2401"/>
        <w:gridCol w:w="24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Category</w:t>
            </w:r>
          </w:p>
        </w:tc>
        <w:tc>
          <w:tcPr>
            <w:tcW w:type="dxa" w:w="1655"/>
            <w:shd w:val="clear" w:color="auto" w:fill="F2F2F2"/>
            <w:vAlign w:val="center"/>
          </w:tcPr>
          <w:p>
            <w:pPr>
              <w:spacing w:after="40" w:before="0" w:line="259" w:lineRule="auto"/>
            </w:pPr>
            <w:r>
              <w:rPr>
                <w:rFonts w:ascii="Calibri" w:hAnsi="Calibri"/>
                <w:b/>
                <w:i w:val="0"/>
                <w:color w:val="212121"/>
                <w:sz w:val="19"/>
              </w:rPr>
              <w:t>Disposition</w:t>
            </w:r>
          </w:p>
        </w:tc>
        <w:tc>
          <w:tcPr>
            <w:tcW w:type="dxa" w:w="2160"/>
            <w:shd w:val="clear" w:color="auto" w:fill="F2F2F2"/>
            <w:vAlign w:val="center"/>
          </w:tcPr>
          <w:p>
            <w:pPr>
              <w:spacing w:after="40" w:before="0" w:line="259" w:lineRule="auto"/>
            </w:pPr>
            <w:r>
              <w:rPr>
                <w:rFonts w:ascii="Calibri" w:hAnsi="Calibri"/>
                <w:b/>
                <w:i w:val="0"/>
                <w:color w:val="212121"/>
                <w:sz w:val="19"/>
              </w:rPr>
              <w:t>Profiles</w:t>
            </w:r>
          </w:p>
        </w:tc>
        <w:tc>
          <w:tcPr>
            <w:tcW w:type="dxa" w:w="4276"/>
            <w:shd w:val="clear" w:color="auto" w:fill="F2F2F2"/>
            <w:vAlign w:val="center"/>
          </w:tcPr>
          <w:p>
            <w:pPr>
              <w:spacing w:after="40" w:before="0" w:line="259" w:lineRule="auto"/>
            </w:pPr>
            <w:r>
              <w:rPr>
                <w:rFonts w:ascii="Calibri" w:hAnsi="Calibri"/>
                <w:b/>
                <w:i w:val="0"/>
                <w:color w:val="212121"/>
                <w:sz w:val="19"/>
              </w:rPr>
              <w:t>Explanation</w:t>
            </w:r>
          </w:p>
        </w:tc>
      </w:tr>
      <w:tr>
        <w:trPr>
          <w:cantSplit/>
        </w:trPr>
        <w:tc>
          <w:tcPr>
            <w:tcW w:type="dxa" w:w="1512"/>
            <w:vMerge w:val="restart"/>
            <w:vAlign w:val="center"/>
          </w:tcPr>
          <w:p>
            <w:pPr>
              <w:spacing w:after="40"/>
            </w:pPr>
            <w:r>
              <w:rPr>
                <w:rFonts w:ascii="Calibri" w:hAnsi="Calibri"/>
                <w:b/>
                <w:i w:val="0"/>
                <w:color w:val="212121"/>
                <w:sz w:val="19"/>
              </w:rPr>
              <w:t>Demographic factors</w:t>
            </w:r>
          </w:p>
        </w:tc>
        <w:tc>
          <w:tcPr>
            <w:tcW w:type="dxa" w:w="1655"/>
            <w:vMerge w:val="restart"/>
            <w:vAlign w:val="center"/>
          </w:tcPr>
          <w:p>
            <w:pPr>
              <w:spacing w:after="40"/>
            </w:pPr>
            <w:r>
              <w:rPr>
                <w:rFonts w:ascii="Calibri" w:hAnsi="Calibri"/>
                <w:b w:val="0"/>
                <w:i w:val="0"/>
                <w:color w:val="212121"/>
                <w:sz w:val="19"/>
              </w:rPr>
              <w:t>Age</w:t>
            </w:r>
          </w:p>
        </w:tc>
        <w:tc>
          <w:tcPr>
            <w:tcW w:type="dxa" w:w="2160"/>
            <w:vAlign w:val="top"/>
          </w:tcPr>
          <w:p>
            <w:pPr>
              <w:spacing w:after="40" w:before="0" w:line="259" w:lineRule="auto"/>
            </w:pPr>
            <w:r>
              <w:rPr>
                <w:rFonts w:ascii="Calibri" w:hAnsi="Calibri"/>
                <w:b w:val="0"/>
                <w:i w:val="0"/>
                <w:color w:val="212121"/>
                <w:sz w:val="19"/>
              </w:rPr>
              <w:t>Adults</w:t>
            </w:r>
          </w:p>
        </w:tc>
        <w:tc>
          <w:tcPr>
            <w:tcW w:type="dxa" w:w="4276"/>
            <w:vAlign w:val="top"/>
          </w:tcPr>
          <w:p>
            <w:pPr>
              <w:spacing w:after="60" w:line="259" w:lineRule="auto"/>
            </w:pPr>
            <w:r>
              <w:rPr>
                <w:rFonts w:ascii="Calibri" w:hAnsi="Calibri"/>
                <w:b w:val="0"/>
                <w:i w:val="0"/>
                <w:color w:val="212121"/>
                <w:sz w:val="19"/>
              </w:rPr>
              <w:t>Bullous pemphigoid is uncommon before the age of 60. When it presents in younger adults it should prompt a search for a trigger, particularly drug-induced BP from DPP-4 inhibitors (gliptins), immune-checkpoint inhibitors or diuretics, or the rare childhood/infantile form.</w:t>
            </w:r>
          </w:p>
          <w:p>
            <w:pPr>
              <w:spacing w:after="40" w:before="60" w:line="259" w:lineRule="auto"/>
            </w:pPr>
            <w:r>
              <w:rPr>
                <w:rFonts w:ascii="Calibri" w:hAnsi="Calibri"/>
                <w:b w:val="0"/>
                <w:i w:val="0"/>
                <w:color w:val="212121"/>
                <w:sz w:val="19"/>
              </w:rPr>
              <w:t>Onset before 60 years is unusual; incidence rises steeply with each subsequent decade of life, reaching roughly 6-13 per million per year in older populations.</w:t>
            </w:r>
          </w:p>
          <w:p>
            <w:pPr>
              <w:spacing w:after="40" w:line="252" w:lineRule="auto"/>
            </w:pPr>
            <w:hyperlink r:id="rId9">
              <w:r>
                <w:rPr>
                  <w:rFonts w:ascii="Calibri" w:hAnsi="Calibri" w:cs="Calibri"/>
                  <w:sz w:val="18"/>
                  <w:color w:val="1155CC"/>
                  <w:u w:val="single"/>
                </w:rPr>
                <w:t xml:space="preserve">ncbi.nlm.nih.gov - StatPearls, Bullous Pemphigoid</w:t>
              </w:r>
            </w:hyperlink>
          </w:p>
          <w:p>
            <w:pPr>
              <w:spacing w:before="60" w:after="40"/>
            </w:pPr>
            <w:r>
              <w:rPr>
                <w:rFonts w:ascii="Calibri" w:hAnsi="Calibri"/>
                <w:b w:val="0"/>
                <w:i w:val="0"/>
                <w:color w:val="5A5A5A"/>
                <w:sz w:val="18"/>
              </w:rPr>
              <w:t>#druginduced  #gliptin  #youngeronset  #checkpointinhibitor</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Elderly</w:t>
            </w:r>
          </w:p>
        </w:tc>
        <w:tc>
          <w:tcPr>
            <w:tcW w:type="dxa" w:w="4276"/>
            <w:vAlign w:val="top"/>
          </w:tcPr>
          <w:p>
            <w:pPr>
              <w:spacing w:after="60" w:line="259" w:lineRule="auto"/>
            </w:pPr>
            <w:r>
              <w:rPr>
                <w:rFonts w:ascii="Calibri" w:hAnsi="Calibri"/>
                <w:b w:val="0"/>
                <w:i w:val="0"/>
                <w:color w:val="212121"/>
                <w:sz w:val="19"/>
              </w:rPr>
              <w:t>The elderly are the core at-risk group. Immunosenescence, a high burden of neurological disease and polypharmacy converge to make BP predominantly a disease of the seventh to ninth decades.</w:t>
            </w:r>
          </w:p>
          <w:p>
            <w:pPr>
              <w:spacing w:after="40" w:before="60" w:line="259" w:lineRule="auto"/>
            </w:pPr>
            <w:r>
              <w:rPr>
                <w:rFonts w:ascii="Calibri" w:hAnsi="Calibri"/>
                <w:b w:val="0"/>
                <w:i w:val="0"/>
                <w:color w:val="212121"/>
                <w:sz w:val="19"/>
              </w:rPr>
              <w:t>In an Indian autoimmune-bullous clinic the mean age at diagnosis was 62.5 years; Western series peak at 60-80 years.</w:t>
            </w:r>
          </w:p>
          <w:p>
            <w:pPr>
              <w:spacing w:after="40" w:line="252" w:lineRule="auto"/>
            </w:pPr>
            <w:hyperlink r:id="rId10">
              <w:r>
                <w:rPr>
                  <w:rFonts w:ascii="Calibri" w:hAnsi="Calibri" w:cs="Calibri"/>
                  <w:sz w:val="18"/>
                  <w:color w:val="1155CC"/>
                  <w:u w:val="single"/>
                </w:rPr>
                <w:t xml:space="preserve">pubmed.ncbi.nlm.nih.gov/35962510</w:t>
              </w:r>
            </w:hyperlink>
          </w:p>
          <w:p>
            <w:pPr>
              <w:spacing w:before="60" w:after="40"/>
            </w:pPr>
            <w:r>
              <w:rPr>
                <w:rFonts w:ascii="Calibri" w:hAnsi="Calibri"/>
                <w:b w:val="0"/>
                <w:i w:val="0"/>
                <w:color w:val="5A5A5A"/>
                <w:sz w:val="18"/>
              </w:rPr>
              <w:t>#elderly  #immunosenescence  #polypharmacy  #geriatricderm</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Sex</w:t>
            </w:r>
          </w:p>
        </w:tc>
        <w:tc>
          <w:tcPr>
            <w:tcW w:type="dxa" w:w="2160"/>
            <w:vAlign w:val="top"/>
          </w:tcPr>
          <w:p>
            <w:pPr>
              <w:spacing w:after="40" w:before="0" w:line="259" w:lineRule="auto"/>
            </w:pPr>
            <w:r>
              <w:rPr>
                <w:rFonts w:ascii="Calibri" w:hAnsi="Calibri"/>
                <w:b w:val="0"/>
                <w:i w:val="0"/>
                <w:color w:val="212121"/>
                <w:sz w:val="19"/>
              </w:rPr>
              <w:t>Male</w:t>
            </w:r>
          </w:p>
        </w:tc>
        <w:tc>
          <w:tcPr>
            <w:tcW w:type="dxa" w:w="4276"/>
            <w:vAlign w:val="top"/>
          </w:tcPr>
          <w:p>
            <w:pPr>
              <w:spacing w:after="60" w:line="259" w:lineRule="auto"/>
            </w:pPr>
            <w:r>
              <w:rPr>
                <w:rFonts w:ascii="Calibri" w:hAnsi="Calibri"/>
                <w:b w:val="0"/>
                <w:i w:val="0"/>
                <w:color w:val="212121"/>
                <w:sz w:val="19"/>
              </w:rPr>
              <w:t>Western series report roughly equal sex distribution, but Indian data show a distinct male preponderance, the reasons for which are not fully understood.</w:t>
            </w:r>
          </w:p>
          <w:p>
            <w:pPr>
              <w:spacing w:after="40" w:before="60" w:line="259" w:lineRule="auto"/>
            </w:pPr>
            <w:r>
              <w:rPr>
                <w:rFonts w:ascii="Calibri" w:hAnsi="Calibri"/>
                <w:b w:val="0"/>
                <w:i w:val="0"/>
                <w:color w:val="212121"/>
                <w:sz w:val="19"/>
              </w:rPr>
              <w:t>An Indian cohort of 96 BP patients had a male:female ratio of 1.6:1.</w:t>
            </w:r>
          </w:p>
          <w:p>
            <w:pPr>
              <w:spacing w:after="40" w:line="252" w:lineRule="auto"/>
            </w:pPr>
            <w:hyperlink r:id="rId10">
              <w:r>
                <w:rPr>
                  <w:rFonts w:ascii="Calibri" w:hAnsi="Calibri" w:cs="Calibri"/>
                  <w:sz w:val="18"/>
                  <w:color w:val="1155CC"/>
                  <w:u w:val="single"/>
                </w:rPr>
                <w:t xml:space="preserve">pubmed.ncbi.nlm.nih.gov/35962510</w:t>
              </w:r>
            </w:hyperlink>
          </w:p>
          <w:p>
            <w:pPr>
              <w:spacing w:before="60" w:after="40"/>
            </w:pPr>
            <w:r>
              <w:rPr>
                <w:rFonts w:ascii="Calibri" w:hAnsi="Calibri"/>
                <w:b w:val="0"/>
                <w:i w:val="0"/>
                <w:color w:val="5A5A5A"/>
                <w:sz w:val="18"/>
              </w:rPr>
              <w:t>#malepreponderance  #indiadata  #sexratio</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Socioeconomic status</w:t>
            </w:r>
          </w:p>
        </w:tc>
        <w:tc>
          <w:tcPr>
            <w:tcW w:type="dxa" w:w="2160"/>
            <w:vAlign w:val="top"/>
          </w:tcPr>
          <w:p>
            <w:pPr>
              <w:spacing w:after="40" w:before="0" w:line="259" w:lineRule="auto"/>
            </w:pPr>
            <w:r>
              <w:rPr>
                <w:rFonts w:ascii="Calibri" w:hAnsi="Calibri"/>
                <w:b w:val="0"/>
                <w:i w:val="0"/>
                <w:color w:val="212121"/>
                <w:sz w:val="19"/>
              </w:rPr>
              <w:t>Rural / low-access populations</w:t>
            </w:r>
          </w:p>
        </w:tc>
        <w:tc>
          <w:tcPr>
            <w:tcW w:type="dxa" w:w="4276"/>
            <w:vAlign w:val="top"/>
          </w:tcPr>
          <w:p>
            <w:pPr>
              <w:spacing w:after="60" w:line="259" w:lineRule="auto"/>
            </w:pPr>
            <w:r>
              <w:rPr>
                <w:rFonts w:ascii="Calibri" w:hAnsi="Calibri"/>
                <w:b w:val="0"/>
                <w:i w:val="0"/>
                <w:color w:val="212121"/>
                <w:sz w:val="19"/>
              </w:rPr>
              <w:t>Limited access to dermatology and immunofluorescence services delays diagnosis; blistering is often mistaken for infection or a drug reaction, so patients present late with extensive, harder-to-control disease.</w:t>
            </w:r>
          </w:p>
          <w:p>
            <w:pPr>
              <w:spacing w:after="40" w:before="60" w:line="259" w:lineRule="auto"/>
            </w:pPr>
            <w:r>
              <w:rPr>
                <w:rFonts w:ascii="Calibri" w:hAnsi="Calibri"/>
                <w:b w:val="0"/>
                <w:i w:val="0"/>
                <w:color w:val="212121"/>
                <w:sz w:val="19"/>
              </w:rPr>
              <w:t>Indian BP patients had a mean duration of illness of about 27.5 months before presentation.</w:t>
            </w:r>
          </w:p>
          <w:p>
            <w:pPr>
              <w:spacing w:after="40" w:line="252" w:lineRule="auto"/>
            </w:pPr>
            <w:hyperlink r:id="rId10">
              <w:r>
                <w:rPr>
                  <w:rFonts w:ascii="Calibri" w:hAnsi="Calibri" w:cs="Calibri"/>
                  <w:sz w:val="18"/>
                  <w:color w:val="1155CC"/>
                  <w:u w:val="single"/>
                </w:rPr>
                <w:t xml:space="preserve">pubmed.ncbi.nlm.nih.gov/35962510</w:t>
              </w:r>
            </w:hyperlink>
          </w:p>
          <w:p>
            <w:pPr>
              <w:spacing w:before="60" w:after="40"/>
            </w:pPr>
            <w:r>
              <w:rPr>
                <w:rFonts w:ascii="Calibri" w:hAnsi="Calibri"/>
                <w:b w:val="0"/>
                <w:i w:val="0"/>
                <w:color w:val="5A5A5A"/>
                <w:sz w:val="18"/>
              </w:rPr>
              <w:t>#delayeddiagnosis  #accesstocare  #ruralindia</w:t>
            </w:r>
          </w:p>
        </w:tc>
      </w:tr>
      <w:tr>
        <w:trPr>
          <w:cantSplit/>
        </w:trPr>
        <w:tc>
          <w:tcPr>
            <w:tcW w:type="dxa" w:w="1512"/>
            <w:vAlign w:val="center"/>
          </w:tcPr>
          <w:p>
            <w:pPr>
              <w:spacing w:after="40"/>
            </w:pPr>
            <w:r>
              <w:rPr>
                <w:rFonts w:ascii="Calibri" w:hAnsi="Calibri"/>
                <w:b/>
                <w:i w:val="0"/>
                <w:color w:val="212121"/>
                <w:sz w:val="19"/>
              </w:rPr>
              <w:t>Geographic factors</w:t>
            </w:r>
          </w:p>
        </w:tc>
        <w:tc>
          <w:tcPr>
            <w:tcW w:type="dxa" w:w="1655"/>
            <w:vAlign w:val="center"/>
          </w:tcPr>
          <w:p>
            <w:pPr>
              <w:spacing w:after="40"/>
            </w:pPr>
            <w:r>
              <w:rPr>
                <w:rFonts w:ascii="Calibri" w:hAnsi="Calibri"/>
                <w:b w:val="0"/>
                <w:i w:val="0"/>
                <w:color w:val="212121"/>
                <w:sz w:val="19"/>
              </w:rPr>
              <w:t>Ethnicity</w:t>
            </w:r>
          </w:p>
        </w:tc>
        <w:tc>
          <w:tcPr>
            <w:tcW w:type="dxa" w:w="2160"/>
            <w:vAlign w:val="top"/>
          </w:tcPr>
          <w:p>
            <w:pPr>
              <w:spacing w:after="40" w:before="0" w:line="259" w:lineRule="auto"/>
            </w:pPr>
            <w:r>
              <w:rPr>
                <w:rFonts w:ascii="Calibri" w:hAnsi="Calibri"/>
                <w:b w:val="0"/>
                <w:i w:val="0"/>
                <w:color w:val="212121"/>
                <w:sz w:val="19"/>
              </w:rPr>
              <w:t>Indian tertiary-care patients</w:t>
            </w:r>
          </w:p>
        </w:tc>
        <w:tc>
          <w:tcPr>
            <w:tcW w:type="dxa" w:w="4276"/>
            <w:vAlign w:val="top"/>
          </w:tcPr>
          <w:p>
            <w:pPr>
              <w:spacing w:after="60" w:line="259" w:lineRule="auto"/>
            </w:pPr>
            <w:r>
              <w:rPr>
                <w:rFonts w:ascii="Calibri" w:hAnsi="Calibri"/>
                <w:b w:val="0"/>
                <w:i w:val="0"/>
                <w:color w:val="212121"/>
                <w:sz w:val="19"/>
              </w:rPr>
              <w:t>Bullous pemphigoid is the single most common subepidermal autoimmune bullous disease seen in Indian immunobullous clinics, although absolute population incidence data for India are lacking.</w:t>
            </w:r>
          </w:p>
          <w:p>
            <w:pPr>
              <w:spacing w:after="40" w:before="60" w:line="259" w:lineRule="auto"/>
            </w:pPr>
            <w:r>
              <w:rPr>
                <w:rFonts w:ascii="Calibri" w:hAnsi="Calibri"/>
                <w:b w:val="0"/>
                <w:i w:val="0"/>
                <w:color w:val="212121"/>
                <w:sz w:val="19"/>
              </w:rPr>
              <w:t>BP accounted for about 40% of subepidermal autoimmune bullous disease in a North Indian tertiary-centre audit (PGIMER, Chandigarh).</w:t>
            </w:r>
          </w:p>
          <w:p>
            <w:pPr>
              <w:spacing w:after="40" w:line="252" w:lineRule="auto"/>
            </w:pPr>
            <w:hyperlink r:id="rId11">
              <w:r>
                <w:rPr>
                  <w:rFonts w:ascii="Calibri" w:hAnsi="Calibri" w:cs="Calibri"/>
                  <w:sz w:val="18"/>
                  <w:color w:val="1155CC"/>
                  <w:u w:val="single"/>
                </w:rPr>
                <w:t xml:space="preserve">pubmed.ncbi.nlm.nih.gov/27088957</w:t>
              </w:r>
            </w:hyperlink>
          </w:p>
          <w:p>
            <w:pPr>
              <w:spacing w:before="60" w:after="40"/>
            </w:pPr>
            <w:r>
              <w:rPr>
                <w:rFonts w:ascii="Calibri" w:hAnsi="Calibri"/>
                <w:b w:val="0"/>
                <w:i w:val="0"/>
                <w:color w:val="5A5A5A"/>
                <w:sz w:val="18"/>
              </w:rPr>
              <w:t>#india  #subepidermal  #tertiarycare</w:t>
            </w:r>
          </w:p>
        </w:tc>
      </w:tr>
      <w:tr>
        <w:trPr>
          <w:cantSplit/>
        </w:trPr>
        <w:tc>
          <w:tcPr>
            <w:tcW w:type="dxa" w:w="1512"/>
            <w:vMerge w:val="restart"/>
            <w:vAlign w:val="center"/>
          </w:tcPr>
          <w:p>
            <w:pPr>
              <w:spacing w:after="40"/>
            </w:pPr>
            <w:r>
              <w:rPr>
                <w:rFonts w:ascii="Calibri" w:hAnsi="Calibri"/>
                <w:b/>
                <w:i w:val="0"/>
                <w:color w:val="212121"/>
                <w:sz w:val="19"/>
              </w:rPr>
              <w:t>Lifestyle factors</w:t>
            </w:r>
          </w:p>
        </w:tc>
        <w:tc>
          <w:tcPr>
            <w:tcW w:type="dxa" w:w="1655"/>
            <w:vAlign w:val="center"/>
          </w:tcPr>
          <w:p>
            <w:pPr>
              <w:spacing w:after="40"/>
            </w:pPr>
            <w:r>
              <w:rPr>
                <w:rFonts w:ascii="Calibri" w:hAnsi="Calibri"/>
                <w:b w:val="0"/>
                <w:i w:val="0"/>
                <w:color w:val="212121"/>
                <w:sz w:val="19"/>
              </w:rPr>
              <w:t>Sedentary / immobility</w:t>
            </w:r>
          </w:p>
        </w:tc>
        <w:tc>
          <w:tcPr>
            <w:tcW w:type="dxa" w:w="2160"/>
            <w:vAlign w:val="top"/>
          </w:tcPr>
          <w:p>
            <w:pPr>
              <w:spacing w:after="40" w:before="0" w:line="259" w:lineRule="auto"/>
            </w:pPr>
            <w:r>
              <w:rPr>
                <w:rFonts w:ascii="Calibri" w:hAnsi="Calibri"/>
                <w:b w:val="0"/>
                <w:i w:val="0"/>
                <w:color w:val="212121"/>
                <w:sz w:val="19"/>
              </w:rPr>
              <w:t>Bedbound &amp; neurologically disabled</w:t>
            </w:r>
          </w:p>
        </w:tc>
        <w:tc>
          <w:tcPr>
            <w:tcW w:type="dxa" w:w="4276"/>
            <w:vAlign w:val="top"/>
          </w:tcPr>
          <w:p>
            <w:pPr>
              <w:spacing w:after="60" w:line="259" w:lineRule="auto"/>
            </w:pPr>
            <w:r>
              <w:rPr>
                <w:rFonts w:ascii="Calibri" w:hAnsi="Calibri"/>
                <w:b w:val="0"/>
                <w:i w:val="0"/>
                <w:color w:val="212121"/>
                <w:sz w:val="19"/>
              </w:rPr>
              <w:t>Immobility linked to stroke, dementia and Parkinson's disease is strongly over-represented in BP. Chronic neuro-disability, pressure and impaired skin integrity coincide with autoantibody formation against antigens shared by skin and the nervous system.</w:t>
            </w:r>
          </w:p>
          <w:p>
            <w:pPr>
              <w:spacing w:after="40" w:before="60" w:line="259" w:lineRule="auto"/>
            </w:pPr>
            <w:r>
              <w:rPr>
                <w:rFonts w:ascii="Calibri" w:hAnsi="Calibri"/>
                <w:b w:val="0"/>
                <w:i w:val="0"/>
                <w:color w:val="212121"/>
                <w:sz w:val="19"/>
              </w:rPr>
              <w:t>BP patients have about 4.9-fold higher odds of having a neurological disorder overall (pooled RR 4.93, 95% CI 3.62-6.70).</w:t>
            </w:r>
          </w:p>
          <w:p>
            <w:pPr>
              <w:spacing w:after="40" w:line="252" w:lineRule="auto"/>
            </w:pPr>
            <w:hyperlink r:id="rId12">
              <w:r>
                <w:rPr>
                  <w:rFonts w:ascii="Calibri" w:hAnsi="Calibri" w:cs="Calibri"/>
                  <w:sz w:val="18"/>
                  <w:color w:val="1155CC"/>
                  <w:u w:val="single"/>
                </w:rPr>
                <w:t xml:space="preserve">pubmed.ncbi.nlm.nih.gov/27599898</w:t>
              </w:r>
            </w:hyperlink>
          </w:p>
          <w:p>
            <w:pPr>
              <w:spacing w:before="60" w:after="40"/>
            </w:pPr>
            <w:r>
              <w:rPr>
                <w:rFonts w:ascii="Calibri" w:hAnsi="Calibri"/>
                <w:b w:val="0"/>
                <w:i w:val="0"/>
                <w:color w:val="5A5A5A"/>
                <w:sz w:val="18"/>
              </w:rPr>
              <w:t>#immobility  #bedbound  #neurodisability</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Smoking</w:t>
            </w:r>
          </w:p>
        </w:tc>
        <w:tc>
          <w:tcPr>
            <w:tcW w:type="dxa" w:w="2160"/>
            <w:vAlign w:val="top"/>
          </w:tcPr>
          <w:p>
            <w:pPr>
              <w:spacing w:after="40" w:before="0" w:line="259" w:lineRule="auto"/>
            </w:pPr>
            <w:r>
              <w:rPr>
                <w:rFonts w:ascii="Calibri" w:hAnsi="Calibri"/>
                <w:b w:val="0"/>
                <w:i w:val="0"/>
                <w:color w:val="212121"/>
                <w:sz w:val="19"/>
              </w:rPr>
              <w:t>Smokers</w:t>
            </w:r>
          </w:p>
        </w:tc>
        <w:tc>
          <w:tcPr>
            <w:tcW w:type="dxa" w:w="4276"/>
            <w:vAlign w:val="top"/>
          </w:tcPr>
          <w:p>
            <w:pPr>
              <w:spacing w:after="60" w:line="259" w:lineRule="auto"/>
            </w:pPr>
            <w:r>
              <w:rPr>
                <w:rFonts w:ascii="Calibri" w:hAnsi="Calibri"/>
                <w:b w:val="0"/>
                <w:i w:val="0"/>
                <w:color w:val="212121"/>
                <w:sz w:val="19"/>
              </w:rPr>
              <w:t>Evidence linking smoking directly to BP onset is weak and inconsistent. Smoking is clinically relevant mainly because it impairs wound healing and adds cardiovascular risk in a group already prone to cardiovascular death.</w:t>
            </w:r>
          </w:p>
          <w:p>
            <w:pPr>
              <w:spacing w:after="40" w:before="60" w:line="259" w:lineRule="auto"/>
            </w:pPr>
            <w:r>
              <w:rPr>
                <w:rFonts w:ascii="Calibri" w:hAnsi="Calibri"/>
                <w:b w:val="0"/>
                <w:i w:val="0"/>
                <w:color w:val="212121"/>
                <w:sz w:val="19"/>
              </w:rPr>
              <w:t>No consistent causal association between smoking and BP has been established; the impact is chiefly on healing and comorbid cardiovascular risk.</w:t>
            </w:r>
          </w:p>
          <w:p>
            <w:pPr>
              <w:spacing w:before="60" w:after="40"/>
            </w:pPr>
            <w:r>
              <w:rPr>
                <w:rFonts w:ascii="Calibri" w:hAnsi="Calibri"/>
                <w:b w:val="0"/>
                <w:i w:val="0"/>
                <w:color w:val="5A5A5A"/>
                <w:sz w:val="18"/>
              </w:rPr>
              <w:t>#smoking  #woundhealing  #cvrisk</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Alcohol</w:t>
            </w:r>
          </w:p>
        </w:tc>
        <w:tc>
          <w:tcPr>
            <w:tcW w:type="dxa" w:w="2160"/>
            <w:vAlign w:val="top"/>
          </w:tcPr>
          <w:p>
            <w:pPr>
              <w:spacing w:after="40" w:before="0" w:line="259" w:lineRule="auto"/>
            </w:pPr>
            <w:r>
              <w:rPr>
                <w:rFonts w:ascii="Calibri" w:hAnsi="Calibri"/>
                <w:b w:val="0"/>
                <w:i w:val="0"/>
                <w:color w:val="212121"/>
                <w:sz w:val="19"/>
              </w:rPr>
              <w:t>Heavy drinkers</w:t>
            </w:r>
          </w:p>
        </w:tc>
        <w:tc>
          <w:tcPr>
            <w:tcW w:type="dxa" w:w="4276"/>
            <w:vAlign w:val="top"/>
          </w:tcPr>
          <w:p>
            <w:pPr>
              <w:spacing w:after="60" w:line="259" w:lineRule="auto"/>
            </w:pPr>
            <w:r>
              <w:rPr>
                <w:rFonts w:ascii="Calibri" w:hAnsi="Calibri"/>
                <w:b w:val="0"/>
                <w:i w:val="0"/>
                <w:color w:val="212121"/>
                <w:sz w:val="19"/>
              </w:rPr>
              <w:t>There is no established causal link between alcohol and BP. Alcohol matters clinically because it interacts with methotrexate and other immunosuppressants used in treatment and adds hepatotoxic risk.</w:t>
            </w:r>
          </w:p>
          <w:p>
            <w:pPr>
              <w:spacing w:after="40" w:before="60" w:line="259" w:lineRule="auto"/>
            </w:pPr>
            <w:r>
              <w:rPr>
                <w:rFonts w:ascii="Calibri" w:hAnsi="Calibri"/>
                <w:b w:val="0"/>
                <w:i w:val="0"/>
                <w:color w:val="212121"/>
                <w:sz w:val="19"/>
              </w:rPr>
              <w:t>No proven association with BP onset; relevance is to treatment safety (methotrexate, immunosuppressants) rather than causation.</w:t>
            </w:r>
          </w:p>
          <w:p>
            <w:pPr>
              <w:spacing w:before="60" w:after="40"/>
            </w:pPr>
            <w:r>
              <w:rPr>
                <w:rFonts w:ascii="Calibri" w:hAnsi="Calibri"/>
                <w:b w:val="0"/>
                <w:i w:val="0"/>
                <w:color w:val="5A5A5A"/>
                <w:sz w:val="18"/>
              </w:rPr>
              <w:t>#alcohol  #methotrexate  #hepatotoxicity</w:t>
            </w:r>
          </w:p>
        </w:tc>
      </w:tr>
      <w:tr>
        <w:trPr>
          <w:cantSplit/>
        </w:trPr>
        <w:tc>
          <w:tcPr>
            <w:tcW w:type="dxa" w:w="1512"/>
            <w:vAlign w:val="center"/>
          </w:tcPr>
          <w:p>
            <w:pPr>
              <w:spacing w:after="40"/>
            </w:pPr>
            <w:r>
              <w:rPr>
                <w:rFonts w:ascii="Calibri" w:hAnsi="Calibri"/>
                <w:b/>
                <w:i w:val="0"/>
                <w:color w:val="212121"/>
                <w:sz w:val="19"/>
              </w:rPr>
              <w:t>Dietary factors</w:t>
            </w:r>
          </w:p>
        </w:tc>
        <w:tc>
          <w:tcPr>
            <w:tcW w:type="dxa" w:w="1655"/>
            <w:vAlign w:val="center"/>
          </w:tcPr>
          <w:p>
            <w:pPr>
              <w:spacing w:after="40"/>
            </w:pPr>
            <w:r>
              <w:rPr>
                <w:rFonts w:ascii="Calibri" w:hAnsi="Calibri"/>
                <w:b w:val="0"/>
                <w:i w:val="0"/>
                <w:color w:val="212121"/>
                <w:sz w:val="19"/>
              </w:rPr>
              <w:t>Nutrition</w:t>
            </w:r>
          </w:p>
        </w:tc>
        <w:tc>
          <w:tcPr>
            <w:tcW w:type="dxa" w:w="2160"/>
            <w:vAlign w:val="top"/>
          </w:tcPr>
          <w:p>
            <w:pPr>
              <w:spacing w:after="40" w:before="0" w:line="259" w:lineRule="auto"/>
            </w:pPr>
            <w:r>
              <w:rPr>
                <w:rFonts w:ascii="Calibri" w:hAnsi="Calibri"/>
                <w:b w:val="0"/>
                <w:i w:val="0"/>
                <w:color w:val="212121"/>
                <w:sz w:val="19"/>
              </w:rPr>
              <w:t>Malnourished / low-protein elderly</w:t>
            </w:r>
          </w:p>
        </w:tc>
        <w:tc>
          <w:tcPr>
            <w:tcW w:type="dxa" w:w="4276"/>
            <w:vAlign w:val="top"/>
          </w:tcPr>
          <w:p>
            <w:pPr>
              <w:spacing w:after="60" w:line="259" w:lineRule="auto"/>
            </w:pPr>
            <w:r>
              <w:rPr>
                <w:rFonts w:ascii="Calibri" w:hAnsi="Calibri"/>
                <w:b w:val="0"/>
                <w:i w:val="0"/>
                <w:color w:val="212121"/>
                <w:sz w:val="19"/>
              </w:rPr>
              <w:t>There is no proven dietary cause of BP, but extensive blistering causes substantial protein, fluid and electrolyte loss; frail elderly with low protein intake heal poorly and are prone to hypoalbuminaemia and secondary infection.</w:t>
            </w:r>
          </w:p>
          <w:p>
            <w:pPr>
              <w:spacing w:after="40" w:before="60" w:line="259" w:lineRule="auto"/>
            </w:pPr>
            <w:r>
              <w:rPr>
                <w:rFonts w:ascii="Calibri" w:hAnsi="Calibri"/>
                <w:b w:val="0"/>
                <w:i w:val="0"/>
                <w:color w:val="212121"/>
                <w:sz w:val="19"/>
              </w:rPr>
              <w:t>No dietary trigger is established; nutritional status instead influences healing, hypoalbuminaemia and outcomes in extensive disease.</w:t>
            </w:r>
          </w:p>
          <w:p>
            <w:pPr>
              <w:spacing w:before="60" w:after="40"/>
            </w:pPr>
            <w:r>
              <w:rPr>
                <w:rFonts w:ascii="Calibri" w:hAnsi="Calibri"/>
                <w:b w:val="0"/>
                <w:i w:val="0"/>
                <w:color w:val="5A5A5A"/>
                <w:sz w:val="18"/>
              </w:rPr>
              <w:t>#malnutrition  #hypoalbuminaemia  #woundhealing</w:t>
            </w:r>
          </w:p>
        </w:tc>
      </w:tr>
      <w:tr>
        <w:trPr>
          <w:cantSplit/>
        </w:trPr>
        <w:tc>
          <w:tcPr>
            <w:tcW w:type="dxa" w:w="1512"/>
            <w:vAlign w:val="center"/>
          </w:tcPr>
          <w:p>
            <w:pPr>
              <w:spacing w:after="40"/>
            </w:pPr>
            <w:r>
              <w:rPr>
                <w:rFonts w:ascii="Calibri" w:hAnsi="Calibri"/>
                <w:b/>
                <w:i w:val="0"/>
                <w:color w:val="212121"/>
                <w:sz w:val="19"/>
              </w:rPr>
              <w:t>Genetic factors</w:t>
            </w:r>
          </w:p>
        </w:tc>
        <w:tc>
          <w:tcPr>
            <w:tcW w:type="dxa" w:w="1655"/>
            <w:vAlign w:val="center"/>
          </w:tcPr>
          <w:p>
            <w:pPr>
              <w:spacing w:after="40"/>
            </w:pPr>
            <w:r>
              <w:rPr>
                <w:rFonts w:ascii="Calibri" w:hAnsi="Calibri"/>
                <w:b w:val="0"/>
                <w:i w:val="0"/>
                <w:color w:val="212121"/>
                <w:sz w:val="19"/>
              </w:rPr>
              <w:t>Family history / HLA</w:t>
            </w:r>
          </w:p>
        </w:tc>
        <w:tc>
          <w:tcPr>
            <w:tcW w:type="dxa" w:w="2160"/>
            <w:vAlign w:val="top"/>
          </w:tcPr>
          <w:p>
            <w:pPr>
              <w:spacing w:after="40" w:before="0" w:line="259" w:lineRule="auto"/>
            </w:pPr>
            <w:r>
              <w:rPr>
                <w:rFonts w:ascii="Calibri" w:hAnsi="Calibri"/>
                <w:b w:val="0"/>
                <w:i w:val="0"/>
                <w:color w:val="212121"/>
                <w:sz w:val="19"/>
              </w:rPr>
              <w:t>HLA-DQB1*03:01 carriers</w:t>
            </w:r>
          </w:p>
        </w:tc>
        <w:tc>
          <w:tcPr>
            <w:tcW w:type="dxa" w:w="4276"/>
            <w:vAlign w:val="top"/>
          </w:tcPr>
          <w:p>
            <w:pPr>
              <w:spacing w:after="60" w:line="259" w:lineRule="auto"/>
            </w:pPr>
            <w:r>
              <w:rPr>
                <w:rFonts w:ascii="Calibri" w:hAnsi="Calibri"/>
                <w:b w:val="0"/>
                <w:i w:val="0"/>
                <w:color w:val="212121"/>
                <w:sz w:val="19"/>
              </w:rPr>
              <w:t>Specific HLA class II alleles predispose to BP, and the association is particularly strong for the gliptin (DPP-4 inhibitor)-associated form of the disease.</w:t>
            </w:r>
          </w:p>
          <w:p>
            <w:pPr>
              <w:spacing w:after="40" w:before="60" w:line="259" w:lineRule="auto"/>
            </w:pPr>
            <w:r>
              <w:rPr>
                <w:rFonts w:ascii="Calibri" w:hAnsi="Calibri"/>
                <w:b w:val="0"/>
                <w:i w:val="0"/>
                <w:color w:val="212121"/>
                <w:sz w:val="19"/>
              </w:rPr>
              <w:t>HLA-DQB1*03:01 is significantly more common in BP patients than in controls, especially in gliptin-associated BP.</w:t>
            </w:r>
          </w:p>
          <w:p>
            <w:pPr>
              <w:spacing w:after="40" w:line="252" w:lineRule="auto"/>
            </w:pPr>
            <w:hyperlink r:id="rId13">
              <w:r>
                <w:rPr>
                  <w:rFonts w:ascii="Calibri" w:hAnsi="Calibri" w:cs="Calibri"/>
                  <w:sz w:val="18"/>
                  <w:color w:val="1155CC"/>
                  <w:u w:val="single"/>
                </w:rPr>
                <w:t xml:space="preserve">pubmed.ncbi.nlm.nih.gov/30848289</w:t>
              </w:r>
            </w:hyperlink>
          </w:p>
          <w:p>
            <w:pPr>
              <w:spacing w:before="60" w:after="40"/>
            </w:pPr>
            <w:r>
              <w:rPr>
                <w:rFonts w:ascii="Calibri" w:hAnsi="Calibri"/>
                <w:b w:val="0"/>
                <w:i w:val="0"/>
                <w:color w:val="5A5A5A"/>
                <w:sz w:val="18"/>
              </w:rPr>
              <w:t>#HLA  #genetics  #gliptinBP</w:t>
            </w:r>
          </w:p>
        </w:tc>
      </w:tr>
      <w:tr>
        <w:trPr>
          <w:cantSplit/>
        </w:trPr>
        <w:tc>
          <w:tcPr>
            <w:tcW w:type="dxa" w:w="1512"/>
            <w:vMerge w:val="restart"/>
            <w:vAlign w:val="center"/>
          </w:tcPr>
          <w:p>
            <w:pPr>
              <w:spacing w:after="40"/>
            </w:pPr>
            <w:r>
              <w:rPr>
                <w:rFonts w:ascii="Calibri" w:hAnsi="Calibri"/>
                <w:b/>
                <w:i w:val="0"/>
                <w:color w:val="212121"/>
                <w:sz w:val="19"/>
              </w:rPr>
              <w:t>Medical conditions profile (mcp)</w:t>
            </w:r>
          </w:p>
        </w:tc>
        <w:tc>
          <w:tcPr>
            <w:tcW w:type="dxa" w:w="1655"/>
            <w:vAlign w:val="center"/>
          </w:tcPr>
          <w:p>
            <w:pPr>
              <w:spacing w:after="40"/>
            </w:pPr>
            <w:r>
              <w:rPr>
                <w:rFonts w:ascii="Calibri" w:hAnsi="Calibri"/>
                <w:b w:val="0"/>
                <w:i w:val="0"/>
                <w:color w:val="212121"/>
                <w:sz w:val="19"/>
              </w:rPr>
              <w:t>Neurological disease</w:t>
            </w:r>
          </w:p>
        </w:tc>
        <w:tc>
          <w:tcPr>
            <w:tcW w:type="dxa" w:w="2160"/>
            <w:vAlign w:val="top"/>
          </w:tcPr>
          <w:p>
            <w:pPr>
              <w:spacing w:after="40" w:before="0" w:line="259" w:lineRule="auto"/>
            </w:pPr>
            <w:r>
              <w:rPr>
                <w:rFonts w:ascii="Calibri" w:hAnsi="Calibri"/>
                <w:b w:val="0"/>
                <w:i w:val="0"/>
                <w:color w:val="212121"/>
                <w:sz w:val="19"/>
              </w:rPr>
              <w:t>Stroke / dementia / Parkinson's patients</w:t>
            </w:r>
          </w:p>
        </w:tc>
        <w:tc>
          <w:tcPr>
            <w:tcW w:type="dxa" w:w="4276"/>
            <w:vAlign w:val="top"/>
          </w:tcPr>
          <w:p>
            <w:pPr>
              <w:spacing w:after="60" w:line="259" w:lineRule="auto"/>
            </w:pPr>
            <w:r>
              <w:rPr>
                <w:rFonts w:ascii="Calibri" w:hAnsi="Calibri"/>
                <w:b w:val="0"/>
                <w:i w:val="0"/>
                <w:color w:val="212121"/>
                <w:sz w:val="19"/>
              </w:rPr>
              <w:t>Neurological disease is the strongest and most consistent BP association. Collagen XVII (BP180) is expressed in the central nervous system, so neural injury may expose antigen and trigger autoantibodies; neurological disease usually precedes BP by years.</w:t>
            </w:r>
          </w:p>
          <w:p>
            <w:pPr>
              <w:spacing w:after="40" w:before="60" w:line="259" w:lineRule="auto"/>
            </w:pPr>
            <w:r>
              <w:rPr>
                <w:rFonts w:ascii="Calibri" w:hAnsi="Calibri"/>
                <w:b w:val="0"/>
                <w:i w:val="0"/>
                <w:color w:val="212121"/>
                <w:sz w:val="19"/>
              </w:rPr>
              <w:t>Pooled relative risks: dementia 4.46, Parkinson's 3.42, stroke 2.68, multiple sclerosis 12.40; neurological disease precedes BP by a mean of about 6.7 years.</w:t>
            </w:r>
          </w:p>
          <w:p>
            <w:pPr>
              <w:spacing w:after="40" w:line="252" w:lineRule="auto"/>
            </w:pPr>
            <w:hyperlink r:id="rId12">
              <w:r>
                <w:rPr>
                  <w:rFonts w:ascii="Calibri" w:hAnsi="Calibri" w:cs="Calibri"/>
                  <w:sz w:val="18"/>
                  <w:color w:val="1155CC"/>
                  <w:u w:val="single"/>
                </w:rPr>
                <w:t xml:space="preserve">pubmed.ncbi.nlm.nih.gov/27599898</w:t>
              </w:r>
            </w:hyperlink>
          </w:p>
          <w:p>
            <w:pPr>
              <w:spacing w:before="60" w:after="40"/>
            </w:pPr>
            <w:r>
              <w:rPr>
                <w:rFonts w:ascii="Calibri" w:hAnsi="Calibri"/>
                <w:b w:val="0"/>
                <w:i w:val="0"/>
                <w:color w:val="5A5A5A"/>
                <w:sz w:val="18"/>
              </w:rPr>
              <w:t>#collagenXVII  #dementia  #stroke  #parkinsons</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Type 2 diabetes on DPP-4 inhibitors</w:t>
            </w:r>
          </w:p>
        </w:tc>
        <w:tc>
          <w:tcPr>
            <w:tcW w:type="dxa" w:w="2160"/>
            <w:vAlign w:val="top"/>
          </w:tcPr>
          <w:p>
            <w:pPr>
              <w:spacing w:after="40" w:before="0" w:line="259" w:lineRule="auto"/>
            </w:pPr>
            <w:r>
              <w:rPr>
                <w:rFonts w:ascii="Calibri" w:hAnsi="Calibri"/>
                <w:b w:val="0"/>
                <w:i w:val="0"/>
                <w:color w:val="212121"/>
                <w:sz w:val="19"/>
              </w:rPr>
              <w:t>Gliptin users</w:t>
            </w:r>
          </w:p>
        </w:tc>
        <w:tc>
          <w:tcPr>
            <w:tcW w:type="dxa" w:w="4276"/>
            <w:vAlign w:val="top"/>
          </w:tcPr>
          <w:p>
            <w:pPr>
              <w:spacing w:after="60" w:line="259" w:lineRule="auto"/>
            </w:pPr>
            <w:r>
              <w:rPr>
                <w:rFonts w:ascii="Calibri" w:hAnsi="Calibri"/>
                <w:b w:val="0"/>
                <w:i w:val="0"/>
                <w:color w:val="212121"/>
                <w:sz w:val="19"/>
              </w:rPr>
              <w:t>Type 2 diabetes is the commonest comorbidity in Indian BP, and DPP-4 inhibitors (vildagliptin, linagliptin, teneligliptin, sitagliptin), widely prescribed in India, are an important and potentially reversible trigger.</w:t>
            </w:r>
          </w:p>
          <w:p>
            <w:pPr>
              <w:spacing w:after="40" w:before="60" w:line="259" w:lineRule="auto"/>
            </w:pPr>
            <w:r>
              <w:rPr>
                <w:rFonts w:ascii="Calibri" w:hAnsi="Calibri"/>
                <w:b w:val="0"/>
                <w:i w:val="0"/>
                <w:color w:val="212121"/>
                <w:sz w:val="19"/>
              </w:rPr>
              <w:t>Type 2 diabetes was present in 38.5% of Indian BP patients; a meta-analysis of RCTs shows DPP-4 inhibitors raise BP risk (MH-OR 4.44, 95% CI 1.31-15.00; linagliptin 4.69).</w:t>
            </w:r>
          </w:p>
          <w:p>
            <w:pPr>
              <w:spacing w:after="40" w:line="252" w:lineRule="auto"/>
            </w:pPr>
            <w:hyperlink r:id="rId14">
              <w:r>
                <w:rPr>
                  <w:rFonts w:ascii="Calibri" w:hAnsi="Calibri" w:cs="Calibri"/>
                  <w:sz w:val="18"/>
                  <w:color w:val="1155CC"/>
                  <w:u w:val="single"/>
                </w:rPr>
                <w:t xml:space="preserve">pubmed.ncbi.nlm.nih.gov/32236820</w:t>
              </w:r>
            </w:hyperlink>
          </w:p>
          <w:p>
            <w:pPr>
              <w:spacing w:before="60" w:after="40"/>
            </w:pPr>
            <w:r>
              <w:rPr>
                <w:rFonts w:ascii="Calibri" w:hAnsi="Calibri"/>
                <w:b w:val="0"/>
                <w:i w:val="0"/>
                <w:color w:val="5A5A5A"/>
                <w:sz w:val="18"/>
              </w:rPr>
              <w:t>#gliptin  #DPP4inhibitor  #diabetesindia  #drugtrigger</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Hypertension</w:t>
            </w:r>
          </w:p>
        </w:tc>
        <w:tc>
          <w:tcPr>
            <w:tcW w:type="dxa" w:w="2160"/>
            <w:vAlign w:val="top"/>
          </w:tcPr>
          <w:p>
            <w:pPr>
              <w:spacing w:after="40" w:before="0" w:line="259" w:lineRule="auto"/>
            </w:pPr>
            <w:r>
              <w:rPr>
                <w:rFonts w:ascii="Calibri" w:hAnsi="Calibri"/>
                <w:b w:val="0"/>
                <w:i w:val="0"/>
                <w:color w:val="212121"/>
                <w:sz w:val="19"/>
              </w:rPr>
              <w:t>Diuretic users</w:t>
            </w:r>
          </w:p>
        </w:tc>
        <w:tc>
          <w:tcPr>
            <w:tcW w:type="dxa" w:w="4276"/>
            <w:vAlign w:val="top"/>
          </w:tcPr>
          <w:p>
            <w:pPr>
              <w:spacing w:after="60" w:line="259" w:lineRule="auto"/>
            </w:pPr>
            <w:r>
              <w:rPr>
                <w:rFonts w:ascii="Calibri" w:hAnsi="Calibri"/>
                <w:b w:val="0"/>
                <w:i w:val="0"/>
                <w:color w:val="212121"/>
                <w:sz w:val="19"/>
              </w:rPr>
              <w:t>Hypertension is a frequent comorbidity; loop and potassium-sparing diuretics (furosemide, spironolactone) are among the classic drug precipitants of BP, and corticosteroids used to treat BP worsen blood-pressure control.</w:t>
            </w:r>
          </w:p>
          <w:p>
            <w:pPr>
              <w:spacing w:after="40" w:before="60" w:line="259" w:lineRule="auto"/>
            </w:pPr>
            <w:r>
              <w:rPr>
                <w:rFonts w:ascii="Calibri" w:hAnsi="Calibri"/>
                <w:b w:val="0"/>
                <w:i w:val="0"/>
                <w:color w:val="212121"/>
                <w:sz w:val="19"/>
              </w:rPr>
              <w:t>Hypertension was present in 36.4% of Indian BP patients.</w:t>
            </w:r>
          </w:p>
          <w:p>
            <w:pPr>
              <w:spacing w:after="40" w:line="252" w:lineRule="auto"/>
            </w:pPr>
            <w:hyperlink r:id="rId10">
              <w:r>
                <w:rPr>
                  <w:rFonts w:ascii="Calibri" w:hAnsi="Calibri" w:cs="Calibri"/>
                  <w:sz w:val="18"/>
                  <w:color w:val="1155CC"/>
                  <w:u w:val="single"/>
                </w:rPr>
                <w:t xml:space="preserve">pubmed.ncbi.nlm.nih.gov/35962510</w:t>
              </w:r>
            </w:hyperlink>
          </w:p>
          <w:p>
            <w:pPr>
              <w:spacing w:before="60" w:after="40"/>
            </w:pPr>
            <w:r>
              <w:rPr>
                <w:rFonts w:ascii="Calibri" w:hAnsi="Calibri"/>
                <w:b w:val="0"/>
                <w:i w:val="0"/>
                <w:color w:val="5A5A5A"/>
                <w:sz w:val="18"/>
              </w:rPr>
              <w:t>#hypertension  #diuretics  #drugtrigger</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Stroke</w:t>
            </w:r>
          </w:p>
        </w:tc>
        <w:tc>
          <w:tcPr>
            <w:tcW w:type="dxa" w:w="2160"/>
            <w:vAlign w:val="top"/>
          </w:tcPr>
          <w:p>
            <w:pPr>
              <w:spacing w:after="40" w:before="0" w:line="259" w:lineRule="auto"/>
            </w:pPr>
            <w:r>
              <w:rPr>
                <w:rFonts w:ascii="Calibri" w:hAnsi="Calibri"/>
                <w:b w:val="0"/>
                <w:i w:val="0"/>
                <w:color w:val="212121"/>
                <w:sz w:val="19"/>
              </w:rPr>
              <w:t>Post-stroke patients</w:t>
            </w:r>
          </w:p>
        </w:tc>
        <w:tc>
          <w:tcPr>
            <w:tcW w:type="dxa" w:w="4276"/>
            <w:vAlign w:val="top"/>
          </w:tcPr>
          <w:p>
            <w:pPr>
              <w:spacing w:after="60" w:line="259" w:lineRule="auto"/>
            </w:pPr>
            <w:r>
              <w:rPr>
                <w:rFonts w:ascii="Calibri" w:hAnsi="Calibri"/>
                <w:b w:val="0"/>
                <w:i w:val="0"/>
                <w:color w:val="212121"/>
                <w:sz w:val="19"/>
              </w:rPr>
              <w:t>A first-ever stroke measurably increases subsequent BP risk, supporting the hypothesis that blood-brain-barrier disruption exposes shared neuro-cutaneous antigen.</w:t>
            </w:r>
          </w:p>
          <w:p>
            <w:pPr>
              <w:spacing w:after="40" w:before="60" w:line="259" w:lineRule="auto"/>
            </w:pPr>
            <w:r>
              <w:rPr>
                <w:rFonts w:ascii="Calibri" w:hAnsi="Calibri"/>
                <w:b w:val="0"/>
                <w:i w:val="0"/>
                <w:color w:val="212121"/>
                <w:sz w:val="19"/>
              </w:rPr>
              <w:t>0.3% of first-ever stroke patients developed BP versus 0.06% of matched controls (median 3.5 years later), with a crude hazard ratio of about 4.</w:t>
            </w:r>
          </w:p>
          <w:p>
            <w:pPr>
              <w:spacing w:after="40" w:line="252" w:lineRule="auto"/>
            </w:pPr>
            <w:hyperlink r:id="rId15">
              <w:r>
                <w:rPr>
                  <w:rFonts w:ascii="Calibri" w:hAnsi="Calibri" w:cs="Calibri"/>
                  <w:sz w:val="18"/>
                  <w:color w:val="1155CC"/>
                  <w:u w:val="single"/>
                </w:rPr>
                <w:t xml:space="preserve">pubmed.ncbi.nlm.nih.gov/28467996</w:t>
              </w:r>
            </w:hyperlink>
          </w:p>
          <w:p>
            <w:pPr>
              <w:spacing w:before="60" w:after="40"/>
            </w:pPr>
            <w:r>
              <w:rPr>
                <w:rFonts w:ascii="Calibri" w:hAnsi="Calibri"/>
                <w:b w:val="0"/>
                <w:i w:val="0"/>
                <w:color w:val="5A5A5A"/>
                <w:sz w:val="18"/>
              </w:rPr>
              <w:t>#stroke  #bloodbrainbarrier  #autoantibody</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Psoriasis</w:t>
            </w:r>
          </w:p>
        </w:tc>
        <w:tc>
          <w:tcPr>
            <w:tcW w:type="dxa" w:w="2160"/>
            <w:vAlign w:val="top"/>
          </w:tcPr>
          <w:p>
            <w:pPr>
              <w:spacing w:after="40" w:before="0" w:line="259" w:lineRule="auto"/>
            </w:pPr>
            <w:r>
              <w:rPr>
                <w:rFonts w:ascii="Calibri" w:hAnsi="Calibri"/>
                <w:b w:val="0"/>
                <w:i w:val="0"/>
                <w:color w:val="212121"/>
                <w:sz w:val="19"/>
              </w:rPr>
              <w:t>Patients with psoriasis / phototherapy</w:t>
            </w:r>
          </w:p>
        </w:tc>
        <w:tc>
          <w:tcPr>
            <w:tcW w:type="dxa" w:w="4276"/>
            <w:vAlign w:val="top"/>
          </w:tcPr>
          <w:p>
            <w:pPr>
              <w:spacing w:after="60" w:line="259" w:lineRule="auto"/>
            </w:pPr>
            <w:r>
              <w:rPr>
                <w:rFonts w:ascii="Calibri" w:hAnsi="Calibri"/>
                <w:b w:val="0"/>
                <w:i w:val="0"/>
                <w:color w:val="212121"/>
                <w:sz w:val="19"/>
              </w:rPr>
              <w:t>A history of psoriasis is associated with later BP, and phototherapy (PUVA/UVB) used for psoriasis can precipitate blistering through a Koebner-like mechanism.</w:t>
            </w:r>
          </w:p>
          <w:p>
            <w:pPr>
              <w:spacing w:after="40" w:before="60" w:line="259" w:lineRule="auto"/>
            </w:pPr>
            <w:r>
              <w:rPr>
                <w:rFonts w:ascii="Calibri" w:hAnsi="Calibri"/>
                <w:b w:val="0"/>
                <w:i w:val="0"/>
                <w:color w:val="212121"/>
                <w:sz w:val="19"/>
              </w:rPr>
              <w:t>Psoriasis history and phototherapy are recognised risk and triggering factors for BP.</w:t>
            </w:r>
          </w:p>
          <w:p>
            <w:pPr>
              <w:spacing w:after="40" w:line="252" w:lineRule="auto"/>
            </w:pPr>
            <w:hyperlink r:id="rId16">
              <w:r>
                <w:rPr>
                  <w:rFonts w:ascii="Calibri" w:hAnsi="Calibri" w:cs="Calibri"/>
                  <w:sz w:val="18"/>
                  <w:color w:val="1155CC"/>
                  <w:u w:val="single"/>
                </w:rPr>
                <w:t xml:space="preserve">dermnetnz.org - bullous pemphigoid</w:t>
              </w:r>
            </w:hyperlink>
          </w:p>
          <w:p>
            <w:pPr>
              <w:spacing w:before="60" w:after="40"/>
            </w:pPr>
            <w:r>
              <w:rPr>
                <w:rFonts w:ascii="Calibri" w:hAnsi="Calibri"/>
                <w:b w:val="0"/>
                <w:i w:val="0"/>
                <w:color w:val="5A5A5A"/>
                <w:sz w:val="18"/>
              </w:rPr>
              <w:t>#psoriasis  #phototherapy  #koebner</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Malignancy</w:t>
            </w:r>
          </w:p>
        </w:tc>
        <w:tc>
          <w:tcPr>
            <w:tcW w:type="dxa" w:w="2160"/>
            <w:vAlign w:val="top"/>
          </w:tcPr>
          <w:p>
            <w:pPr>
              <w:spacing w:after="40" w:before="0" w:line="259" w:lineRule="auto"/>
            </w:pPr>
            <w:r>
              <w:rPr>
                <w:rFonts w:ascii="Calibri" w:hAnsi="Calibri"/>
                <w:b w:val="0"/>
                <w:i w:val="0"/>
                <w:color w:val="212121"/>
                <w:sz w:val="19"/>
              </w:rPr>
              <w:t>Older patients with atypical / resistant BP</w:t>
            </w:r>
          </w:p>
        </w:tc>
        <w:tc>
          <w:tcPr>
            <w:tcW w:type="dxa" w:w="4276"/>
            <w:vAlign w:val="top"/>
          </w:tcPr>
          <w:p>
            <w:pPr>
              <w:spacing w:after="60" w:line="259" w:lineRule="auto"/>
            </w:pPr>
            <w:r>
              <w:rPr>
                <w:rFonts w:ascii="Calibri" w:hAnsi="Calibri"/>
                <w:b w:val="0"/>
                <w:i w:val="0"/>
                <w:color w:val="212121"/>
                <w:sz w:val="19"/>
              </w:rPr>
              <w:t>An association between BP and internal malignancy has been reported, particularly with atypical or treatment-resistant presentations; age-appropriate cancer screening is prudent.</w:t>
            </w:r>
          </w:p>
          <w:p>
            <w:pPr>
              <w:spacing w:after="40" w:before="60" w:line="259" w:lineRule="auto"/>
            </w:pPr>
            <w:r>
              <w:rPr>
                <w:rFonts w:ascii="Calibri" w:hAnsi="Calibri"/>
                <w:b w:val="0"/>
                <w:i w:val="0"/>
                <w:color w:val="212121"/>
                <w:sz w:val="19"/>
              </w:rPr>
              <w:t>A possible association with internal malignancy is described, prompting age-appropriate screening in atypical cases.</w:t>
            </w:r>
          </w:p>
          <w:p>
            <w:pPr>
              <w:spacing w:after="40" w:line="252" w:lineRule="auto"/>
            </w:pPr>
            <w:hyperlink r:id="rId9">
              <w:r>
                <w:rPr>
                  <w:rFonts w:ascii="Calibri" w:hAnsi="Calibri" w:cs="Calibri"/>
                  <w:sz w:val="18"/>
                  <w:color w:val="1155CC"/>
                  <w:u w:val="single"/>
                </w:rPr>
                <w:t xml:space="preserve">ncbi.nlm.nih.gov - StatPearls, Bullous Pemphigoid</w:t>
              </w:r>
            </w:hyperlink>
          </w:p>
          <w:p>
            <w:pPr>
              <w:spacing w:before="60" w:after="40"/>
            </w:pPr>
            <w:r>
              <w:rPr>
                <w:rFonts w:ascii="Calibri" w:hAnsi="Calibri"/>
                <w:b w:val="0"/>
                <w:i w:val="0"/>
                <w:color w:val="5A5A5A"/>
                <w:sz w:val="18"/>
              </w:rPr>
              <w:t>#malignancy  #paraneoplastic  #screening</w:t>
            </w:r>
          </w:p>
        </w:tc>
      </w:tr>
    </w:tbl>
    <w:p>
      <w:pPr>
        <w:spacing w:before="200" w:after="120"/>
      </w:pPr>
      <w:r>
        <w:rPr>
          <w:rFonts w:ascii="Calibri" w:hAnsi="Calibri"/>
          <w:b/>
          <w:i w:val="0"/>
          <w:color w:val="212121"/>
          <w:sz w:val="25"/>
        </w:rPr>
        <w:t>Lifestyle Health Parameters ( LHP )</w:t>
      </w:r>
    </w:p>
    <w:p>
      <w:pPr>
        <w:spacing w:before="160" w:after="120"/>
      </w:pPr>
      <w:r>
        <w:rPr>
          <w:rFonts w:ascii="Calibri" w:hAnsi="Calibri"/>
          <w:b/>
          <w:i w:val="0"/>
          <w:color w:val="212121"/>
          <w:sz w:val="22"/>
        </w:rPr>
        <w:t>Order of Parameter Influence Study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LHP</w:t>
            </w:r>
          </w:p>
        </w:tc>
        <w:tc>
          <w:tcPr>
            <w:tcW w:type="dxa" w:w="1800"/>
            <w:shd w:val="clear" w:color="auto" w:fill="F2F2F2"/>
            <w:vAlign w:val="center"/>
          </w:tcPr>
          <w:p>
            <w:pPr>
              <w:spacing w:after="40" w:before="0" w:line="259" w:lineRule="auto"/>
            </w:pPr>
            <w:r>
              <w:rPr>
                <w:rFonts w:ascii="Calibri" w:hAnsi="Calibri"/>
                <w:b/>
                <w:i w:val="0"/>
                <w:color w:val="212121"/>
                <w:sz w:val="19"/>
              </w:rPr>
              <w:t>Influence Level</w:t>
            </w:r>
          </w:p>
        </w:tc>
        <w:tc>
          <w:tcPr>
            <w:tcW w:type="dxa" w:w="5500"/>
            <w:shd w:val="clear" w:color="auto" w:fill="F2F2F2"/>
            <w:vAlign w:val="center"/>
          </w:tcPr>
          <w:p>
            <w:pPr>
              <w:spacing w:after="40" w:before="0" w:line="259" w:lineRule="auto"/>
            </w:pPr>
            <w:r>
              <w:rPr>
                <w:rFonts w:ascii="Calibri" w:hAnsi="Calibri"/>
                <w:b/>
                <w:i w:val="0"/>
                <w:color w:val="212121"/>
                <w:sz w:val="19"/>
              </w:rPr>
              <w:t>Influence Study</w:t>
            </w:r>
          </w:p>
        </w:tc>
      </w:tr>
      <w:tr>
        <w:trPr>
          <w:cantSplit/>
        </w:trPr>
        <w:tc>
          <w:tcPr>
            <w:tcW w:type="dxa" w:w="2304"/>
            <w:vAlign w:val="top"/>
          </w:tcPr>
          <w:p>
            <w:pPr>
              <w:spacing w:after="40" w:before="0" w:line="259" w:lineRule="auto"/>
            </w:pPr>
            <w:r>
              <w:rPr>
                <w:rFonts w:ascii="Calibri" w:hAnsi="Calibri"/>
                <w:b/>
                <w:i w:val="0"/>
                <w:color w:val="212121"/>
                <w:sz w:val="19"/>
              </w:rPr>
              <w:t>Physical activity</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Physical activity has no causal role in BP onset, but immobility from associated stroke, dementia or Parkinson's disease correlates strongly with the disease and predisposes to pressure damage and poor healing. Maintaining mobility aids recovery and reduces thromboembolic risk.</w:t>
            </w:r>
          </w:p>
        </w:tc>
      </w:tr>
      <w:tr>
        <w:trPr>
          <w:cantSplit/>
        </w:trPr>
        <w:tc>
          <w:tcPr>
            <w:tcW w:type="dxa" w:w="2304"/>
            <w:vAlign w:val="top"/>
          </w:tcPr>
          <w:p>
            <w:pPr>
              <w:spacing w:after="40" w:before="0" w:line="259" w:lineRule="auto"/>
            </w:pPr>
            <w:r>
              <w:rPr>
                <w:rFonts w:ascii="Calibri" w:hAnsi="Calibri"/>
                <w:b/>
                <w:i w:val="0"/>
                <w:color w:val="212121"/>
                <w:sz w:val="19"/>
              </w:rPr>
              <w:t>Food</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No proven dietary cause. Adequate protein and calorie intake matter for healing skin and countering protein loss from extensive erosions, and steroid therapy demands attention to glycaemic load.</w:t>
            </w:r>
          </w:p>
        </w:tc>
      </w:tr>
      <w:tr>
        <w:trPr>
          <w:cantSplit/>
        </w:trPr>
        <w:tc>
          <w:tcPr>
            <w:tcW w:type="dxa" w:w="2304"/>
            <w:vAlign w:val="top"/>
          </w:tcPr>
          <w:p>
            <w:pPr>
              <w:spacing w:after="40" w:before="0" w:line="259" w:lineRule="auto"/>
            </w:pPr>
            <w:r>
              <w:rPr>
                <w:rFonts w:ascii="Calibri" w:hAnsi="Calibri"/>
                <w:b/>
                <w:i w:val="0"/>
                <w:color w:val="212121"/>
                <w:sz w:val="19"/>
              </w:rPr>
              <w:t>Sleep</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Intense nocturnal pruritus severely disrupts sleep and quality of life; effective itch control restores sleep. Poor sleep here is largely a consequence rather than a cause of disease.</w:t>
            </w:r>
          </w:p>
        </w:tc>
      </w:tr>
      <w:tr>
        <w:trPr>
          <w:cantSplit/>
        </w:trPr>
        <w:tc>
          <w:tcPr>
            <w:tcW w:type="dxa" w:w="2304"/>
            <w:vAlign w:val="top"/>
          </w:tcPr>
          <w:p>
            <w:pPr>
              <w:spacing w:after="40" w:before="0" w:line="259" w:lineRule="auto"/>
            </w:pPr>
            <w:r>
              <w:rPr>
                <w:rFonts w:ascii="Calibri" w:hAnsi="Calibri"/>
                <w:b/>
                <w:i w:val="0"/>
                <w:color w:val="212121"/>
                <w:sz w:val="19"/>
              </w:rPr>
              <w:t>Smoking</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No consistent causal association with BP onset; smoking impairs wound healing and adds to the cardiovascular risk that drives excess mortality in BP.</w:t>
            </w:r>
          </w:p>
        </w:tc>
      </w:tr>
      <w:tr>
        <w:trPr>
          <w:cantSplit/>
        </w:trPr>
        <w:tc>
          <w:tcPr>
            <w:tcW w:type="dxa" w:w="2304"/>
            <w:vAlign w:val="top"/>
          </w:tcPr>
          <w:p>
            <w:pPr>
              <w:spacing w:after="40" w:before="0" w:line="259" w:lineRule="auto"/>
            </w:pPr>
            <w:r>
              <w:rPr>
                <w:rFonts w:ascii="Calibri" w:hAnsi="Calibri"/>
                <w:b/>
                <w:i w:val="0"/>
                <w:color w:val="212121"/>
                <w:sz w:val="19"/>
              </w:rPr>
              <w:t>Alcohol</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No established causal link with BP. Clinically relevant mainly for hepatotoxicity and interactions with methotrexate and immunosuppressants used to treat the disease.</w:t>
            </w:r>
          </w:p>
        </w:tc>
      </w:tr>
      <w:tr>
        <w:trPr>
          <w:cantSplit/>
        </w:trPr>
        <w:tc>
          <w:tcPr>
            <w:tcW w:type="dxa" w:w="2304"/>
            <w:vAlign w:val="top"/>
          </w:tcPr>
          <w:p>
            <w:pPr>
              <w:spacing w:after="40" w:before="0" w:line="259" w:lineRule="auto"/>
            </w:pPr>
            <w:r>
              <w:rPr>
                <w:rFonts w:ascii="Calibri" w:hAnsi="Calibri"/>
                <w:b/>
                <w:i w:val="0"/>
                <w:color w:val="212121"/>
                <w:sz w:val="19"/>
              </w:rPr>
              <w:t>Mental health</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Chronic pruritus, visible blistering and disability cause substantial depression, anxiety and reduced quality of life; frequent overlap with dementia complicates care and treatment adherence.</w:t>
            </w:r>
          </w:p>
        </w:tc>
      </w:tr>
      <w:tr>
        <w:trPr>
          <w:cantSplit/>
        </w:trPr>
        <w:tc>
          <w:tcPr>
            <w:tcW w:type="dxa" w:w="2304"/>
            <w:vAlign w:val="top"/>
          </w:tcPr>
          <w:p>
            <w:pPr>
              <w:spacing w:after="40" w:before="0" w:line="259" w:lineRule="auto"/>
            </w:pPr>
            <w:r>
              <w:rPr>
                <w:rFonts w:ascii="Calibri" w:hAnsi="Calibri"/>
                <w:b/>
                <w:i w:val="0"/>
                <w:color w:val="212121"/>
                <w:sz w:val="19"/>
              </w:rPr>
              <w:t>Water</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Extensive blistering causes fluid, electrolyte and protein loss; adequate hydration and monitoring of albumin and electrolytes are important in widespread disease.</w:t>
            </w:r>
          </w:p>
        </w:tc>
      </w:tr>
      <w:tr>
        <w:trPr>
          <w:cantSplit/>
        </w:trPr>
        <w:tc>
          <w:tcPr>
            <w:tcW w:type="dxa" w:w="2304"/>
            <w:vAlign w:val="top"/>
          </w:tcPr>
          <w:p>
            <w:pPr>
              <w:spacing w:after="40" w:before="0" w:line="259" w:lineRule="auto"/>
            </w:pPr>
            <w:r>
              <w:rPr>
                <w:rFonts w:ascii="Calibri" w:hAnsi="Calibri"/>
                <w:b/>
                <w:i w:val="0"/>
                <w:color w:val="212121"/>
                <w:sz w:val="19"/>
              </w:rPr>
              <w:t>Caffeine</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No known association with BP onset or clinical course.</w:t>
            </w:r>
          </w:p>
        </w:tc>
      </w:tr>
      <w:tr>
        <w:trPr>
          <w:cantSplit/>
        </w:trPr>
        <w:tc>
          <w:tcPr>
            <w:tcW w:type="dxa" w:w="2304"/>
            <w:vAlign w:val="top"/>
          </w:tcPr>
          <w:p>
            <w:pPr>
              <w:spacing w:after="40" w:before="0" w:line="259" w:lineRule="auto"/>
            </w:pPr>
            <w:r>
              <w:rPr>
                <w:rFonts w:ascii="Calibri" w:hAnsi="Calibri"/>
                <w:b/>
                <w:i w:val="0"/>
                <w:color w:val="212121"/>
                <w:sz w:val="19"/>
              </w:rPr>
              <w:t>Hygiene</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Gentle wound and skin hygiene is central to preventing secondary bacterial infection and sepsis, which are leading causes of death in BP.</w:t>
            </w:r>
          </w:p>
        </w:tc>
      </w:tr>
      <w:tr>
        <w:trPr>
          <w:cantSplit/>
        </w:trPr>
        <w:tc>
          <w:tcPr>
            <w:tcW w:type="dxa" w:w="2304"/>
            <w:vAlign w:val="top"/>
          </w:tcPr>
          <w:p>
            <w:pPr>
              <w:spacing w:after="40" w:before="0" w:line="259" w:lineRule="auto"/>
            </w:pPr>
            <w:r>
              <w:rPr>
                <w:rFonts w:ascii="Calibri" w:hAnsi="Calibri"/>
                <w:b/>
                <w:i w:val="0"/>
                <w:color w:val="212121"/>
                <w:sz w:val="19"/>
              </w:rPr>
              <w:t>Provoking factors</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Well-recognised triggers include drugs (DPP-4 inhibitors/gliptins, immune-checkpoint inhibitors, diuretics, some antibiotics), trauma/Koebner phenomenon, ultraviolet exposure and phototherapy, radiotherapy, burns and certain infections.</w:t>
            </w:r>
          </w:p>
        </w:tc>
      </w:tr>
      <w:tr>
        <w:trPr>
          <w:cantSplit/>
        </w:trPr>
        <w:tc>
          <w:tcPr>
            <w:tcW w:type="dxa" w:w="2304"/>
            <w:vAlign w:val="top"/>
          </w:tcPr>
          <w:p>
            <w:pPr>
              <w:spacing w:after="40" w:before="0" w:line="259" w:lineRule="auto"/>
            </w:pPr>
            <w:r>
              <w:rPr>
                <w:rFonts w:ascii="Calibri" w:hAnsi="Calibri"/>
                <w:b/>
                <w:i w:val="0"/>
                <w:color w:val="212121"/>
                <w:sz w:val="19"/>
              </w:rPr>
              <w:t>Posture</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Prolonged immobility and pressure in bedbound elderly contribute to lesion sites, friction and trauma, and impaired healing; frequent repositioning and pressure-area care help.</w:t>
            </w:r>
          </w:p>
        </w:tc>
      </w:tr>
    </w:tbl>
    <w:p>
      <w:pPr>
        <w:spacing w:before="160" w:after="120"/>
      </w:pPr>
      <w:r>
        <w:rPr>
          <w:rFonts w:ascii="Calibri" w:hAnsi="Calibri"/>
          <w:b/>
          <w:i w:val="0"/>
          <w:color w:val="212121"/>
          <w:sz w:val="22"/>
        </w:rPr>
        <w:t>LHP Metric Triggers &amp; Specifications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601"/>
        <w:gridCol w:w="1601"/>
        <w:gridCol w:w="1601"/>
        <w:gridCol w:w="1601"/>
        <w:gridCol w:w="1601"/>
        <w:gridCol w:w="16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LHP</w:t>
            </w:r>
          </w:p>
        </w:tc>
        <w:tc>
          <w:tcPr>
            <w:tcW w:type="dxa" w:w="1944"/>
            <w:shd w:val="clear" w:color="auto" w:fill="F2F2F2"/>
            <w:vAlign w:val="center"/>
          </w:tcPr>
          <w:p>
            <w:pPr>
              <w:spacing w:after="40" w:before="0" w:line="259" w:lineRule="auto"/>
            </w:pPr>
            <w:r>
              <w:rPr>
                <w:rFonts w:ascii="Calibri" w:hAnsi="Calibri"/>
                <w:b/>
                <w:i w:val="0"/>
                <w:color w:val="212121"/>
                <w:sz w:val="19"/>
              </w:rPr>
              <w:t>Metric</w:t>
            </w:r>
          </w:p>
        </w:tc>
        <w:tc>
          <w:tcPr>
            <w:tcW w:type="dxa" w:w="1655"/>
            <w:shd w:val="clear" w:color="auto" w:fill="F2F2F2"/>
            <w:vAlign w:val="center"/>
          </w:tcPr>
          <w:p>
            <w:pPr>
              <w:spacing w:after="40" w:before="0" w:line="259" w:lineRule="auto"/>
            </w:pPr>
            <w:r>
              <w:rPr>
                <w:rFonts w:ascii="Calibri" w:hAnsi="Calibri"/>
                <w:b/>
                <w:i w:val="0"/>
                <w:color w:val="212121"/>
                <w:sz w:val="19"/>
              </w:rPr>
              <w:t>Profile</w:t>
            </w:r>
          </w:p>
        </w:tc>
        <w:tc>
          <w:tcPr>
            <w:tcW w:type="dxa" w:w="1512"/>
            <w:shd w:val="clear" w:color="auto" w:fill="F2F2F2"/>
            <w:vAlign w:val="center"/>
          </w:tcPr>
          <w:p>
            <w:pPr>
              <w:spacing w:after="40" w:before="0" w:line="259" w:lineRule="auto"/>
            </w:pPr>
            <w:r>
              <w:rPr>
                <w:rFonts w:ascii="Calibri" w:hAnsi="Calibri"/>
                <w:b/>
                <w:i w:val="0"/>
                <w:color w:val="212121"/>
                <w:sz w:val="19"/>
              </w:rPr>
              <w:t>Ideal Values</w:t>
            </w:r>
          </w:p>
        </w:tc>
        <w:tc>
          <w:tcPr>
            <w:tcW w:type="dxa" w:w="1512"/>
            <w:shd w:val="clear" w:color="auto" w:fill="F2F2F2"/>
            <w:vAlign w:val="center"/>
          </w:tcPr>
          <w:p>
            <w:pPr>
              <w:spacing w:after="40" w:before="0" w:line="259" w:lineRule="auto"/>
            </w:pPr>
            <w:r>
              <w:rPr>
                <w:rFonts w:ascii="Calibri" w:hAnsi="Calibri"/>
                <w:b/>
                <w:i w:val="0"/>
                <w:color w:val="212121"/>
                <w:sz w:val="19"/>
              </w:rPr>
              <w:t>Trigger Values</w:t>
            </w:r>
          </w:p>
        </w:tc>
        <w:tc>
          <w:tcPr>
            <w:tcW w:type="dxa" w:w="1468"/>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512"/>
            <w:vMerge w:val="restart"/>
            <w:vAlign w:val="center"/>
          </w:tcPr>
          <w:p>
            <w:pPr>
              <w:spacing w:after="40"/>
            </w:pPr>
            <w:r>
              <w:rPr>
                <w:rFonts w:ascii="Calibri" w:hAnsi="Calibri"/>
                <w:b w:val="0"/>
                <w:i w:val="0"/>
                <w:color w:val="212121"/>
                <w:sz w:val="19"/>
              </w:rPr>
              <w:t>Provoking factors</w:t>
            </w:r>
          </w:p>
        </w:tc>
        <w:tc>
          <w:tcPr>
            <w:tcW w:type="dxa" w:w="1944"/>
            <w:vAlign w:val="top"/>
          </w:tcPr>
          <w:p>
            <w:pPr>
              <w:spacing w:after="40" w:before="0" w:line="259" w:lineRule="auto"/>
            </w:pPr>
            <w:r>
              <w:rPr>
                <w:rFonts w:ascii="Calibri" w:hAnsi="Calibri"/>
                <w:b w:val="0"/>
                <w:i w:val="0"/>
                <w:color w:val="212121"/>
                <w:sz w:val="19"/>
              </w:rPr>
              <w:t>DPP-4 inhibitor (gliptin) exposure</w:t>
            </w:r>
          </w:p>
        </w:tc>
        <w:tc>
          <w:tcPr>
            <w:tcW w:type="dxa" w:w="1655"/>
            <w:vAlign w:val="top"/>
          </w:tcPr>
          <w:p>
            <w:pPr>
              <w:spacing w:after="40" w:before="0" w:line="259" w:lineRule="auto"/>
            </w:pPr>
            <w:r>
              <w:rPr>
                <w:rFonts w:ascii="Calibri" w:hAnsi="Calibri"/>
                <w:b w:val="0"/>
                <w:i w:val="0"/>
                <w:color w:val="212121"/>
                <w:sz w:val="19"/>
              </w:rPr>
              <w:t>Diabetic BP patients</w:t>
            </w:r>
          </w:p>
        </w:tc>
        <w:tc>
          <w:tcPr>
            <w:tcW w:type="dxa" w:w="1512"/>
            <w:vAlign w:val="top"/>
          </w:tcPr>
          <w:p>
            <w:pPr>
              <w:spacing w:after="40" w:before="0" w:line="259" w:lineRule="auto"/>
            </w:pPr>
            <w:r>
              <w:rPr>
                <w:rFonts w:ascii="Calibri" w:hAnsi="Calibri"/>
                <w:b w:val="0"/>
                <w:i w:val="0"/>
                <w:color w:val="212121"/>
                <w:sz w:val="19"/>
              </w:rPr>
              <w:t>None</w:t>
            </w:r>
          </w:p>
        </w:tc>
        <w:tc>
          <w:tcPr>
            <w:tcW w:type="dxa" w:w="1512"/>
            <w:vAlign w:val="top"/>
          </w:tcPr>
          <w:p>
            <w:pPr>
              <w:spacing w:after="40" w:before="0" w:line="259" w:lineRule="auto"/>
            </w:pPr>
            <w:r>
              <w:rPr>
                <w:rFonts w:ascii="Calibri" w:hAnsi="Calibri"/>
                <w:b w:val="0"/>
                <w:i w:val="0"/>
                <w:color w:val="212121"/>
                <w:sz w:val="19"/>
              </w:rPr>
              <w:t>Current or recent gliptin use</w:t>
            </w:r>
          </w:p>
        </w:tc>
        <w:tc>
          <w:tcPr>
            <w:tcW w:type="dxa" w:w="1468"/>
            <w:vAlign w:val="top"/>
          </w:tcPr>
          <w:p>
            <w:pPr>
              <w:spacing w:after="60" w:line="259" w:lineRule="auto"/>
            </w:pPr>
            <w:r>
              <w:rPr>
                <w:rFonts w:ascii="Calibri" w:hAnsi="Calibri"/>
                <w:b w:val="0"/>
                <w:i w:val="0"/>
                <w:color w:val="212121"/>
                <w:sz w:val="19"/>
              </w:rPr>
              <w:t>Withdrawal often improves disease control; substitute an alternative antidiabetic agent.</w:t>
            </w:r>
          </w:p>
          <w:p>
            <w:pPr>
              <w:spacing w:after="40" w:line="252" w:lineRule="auto"/>
            </w:pPr>
            <w:hyperlink r:id="rId14">
              <w:r>
                <w:rPr>
                  <w:rFonts w:ascii="Calibri" w:hAnsi="Calibri" w:cs="Calibri"/>
                  <w:sz w:val="18"/>
                  <w:color w:val="1155CC"/>
                  <w:u w:val="single"/>
                </w:rPr>
                <w:t xml:space="preserve">https://pubmed.ncbi.nlm.nih.gov/32236820/</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Culprit-drug review (diuretics, checkpoint inhibitors, antibiotics)</w:t>
            </w:r>
          </w:p>
        </w:tc>
        <w:tc>
          <w:tcPr>
            <w:tcW w:type="dxa" w:w="1655"/>
            <w:vAlign w:val="top"/>
          </w:tcPr>
          <w:p>
            <w:pPr>
              <w:spacing w:after="40" w:before="0" w:line="259" w:lineRule="auto"/>
            </w:pPr>
            <w:r>
              <w:rPr>
                <w:rFonts w:ascii="Calibri" w:hAnsi="Calibri"/>
                <w:b w:val="0"/>
                <w:i w:val="0"/>
                <w:color w:val="212121"/>
                <w:sz w:val="19"/>
              </w:rPr>
              <w:t>Elderly on polypharmacy</w:t>
            </w:r>
          </w:p>
        </w:tc>
        <w:tc>
          <w:tcPr>
            <w:tcW w:type="dxa" w:w="1512"/>
            <w:vAlign w:val="top"/>
          </w:tcPr>
          <w:p>
            <w:pPr>
              <w:spacing w:after="40" w:before="0" w:line="259" w:lineRule="auto"/>
            </w:pPr>
            <w:r>
              <w:rPr>
                <w:rFonts w:ascii="Calibri" w:hAnsi="Calibri"/>
                <w:b w:val="0"/>
                <w:i w:val="0"/>
                <w:color w:val="212121"/>
                <w:sz w:val="19"/>
              </w:rPr>
              <w:t>No BP-associated drug</w:t>
            </w:r>
          </w:p>
        </w:tc>
        <w:tc>
          <w:tcPr>
            <w:tcW w:type="dxa" w:w="1512"/>
            <w:vAlign w:val="top"/>
          </w:tcPr>
          <w:p>
            <w:pPr>
              <w:spacing w:after="40" w:before="0" w:line="259" w:lineRule="auto"/>
            </w:pPr>
            <w:r>
              <w:rPr>
                <w:rFonts w:ascii="Calibri" w:hAnsi="Calibri"/>
                <w:b w:val="0"/>
                <w:i w:val="0"/>
                <w:color w:val="212121"/>
                <w:sz w:val="19"/>
              </w:rPr>
              <w:t>One or more recognised trigger drugs</w:t>
            </w:r>
          </w:p>
        </w:tc>
        <w:tc>
          <w:tcPr>
            <w:tcW w:type="dxa" w:w="1468"/>
            <w:vAlign w:val="top"/>
          </w:tcPr>
          <w:p>
            <w:pPr>
              <w:spacing w:after="60" w:line="259" w:lineRule="auto"/>
            </w:pPr>
            <w:r>
              <w:rPr>
                <w:rFonts w:ascii="Calibri" w:hAnsi="Calibri"/>
                <w:b w:val="0"/>
                <w:i w:val="0"/>
                <w:color w:val="212121"/>
                <w:sz w:val="19"/>
              </w:rPr>
              <w:t>Review and de-prescribe where clinically feasible.</w:t>
            </w:r>
          </w:p>
          <w:p>
            <w:pPr>
              <w:spacing w:after="40" w:line="252" w:lineRule="auto"/>
            </w:pPr>
            <w:hyperlink r:id="rId9">
              <w:r>
                <w:rPr>
                  <w:rFonts w:ascii="Calibri" w:hAnsi="Calibri" w:cs="Calibri"/>
                  <w:sz w:val="18"/>
                  <w:color w:val="1155CC"/>
                  <w:u w:val="single"/>
                </w:rPr>
                <w:t xml:space="preserve">https://www.ncbi.nlm.nih.gov/books/NBK535374/</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Serum anti-BP180 NC16A IgG</w:t>
            </w:r>
          </w:p>
        </w:tc>
        <w:tc>
          <w:tcPr>
            <w:tcW w:type="dxa" w:w="1655"/>
            <w:vAlign w:val="top"/>
          </w:tcPr>
          <w:p>
            <w:pPr>
              <w:spacing w:after="40" w:before="0" w:line="259" w:lineRule="auto"/>
            </w:pPr>
            <w:r>
              <w:rPr>
                <w:rFonts w:ascii="Calibri" w:hAnsi="Calibri"/>
                <w:b w:val="0"/>
                <w:i w:val="0"/>
                <w:color w:val="212121"/>
                <w:sz w:val="19"/>
              </w:rPr>
              <w:t>Active BP</w:t>
            </w:r>
          </w:p>
        </w:tc>
        <w:tc>
          <w:tcPr>
            <w:tcW w:type="dxa" w:w="1512"/>
            <w:vAlign w:val="top"/>
          </w:tcPr>
          <w:p>
            <w:pPr>
              <w:spacing w:after="40" w:before="0" w:line="259" w:lineRule="auto"/>
            </w:pPr>
            <w:r>
              <w:rPr>
                <w:rFonts w:ascii="Calibri" w:hAnsi="Calibri"/>
                <w:b w:val="0"/>
                <w:i w:val="0"/>
                <w:color w:val="212121"/>
                <w:sz w:val="19"/>
              </w:rPr>
              <w:t>Negative</w:t>
            </w:r>
          </w:p>
        </w:tc>
        <w:tc>
          <w:tcPr>
            <w:tcW w:type="dxa" w:w="1512"/>
            <w:vAlign w:val="top"/>
          </w:tcPr>
          <w:p>
            <w:pPr>
              <w:spacing w:after="40" w:before="0" w:line="259" w:lineRule="auto"/>
            </w:pPr>
            <w:r>
              <w:rPr>
                <w:rFonts w:ascii="Calibri" w:hAnsi="Calibri"/>
                <w:b w:val="0"/>
                <w:i w:val="0"/>
                <w:color w:val="212121"/>
                <w:sz w:val="19"/>
              </w:rPr>
              <w:t>Elevated or rising titre</w:t>
            </w:r>
          </w:p>
        </w:tc>
        <w:tc>
          <w:tcPr>
            <w:tcW w:type="dxa" w:w="1468"/>
            <w:vAlign w:val="top"/>
          </w:tcPr>
          <w:p>
            <w:pPr>
              <w:spacing w:after="60" w:line="259" w:lineRule="auto"/>
            </w:pPr>
            <w:r>
              <w:rPr>
                <w:rFonts w:ascii="Calibri" w:hAnsi="Calibri"/>
                <w:b w:val="0"/>
                <w:i w:val="0"/>
                <w:color w:val="212121"/>
                <w:sz w:val="19"/>
              </w:rPr>
              <w:t>Correlates with disease activity; useful for monitoring and relapse prediction (ELISA about 89% sensitivity, 98% specificity).</w:t>
            </w:r>
          </w:p>
          <w:p>
            <w:pPr>
              <w:spacing w:after="40" w:line="252" w:lineRule="auto"/>
            </w:pPr>
            <w:hyperlink r:id="rId9">
              <w:r>
                <w:rPr>
                  <w:rFonts w:ascii="Calibri" w:hAnsi="Calibri" w:cs="Calibri"/>
                  <w:sz w:val="18"/>
                  <w:color w:val="1155CC"/>
                  <w:u w:val="single"/>
                </w:rPr>
                <w:t xml:space="preserve">https://www.ncbi.nlm.nih.gov/books/NBK535374/</w:t>
              </w:r>
            </w:hyperlink>
          </w:p>
        </w:tc>
      </w:tr>
      <w:tr>
        <w:trPr>
          <w:cantSplit/>
        </w:trPr>
        <w:tc>
          <w:tcPr>
            <w:tcW w:type="dxa" w:w="1512"/>
            <w:vAlign w:val="center"/>
          </w:tcPr>
          <w:p>
            <w:pPr>
              <w:spacing w:after="40"/>
            </w:pPr>
            <w:r>
              <w:rPr>
                <w:rFonts w:ascii="Calibri" w:hAnsi="Calibri"/>
                <w:b w:val="0"/>
                <w:i w:val="0"/>
                <w:color w:val="212121"/>
                <w:sz w:val="19"/>
              </w:rPr>
              <w:t>Physical activity</w:t>
            </w:r>
          </w:p>
        </w:tc>
        <w:tc>
          <w:tcPr>
            <w:tcW w:type="dxa" w:w="1944"/>
            <w:vAlign w:val="top"/>
          </w:tcPr>
          <w:p>
            <w:pPr>
              <w:spacing w:after="40" w:before="0" w:line="259" w:lineRule="auto"/>
            </w:pPr>
            <w:r>
              <w:rPr>
                <w:rFonts w:ascii="Calibri" w:hAnsi="Calibri"/>
                <w:b w:val="0"/>
                <w:i w:val="0"/>
                <w:color w:val="212121"/>
                <w:sz w:val="19"/>
              </w:rPr>
              <w:t>Mobility status</w:t>
            </w:r>
          </w:p>
        </w:tc>
        <w:tc>
          <w:tcPr>
            <w:tcW w:type="dxa" w:w="1655"/>
            <w:vAlign w:val="top"/>
          </w:tcPr>
          <w:p>
            <w:pPr>
              <w:spacing w:after="40" w:before="0" w:line="259" w:lineRule="auto"/>
            </w:pPr>
            <w:r>
              <w:rPr>
                <w:rFonts w:ascii="Calibri" w:hAnsi="Calibri"/>
                <w:b w:val="0"/>
                <w:i w:val="0"/>
                <w:color w:val="212121"/>
                <w:sz w:val="19"/>
              </w:rPr>
              <w:t>Neuro-disabled elderly</w:t>
            </w:r>
          </w:p>
        </w:tc>
        <w:tc>
          <w:tcPr>
            <w:tcW w:type="dxa" w:w="1512"/>
            <w:vAlign w:val="top"/>
          </w:tcPr>
          <w:p>
            <w:pPr>
              <w:spacing w:after="40" w:before="0" w:line="259" w:lineRule="auto"/>
            </w:pPr>
            <w:r>
              <w:rPr>
                <w:rFonts w:ascii="Calibri" w:hAnsi="Calibri"/>
                <w:b w:val="0"/>
                <w:i w:val="0"/>
                <w:color w:val="212121"/>
                <w:sz w:val="19"/>
              </w:rPr>
              <w:t>Ambulatory / independently mobile</w:t>
            </w:r>
          </w:p>
        </w:tc>
        <w:tc>
          <w:tcPr>
            <w:tcW w:type="dxa" w:w="1512"/>
            <w:vAlign w:val="top"/>
          </w:tcPr>
          <w:p>
            <w:pPr>
              <w:spacing w:after="40" w:before="0" w:line="259" w:lineRule="auto"/>
            </w:pPr>
            <w:r>
              <w:rPr>
                <w:rFonts w:ascii="Calibri" w:hAnsi="Calibri"/>
                <w:b w:val="0"/>
                <w:i w:val="0"/>
                <w:color w:val="212121"/>
                <w:sz w:val="19"/>
              </w:rPr>
              <w:t>Bedbound / immobile</w:t>
            </w:r>
          </w:p>
        </w:tc>
        <w:tc>
          <w:tcPr>
            <w:tcW w:type="dxa" w:w="1468"/>
            <w:vAlign w:val="top"/>
          </w:tcPr>
          <w:p>
            <w:pPr>
              <w:spacing w:after="40" w:before="0" w:line="259" w:lineRule="auto"/>
            </w:pPr>
            <w:r>
              <w:rPr>
                <w:rFonts w:ascii="Calibri" w:hAnsi="Calibri"/>
                <w:b w:val="0"/>
                <w:i w:val="0"/>
                <w:color w:val="212121"/>
                <w:sz w:val="19"/>
              </w:rPr>
              <w:t>Immobility predicts pressure damage and poor healing; physiotherapy and repositioning advised.</w:t>
            </w:r>
          </w:p>
        </w:tc>
      </w:tr>
      <w:tr>
        <w:trPr>
          <w:cantSplit/>
        </w:trPr>
        <w:tc>
          <w:tcPr>
            <w:tcW w:type="dxa" w:w="1512"/>
            <w:vMerge w:val="restart"/>
            <w:vAlign w:val="center"/>
          </w:tcPr>
          <w:p>
            <w:pPr>
              <w:spacing w:after="40"/>
            </w:pPr>
            <w:r>
              <w:rPr>
                <w:rFonts w:ascii="Calibri" w:hAnsi="Calibri"/>
                <w:b w:val="0"/>
                <w:i w:val="0"/>
                <w:color w:val="212121"/>
                <w:sz w:val="19"/>
              </w:rPr>
              <w:t>Mental health</w:t>
            </w:r>
          </w:p>
        </w:tc>
        <w:tc>
          <w:tcPr>
            <w:tcW w:type="dxa" w:w="1944"/>
            <w:vAlign w:val="top"/>
          </w:tcPr>
          <w:p>
            <w:pPr>
              <w:spacing w:after="40" w:before="0" w:line="259" w:lineRule="auto"/>
            </w:pPr>
            <w:r>
              <w:rPr>
                <w:rFonts w:ascii="Calibri" w:hAnsi="Calibri"/>
                <w:b w:val="0"/>
                <w:i w:val="0"/>
                <w:color w:val="212121"/>
                <w:sz w:val="19"/>
              </w:rPr>
              <w:t>Itch numeric rating scale (0-10)</w:t>
            </w:r>
          </w:p>
        </w:tc>
        <w:tc>
          <w:tcPr>
            <w:tcW w:type="dxa" w:w="1655"/>
            <w:vAlign w:val="top"/>
          </w:tcPr>
          <w:p>
            <w:pPr>
              <w:spacing w:after="40" w:before="0" w:line="259" w:lineRule="auto"/>
            </w:pPr>
            <w:r>
              <w:rPr>
                <w:rFonts w:ascii="Calibri" w:hAnsi="Calibri"/>
                <w:b w:val="0"/>
                <w:i w:val="0"/>
                <w:color w:val="212121"/>
                <w:sz w:val="19"/>
              </w:rPr>
              <w:t>All BP patients</w:t>
            </w:r>
          </w:p>
        </w:tc>
        <w:tc>
          <w:tcPr>
            <w:tcW w:type="dxa" w:w="1512"/>
            <w:vAlign w:val="top"/>
          </w:tcPr>
          <w:p>
            <w:pPr>
              <w:spacing w:after="40" w:before="0" w:line="259" w:lineRule="auto"/>
            </w:pPr>
            <w:r>
              <w:rPr>
                <w:rFonts w:ascii="Calibri" w:hAnsi="Calibri"/>
                <w:b w:val="0"/>
                <w:i w:val="0"/>
                <w:color w:val="212121"/>
                <w:sz w:val="19"/>
              </w:rPr>
              <w:t>0-2</w:t>
            </w:r>
          </w:p>
        </w:tc>
        <w:tc>
          <w:tcPr>
            <w:tcW w:type="dxa" w:w="1512"/>
            <w:vAlign w:val="top"/>
          </w:tcPr>
          <w:p>
            <w:pPr>
              <w:spacing w:after="40" w:before="0" w:line="259" w:lineRule="auto"/>
            </w:pPr>
            <w:r>
              <w:rPr>
                <w:rFonts w:ascii="Calibri" w:hAnsi="Calibri"/>
                <w:b w:val="0"/>
                <w:i w:val="0"/>
                <w:color w:val="212121"/>
                <w:sz w:val="19"/>
              </w:rPr>
              <w:t>&gt;= 4 (moderate-severe itch)</w:t>
            </w:r>
          </w:p>
        </w:tc>
        <w:tc>
          <w:tcPr>
            <w:tcW w:type="dxa" w:w="1468"/>
            <w:vAlign w:val="top"/>
          </w:tcPr>
          <w:p>
            <w:pPr>
              <w:spacing w:after="40" w:before="0" w:line="259" w:lineRule="auto"/>
            </w:pPr>
            <w:r>
              <w:rPr>
                <w:rFonts w:ascii="Calibri" w:hAnsi="Calibri"/>
                <w:b w:val="0"/>
                <w:i w:val="0"/>
                <w:color w:val="212121"/>
                <w:sz w:val="19"/>
              </w:rPr>
              <w:t>Guides itch control and reflects disease activity and quality of life.</w:t>
            </w:r>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Dermatology Life Quality Index (DLQI)</w:t>
            </w:r>
          </w:p>
        </w:tc>
        <w:tc>
          <w:tcPr>
            <w:tcW w:type="dxa" w:w="1655"/>
            <w:vAlign w:val="top"/>
          </w:tcPr>
          <w:p>
            <w:pPr>
              <w:spacing w:after="40" w:before="0" w:line="259" w:lineRule="auto"/>
            </w:pPr>
            <w:r>
              <w:rPr>
                <w:rFonts w:ascii="Calibri" w:hAnsi="Calibri"/>
                <w:b w:val="0"/>
                <w:i w:val="0"/>
                <w:color w:val="212121"/>
                <w:sz w:val="19"/>
              </w:rPr>
              <w:t>All BP patients</w:t>
            </w:r>
          </w:p>
        </w:tc>
        <w:tc>
          <w:tcPr>
            <w:tcW w:type="dxa" w:w="1512"/>
            <w:vAlign w:val="top"/>
          </w:tcPr>
          <w:p>
            <w:pPr>
              <w:spacing w:after="40" w:before="0" w:line="259" w:lineRule="auto"/>
            </w:pPr>
            <w:r>
              <w:rPr>
                <w:rFonts w:ascii="Calibri" w:hAnsi="Calibri"/>
                <w:b w:val="0"/>
                <w:i w:val="0"/>
                <w:color w:val="212121"/>
                <w:sz w:val="19"/>
              </w:rPr>
              <w:t>0-1 (no effect)</w:t>
            </w:r>
          </w:p>
        </w:tc>
        <w:tc>
          <w:tcPr>
            <w:tcW w:type="dxa" w:w="1512"/>
            <w:vAlign w:val="top"/>
          </w:tcPr>
          <w:p>
            <w:pPr>
              <w:spacing w:after="40" w:before="0" w:line="259" w:lineRule="auto"/>
            </w:pPr>
            <w:r>
              <w:rPr>
                <w:rFonts w:ascii="Calibri" w:hAnsi="Calibri"/>
                <w:b w:val="0"/>
                <w:i w:val="0"/>
                <w:color w:val="212121"/>
                <w:sz w:val="19"/>
              </w:rPr>
              <w:t>&gt;= 6 (moderate to very large effect)</w:t>
            </w:r>
          </w:p>
        </w:tc>
        <w:tc>
          <w:tcPr>
            <w:tcW w:type="dxa" w:w="1468"/>
            <w:vAlign w:val="top"/>
          </w:tcPr>
          <w:p>
            <w:pPr>
              <w:spacing w:after="40" w:before="0" w:line="259" w:lineRule="auto"/>
            </w:pPr>
            <w:r>
              <w:rPr>
                <w:rFonts w:ascii="Calibri" w:hAnsi="Calibri"/>
                <w:b w:val="0"/>
                <w:i w:val="0"/>
                <w:color w:val="212121"/>
                <w:sz w:val="19"/>
              </w:rPr>
              <w:t>Chronic pruritus and visible blistering markedly reduce quality of life.</w:t>
            </w:r>
          </w:p>
        </w:tc>
      </w:tr>
      <w:tr>
        <w:trPr>
          <w:cantSplit/>
        </w:trPr>
        <w:tc>
          <w:tcPr>
            <w:tcW w:type="dxa" w:w="1512"/>
            <w:vAlign w:val="center"/>
          </w:tcPr>
          <w:p>
            <w:pPr>
              <w:spacing w:after="40"/>
            </w:pPr>
            <w:r>
              <w:rPr>
                <w:rFonts w:ascii="Calibri" w:hAnsi="Calibri"/>
                <w:b w:val="0"/>
                <w:i w:val="0"/>
                <w:color w:val="212121"/>
                <w:sz w:val="19"/>
              </w:rPr>
              <w:t>Sleep</w:t>
            </w:r>
          </w:p>
        </w:tc>
        <w:tc>
          <w:tcPr>
            <w:tcW w:type="dxa" w:w="1944"/>
            <w:vAlign w:val="top"/>
          </w:tcPr>
          <w:p>
            <w:pPr>
              <w:spacing w:after="40" w:before="0" w:line="259" w:lineRule="auto"/>
            </w:pPr>
            <w:r>
              <w:rPr>
                <w:rFonts w:ascii="Calibri" w:hAnsi="Calibri"/>
                <w:b w:val="0"/>
                <w:i w:val="0"/>
                <w:color w:val="212121"/>
                <w:sz w:val="19"/>
              </w:rPr>
              <w:t>Sleep hours disrupted by pruritus</w:t>
            </w:r>
          </w:p>
        </w:tc>
        <w:tc>
          <w:tcPr>
            <w:tcW w:type="dxa" w:w="1655"/>
            <w:vAlign w:val="top"/>
          </w:tcPr>
          <w:p>
            <w:pPr>
              <w:spacing w:after="40" w:before="0" w:line="259" w:lineRule="auto"/>
            </w:pPr>
            <w:r>
              <w:rPr>
                <w:rFonts w:ascii="Calibri" w:hAnsi="Calibri"/>
                <w:b w:val="0"/>
                <w:i w:val="0"/>
                <w:color w:val="212121"/>
                <w:sz w:val="19"/>
              </w:rPr>
              <w:t>All BP patients</w:t>
            </w:r>
          </w:p>
        </w:tc>
        <w:tc>
          <w:tcPr>
            <w:tcW w:type="dxa" w:w="1512"/>
            <w:vAlign w:val="top"/>
          </w:tcPr>
          <w:p>
            <w:pPr>
              <w:spacing w:after="40" w:before="0" w:line="259" w:lineRule="auto"/>
            </w:pPr>
            <w:r>
              <w:rPr>
                <w:rFonts w:ascii="Calibri" w:hAnsi="Calibri"/>
                <w:b w:val="0"/>
                <w:i w:val="0"/>
                <w:color w:val="212121"/>
                <w:sz w:val="19"/>
              </w:rPr>
              <w:t>7-9 h uninterrupted</w:t>
            </w:r>
          </w:p>
        </w:tc>
        <w:tc>
          <w:tcPr>
            <w:tcW w:type="dxa" w:w="1512"/>
            <w:vAlign w:val="top"/>
          </w:tcPr>
          <w:p>
            <w:pPr>
              <w:spacing w:after="40" w:before="0" w:line="259" w:lineRule="auto"/>
            </w:pPr>
            <w:r>
              <w:rPr>
                <w:rFonts w:ascii="Calibri" w:hAnsi="Calibri"/>
                <w:b w:val="0"/>
                <w:i w:val="0"/>
                <w:color w:val="212121"/>
                <w:sz w:val="19"/>
              </w:rPr>
              <w:t>&lt; 6 h or frequent night waking</w:t>
            </w:r>
          </w:p>
        </w:tc>
        <w:tc>
          <w:tcPr>
            <w:tcW w:type="dxa" w:w="1468"/>
            <w:vAlign w:val="top"/>
          </w:tcPr>
          <w:p>
            <w:pPr>
              <w:spacing w:after="40" w:before="0" w:line="259" w:lineRule="auto"/>
            </w:pPr>
            <w:r>
              <w:rPr>
                <w:rFonts w:ascii="Calibri" w:hAnsi="Calibri"/>
                <w:b w:val="0"/>
                <w:i w:val="0"/>
                <w:color w:val="212121"/>
                <w:sz w:val="19"/>
              </w:rPr>
              <w:t>Nocturnal itch is a key target of therapy and a marker of control.</w:t>
            </w:r>
          </w:p>
        </w:tc>
      </w:tr>
      <w:tr>
        <w:trPr>
          <w:cantSplit/>
        </w:trPr>
        <w:tc>
          <w:tcPr>
            <w:tcW w:type="dxa" w:w="1512"/>
            <w:vAlign w:val="center"/>
          </w:tcPr>
          <w:p>
            <w:pPr>
              <w:spacing w:after="40"/>
            </w:pPr>
            <w:r>
              <w:rPr>
                <w:rFonts w:ascii="Calibri" w:hAnsi="Calibri"/>
                <w:b w:val="0"/>
                <w:i w:val="0"/>
                <w:color w:val="212121"/>
                <w:sz w:val="19"/>
              </w:rPr>
              <w:t>Hygiene</w:t>
            </w:r>
          </w:p>
        </w:tc>
        <w:tc>
          <w:tcPr>
            <w:tcW w:type="dxa" w:w="1944"/>
            <w:vAlign w:val="top"/>
          </w:tcPr>
          <w:p>
            <w:pPr>
              <w:spacing w:after="40" w:before="0" w:line="259" w:lineRule="auto"/>
            </w:pPr>
            <w:r>
              <w:rPr>
                <w:rFonts w:ascii="Calibri" w:hAnsi="Calibri"/>
                <w:b w:val="0"/>
                <w:i w:val="0"/>
                <w:color w:val="212121"/>
                <w:sz w:val="19"/>
              </w:rPr>
              <w:t>Number of infected / exudative erosions</w:t>
            </w:r>
          </w:p>
        </w:tc>
        <w:tc>
          <w:tcPr>
            <w:tcW w:type="dxa" w:w="1655"/>
            <w:vAlign w:val="top"/>
          </w:tcPr>
          <w:p>
            <w:pPr>
              <w:spacing w:after="40" w:before="0" w:line="259" w:lineRule="auto"/>
            </w:pPr>
            <w:r>
              <w:rPr>
                <w:rFonts w:ascii="Calibri" w:hAnsi="Calibri"/>
                <w:b w:val="0"/>
                <w:i w:val="0"/>
                <w:color w:val="212121"/>
                <w:sz w:val="19"/>
              </w:rPr>
              <w:t>Extensive BP</w:t>
            </w:r>
          </w:p>
        </w:tc>
        <w:tc>
          <w:tcPr>
            <w:tcW w:type="dxa" w:w="1512"/>
            <w:vAlign w:val="top"/>
          </w:tcPr>
          <w:p>
            <w:pPr>
              <w:spacing w:after="40" w:before="0" w:line="259" w:lineRule="auto"/>
            </w:pPr>
            <w:r>
              <w:rPr>
                <w:rFonts w:ascii="Calibri" w:hAnsi="Calibri"/>
                <w:b w:val="0"/>
                <w:i w:val="0"/>
                <w:color w:val="212121"/>
                <w:sz w:val="19"/>
              </w:rPr>
              <w:t>0</w:t>
            </w:r>
          </w:p>
        </w:tc>
        <w:tc>
          <w:tcPr>
            <w:tcW w:type="dxa" w:w="1512"/>
            <w:vAlign w:val="top"/>
          </w:tcPr>
          <w:p>
            <w:pPr>
              <w:spacing w:after="40" w:before="0" w:line="259" w:lineRule="auto"/>
            </w:pPr>
            <w:r>
              <w:rPr>
                <w:rFonts w:ascii="Calibri" w:hAnsi="Calibri"/>
                <w:b w:val="0"/>
                <w:i w:val="0"/>
                <w:color w:val="212121"/>
                <w:sz w:val="19"/>
              </w:rPr>
              <w:t>Any spreading erythema, pus or fever</w:t>
            </w:r>
          </w:p>
        </w:tc>
        <w:tc>
          <w:tcPr>
            <w:tcW w:type="dxa" w:w="1468"/>
            <w:vAlign w:val="top"/>
          </w:tcPr>
          <w:p>
            <w:pPr>
              <w:spacing w:after="40" w:before="0" w:line="259" w:lineRule="auto"/>
            </w:pPr>
            <w:r>
              <w:rPr>
                <w:rFonts w:ascii="Calibri" w:hAnsi="Calibri"/>
                <w:b w:val="0"/>
                <w:i w:val="0"/>
                <w:color w:val="212121"/>
                <w:sz w:val="19"/>
              </w:rPr>
              <w:t>Signals secondary infection and sepsis risk; culture and treat promptly.</w:t>
            </w:r>
          </w:p>
        </w:tc>
      </w:tr>
      <w:tr>
        <w:trPr>
          <w:cantSplit/>
        </w:trPr>
        <w:tc>
          <w:tcPr>
            <w:tcW w:type="dxa" w:w="1512"/>
            <w:vAlign w:val="center"/>
          </w:tcPr>
          <w:p>
            <w:pPr>
              <w:spacing w:after="40"/>
            </w:pPr>
            <w:r>
              <w:rPr>
                <w:rFonts w:ascii="Calibri" w:hAnsi="Calibri"/>
                <w:b w:val="0"/>
                <w:i w:val="0"/>
                <w:color w:val="212121"/>
                <w:sz w:val="19"/>
              </w:rPr>
              <w:t>Water</w:t>
            </w:r>
          </w:p>
        </w:tc>
        <w:tc>
          <w:tcPr>
            <w:tcW w:type="dxa" w:w="1944"/>
            <w:vAlign w:val="top"/>
          </w:tcPr>
          <w:p>
            <w:pPr>
              <w:spacing w:after="40" w:before="0" w:line="259" w:lineRule="auto"/>
            </w:pPr>
            <w:r>
              <w:rPr>
                <w:rFonts w:ascii="Calibri" w:hAnsi="Calibri"/>
                <w:b w:val="0"/>
                <w:i w:val="0"/>
                <w:color w:val="212121"/>
                <w:sz w:val="19"/>
              </w:rPr>
              <w:t>Serum albumin (g/dL)</w:t>
            </w:r>
          </w:p>
        </w:tc>
        <w:tc>
          <w:tcPr>
            <w:tcW w:type="dxa" w:w="1655"/>
            <w:vAlign w:val="top"/>
          </w:tcPr>
          <w:p>
            <w:pPr>
              <w:spacing w:after="40" w:before="0" w:line="259" w:lineRule="auto"/>
            </w:pPr>
            <w:r>
              <w:rPr>
                <w:rFonts w:ascii="Calibri" w:hAnsi="Calibri"/>
                <w:b w:val="0"/>
                <w:i w:val="0"/>
                <w:color w:val="212121"/>
                <w:sz w:val="19"/>
              </w:rPr>
              <w:t>Extensive BP, frail elderly</w:t>
            </w:r>
          </w:p>
        </w:tc>
        <w:tc>
          <w:tcPr>
            <w:tcW w:type="dxa" w:w="1512"/>
            <w:vAlign w:val="top"/>
          </w:tcPr>
          <w:p>
            <w:pPr>
              <w:spacing w:after="40" w:before="0" w:line="259" w:lineRule="auto"/>
            </w:pPr>
            <w:r>
              <w:rPr>
                <w:rFonts w:ascii="Calibri" w:hAnsi="Calibri"/>
                <w:b w:val="0"/>
                <w:i w:val="0"/>
                <w:color w:val="212121"/>
                <w:sz w:val="19"/>
              </w:rPr>
              <w:t>3.5-5.0</w:t>
            </w:r>
          </w:p>
        </w:tc>
        <w:tc>
          <w:tcPr>
            <w:tcW w:type="dxa" w:w="1512"/>
            <w:vAlign w:val="top"/>
          </w:tcPr>
          <w:p>
            <w:pPr>
              <w:spacing w:after="40" w:before="0" w:line="259" w:lineRule="auto"/>
            </w:pPr>
            <w:r>
              <w:rPr>
                <w:rFonts w:ascii="Calibri" w:hAnsi="Calibri"/>
                <w:b w:val="0"/>
                <w:i w:val="0"/>
                <w:color w:val="212121"/>
                <w:sz w:val="19"/>
              </w:rPr>
              <w:t>&lt; 3.5 (hypoalbuminaemia)</w:t>
            </w:r>
          </w:p>
        </w:tc>
        <w:tc>
          <w:tcPr>
            <w:tcW w:type="dxa" w:w="1468"/>
            <w:vAlign w:val="top"/>
          </w:tcPr>
          <w:p>
            <w:pPr>
              <w:spacing w:after="40" w:before="0" w:line="259" w:lineRule="auto"/>
            </w:pPr>
            <w:r>
              <w:rPr>
                <w:rFonts w:ascii="Calibri" w:hAnsi="Calibri"/>
                <w:b w:val="0"/>
                <w:i w:val="0"/>
                <w:color w:val="212121"/>
                <w:sz w:val="19"/>
              </w:rPr>
              <w:t>Reflects protein loss from denuded skin and predicts poorer outcomes.</w:t>
            </w:r>
          </w:p>
        </w:tc>
      </w:tr>
      <w:tr>
        <w:trPr>
          <w:cantSplit/>
        </w:trPr>
        <w:tc>
          <w:tcPr>
            <w:tcW w:type="dxa" w:w="1512"/>
            <w:vAlign w:val="center"/>
          </w:tcPr>
          <w:p>
            <w:pPr>
              <w:spacing w:after="40"/>
            </w:pPr>
            <w:r>
              <w:rPr>
                <w:rFonts w:ascii="Calibri" w:hAnsi="Calibri"/>
                <w:b w:val="0"/>
                <w:i w:val="0"/>
                <w:color w:val="212121"/>
                <w:sz w:val="19"/>
              </w:rPr>
              <w:t>Food</w:t>
            </w:r>
          </w:p>
        </w:tc>
        <w:tc>
          <w:tcPr>
            <w:tcW w:type="dxa" w:w="1944"/>
            <w:vAlign w:val="top"/>
          </w:tcPr>
          <w:p>
            <w:pPr>
              <w:spacing w:after="40" w:before="0" w:line="259" w:lineRule="auto"/>
            </w:pPr>
            <w:r>
              <w:rPr>
                <w:rFonts w:ascii="Calibri" w:hAnsi="Calibri"/>
                <w:b w:val="0"/>
                <w:i w:val="0"/>
                <w:color w:val="212121"/>
                <w:sz w:val="19"/>
              </w:rPr>
              <w:t>Fasting blood glucose (mg/dL)</w:t>
            </w:r>
          </w:p>
        </w:tc>
        <w:tc>
          <w:tcPr>
            <w:tcW w:type="dxa" w:w="1655"/>
            <w:vAlign w:val="top"/>
          </w:tcPr>
          <w:p>
            <w:pPr>
              <w:spacing w:after="40" w:before="0" w:line="259" w:lineRule="auto"/>
            </w:pPr>
            <w:r>
              <w:rPr>
                <w:rFonts w:ascii="Calibri" w:hAnsi="Calibri"/>
                <w:b w:val="0"/>
                <w:i w:val="0"/>
                <w:color w:val="212121"/>
                <w:sz w:val="19"/>
              </w:rPr>
              <w:t>Diabetic BP on corticosteroids</w:t>
            </w:r>
          </w:p>
        </w:tc>
        <w:tc>
          <w:tcPr>
            <w:tcW w:type="dxa" w:w="1512"/>
            <w:vAlign w:val="top"/>
          </w:tcPr>
          <w:p>
            <w:pPr>
              <w:spacing w:after="40" w:before="0" w:line="259" w:lineRule="auto"/>
            </w:pPr>
            <w:r>
              <w:rPr>
                <w:rFonts w:ascii="Calibri" w:hAnsi="Calibri"/>
                <w:b w:val="0"/>
                <w:i w:val="0"/>
                <w:color w:val="212121"/>
                <w:sz w:val="19"/>
              </w:rPr>
              <w:t>70-99</w:t>
            </w:r>
          </w:p>
        </w:tc>
        <w:tc>
          <w:tcPr>
            <w:tcW w:type="dxa" w:w="1512"/>
            <w:vAlign w:val="top"/>
          </w:tcPr>
          <w:p>
            <w:pPr>
              <w:spacing w:after="40" w:before="0" w:line="259" w:lineRule="auto"/>
            </w:pPr>
            <w:r>
              <w:rPr>
                <w:rFonts w:ascii="Calibri" w:hAnsi="Calibri"/>
                <w:b w:val="0"/>
                <w:i w:val="0"/>
                <w:color w:val="212121"/>
                <w:sz w:val="19"/>
              </w:rPr>
              <w:t>&gt;= 126 or worsening control</w:t>
            </w:r>
          </w:p>
        </w:tc>
        <w:tc>
          <w:tcPr>
            <w:tcW w:type="dxa" w:w="1468"/>
            <w:vAlign w:val="top"/>
          </w:tcPr>
          <w:p>
            <w:pPr>
              <w:spacing w:after="40" w:before="0" w:line="259" w:lineRule="auto"/>
            </w:pPr>
            <w:r>
              <w:rPr>
                <w:rFonts w:ascii="Calibri" w:hAnsi="Calibri"/>
                <w:b w:val="0"/>
                <w:i w:val="0"/>
                <w:color w:val="212121"/>
                <w:sz w:val="19"/>
              </w:rPr>
              <w:t>Systemic steroids for BP frequently worsen glycaemia; monitor closely, especially after gliptin withdrawal.</w:t>
            </w:r>
          </w:p>
        </w:tc>
      </w:tr>
    </w:tbl>
    <w:p>
      <w:pPr>
        <w:spacing w:before="200" w:after="120"/>
      </w:pPr>
      <w:r>
        <w:rPr>
          <w:rFonts w:ascii="Calibri" w:hAnsi="Calibri"/>
          <w:b/>
          <w:i w:val="0"/>
          <w:color w:val="212121"/>
          <w:sz w:val="25"/>
        </w:rPr>
        <w:t>Traditional Health Parameters ( THP )</w:t>
      </w:r>
    </w:p>
    <w:p>
      <w:pPr>
        <w:spacing w:before="160" w:after="120"/>
      </w:pPr>
      <w:r>
        <w:rPr>
          <w:rFonts w:ascii="Calibri" w:hAnsi="Calibri"/>
          <w:b/>
          <w:i w:val="0"/>
          <w:color w:val="212121"/>
          <w:sz w:val="22"/>
        </w:rPr>
        <w:t>Quantitative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1036"/>
            <w:shd w:val="clear" w:color="auto" w:fill="F2F2F2"/>
            <w:vAlign w:val="center"/>
          </w:tcPr>
          <w:p>
            <w:pPr>
              <w:spacing w:after="40" w:before="0" w:line="259" w:lineRule="auto"/>
            </w:pPr>
            <w:r>
              <w:rPr>
                <w:rFonts w:ascii="Calibri" w:hAnsi="Calibri"/>
                <w:b/>
                <w:i w:val="0"/>
                <w:color w:val="212121"/>
                <w:sz w:val="16"/>
              </w:rPr>
              <w:t>Parameter</w:t>
            </w:r>
          </w:p>
        </w:tc>
        <w:tc>
          <w:tcPr>
            <w:tcW w:type="dxa" w:w="892"/>
            <w:shd w:val="clear" w:color="auto" w:fill="F2F2F2"/>
            <w:vAlign w:val="center"/>
          </w:tcPr>
          <w:p>
            <w:pPr>
              <w:spacing w:after="40" w:before="0" w:line="259" w:lineRule="auto"/>
            </w:pPr>
            <w:r>
              <w:rPr>
                <w:rFonts w:ascii="Calibri" w:hAnsi="Calibri"/>
                <w:b/>
                <w:i w:val="0"/>
                <w:color w:val="212121"/>
                <w:sz w:val="16"/>
              </w:rPr>
              <w:t>THP</w:t>
            </w:r>
          </w:p>
        </w:tc>
        <w:tc>
          <w:tcPr>
            <w:tcW w:type="dxa" w:w="950"/>
            <w:shd w:val="clear" w:color="auto" w:fill="F2F2F2"/>
            <w:vAlign w:val="center"/>
          </w:tcPr>
          <w:p>
            <w:pPr>
              <w:spacing w:after="40" w:before="0" w:line="259" w:lineRule="auto"/>
            </w:pPr>
            <w:r>
              <w:rPr>
                <w:rFonts w:ascii="Calibri" w:hAnsi="Calibri"/>
                <w:b/>
                <w:i w:val="0"/>
                <w:color w:val="212121"/>
                <w:sz w:val="16"/>
              </w:rPr>
              <w:t>Normal values</w:t>
            </w:r>
          </w:p>
        </w:tc>
        <w:tc>
          <w:tcPr>
            <w:tcW w:type="dxa" w:w="950"/>
            <w:shd w:val="clear" w:color="auto" w:fill="F2F2F2"/>
            <w:vAlign w:val="center"/>
          </w:tcPr>
          <w:p>
            <w:pPr>
              <w:spacing w:after="40" w:before="0" w:line="259" w:lineRule="auto"/>
            </w:pPr>
            <w:r>
              <w:rPr>
                <w:rFonts w:ascii="Calibri" w:hAnsi="Calibri"/>
                <w:b/>
                <w:i w:val="0"/>
                <w:color w:val="212121"/>
                <w:sz w:val="16"/>
              </w:rPr>
              <w:t>Abnormal values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Immunopathology</w:t>
            </w:r>
          </w:p>
        </w:tc>
        <w:tc>
          <w:tcPr>
            <w:tcW w:type="dxa" w:w="1036"/>
            <w:vAlign w:val="top"/>
          </w:tcPr>
          <w:p>
            <w:pPr>
              <w:spacing w:after="40" w:before="0" w:line="259" w:lineRule="auto"/>
            </w:pPr>
            <w:r>
              <w:rPr>
                <w:rFonts w:ascii="Calibri" w:hAnsi="Calibri"/>
                <w:b w:val="0"/>
                <w:i w:val="0"/>
                <w:color w:val="212121"/>
                <w:sz w:val="16"/>
              </w:rPr>
              <w:t>Perilesional skin DIF</w:t>
            </w:r>
          </w:p>
        </w:tc>
        <w:tc>
          <w:tcPr>
            <w:tcW w:type="dxa" w:w="892"/>
            <w:vAlign w:val="top"/>
          </w:tcPr>
          <w:p>
            <w:pPr>
              <w:spacing w:after="40" w:before="0" w:line="259" w:lineRule="auto"/>
            </w:pPr>
            <w:r>
              <w:rPr>
                <w:rFonts w:ascii="Calibri" w:hAnsi="Calibri"/>
                <w:b w:val="0"/>
                <w:i w:val="0"/>
                <w:color w:val="212121"/>
                <w:sz w:val="16"/>
              </w:rPr>
              <w:t>Direct immunofluorescence</w:t>
            </w:r>
          </w:p>
        </w:tc>
        <w:tc>
          <w:tcPr>
            <w:tcW w:type="dxa" w:w="950"/>
            <w:vAlign w:val="top"/>
          </w:tcPr>
          <w:p>
            <w:pPr>
              <w:spacing w:after="40" w:before="0" w:line="259" w:lineRule="auto"/>
            </w:pPr>
            <w:r>
              <w:rPr>
                <w:rFonts w:ascii="Calibri" w:hAnsi="Calibri"/>
                <w:b w:val="0"/>
                <w:i w:val="0"/>
                <w:color w:val="212121"/>
                <w:sz w:val="16"/>
              </w:rPr>
              <w:t>No immune deposits</w:t>
            </w:r>
          </w:p>
        </w:tc>
        <w:tc>
          <w:tcPr>
            <w:tcW w:type="dxa" w:w="950"/>
            <w:vAlign w:val="top"/>
          </w:tcPr>
          <w:p>
            <w:pPr>
              <w:spacing w:after="40" w:before="0" w:line="259" w:lineRule="auto"/>
            </w:pPr>
            <w:r>
              <w:rPr>
                <w:rFonts w:ascii="Calibri" w:hAnsi="Calibri"/>
                <w:b w:val="0"/>
                <w:i w:val="0"/>
                <w:color w:val="212121"/>
                <w:sz w:val="16"/>
              </w:rPr>
              <w:t>Linear IgG and/or C3 along basement-membrane zone</w:t>
            </w:r>
          </w:p>
        </w:tc>
        <w:tc>
          <w:tcPr>
            <w:tcW w:type="dxa" w:w="1036"/>
            <w:vAlign w:val="top"/>
          </w:tcPr>
          <w:p>
            <w:pPr>
              <w:spacing w:after="40" w:before="0" w:line="259" w:lineRule="auto"/>
            </w:pPr>
            <w:r>
              <w:rPr>
                <w:rFonts w:ascii="Calibri" w:hAnsi="Calibri"/>
                <w:b w:val="0"/>
                <w:i w:val="0"/>
                <w:color w:val="212121"/>
                <w:sz w:val="16"/>
              </w:rPr>
              <w:t>Diagnostic gold standard; linear n-serrated IgG/C3 at the dermo-epidermal junction confirms BP</w:t>
            </w:r>
          </w:p>
        </w:tc>
        <w:tc>
          <w:tcPr>
            <w:tcW w:type="dxa" w:w="1036"/>
            <w:vAlign w:val="top"/>
          </w:tcPr>
          <w:p>
            <w:pPr>
              <w:spacing w:after="40" w:before="0" w:line="259" w:lineRule="auto"/>
            </w:pPr>
            <w:r>
              <w:rPr>
                <w:rFonts w:ascii="Calibri" w:hAnsi="Calibri"/>
                <w:b w:val="0"/>
                <w:i w:val="0"/>
                <w:color w:val="212121"/>
                <w:sz w:val="16"/>
              </w:rPr>
              <w:t>All suspected BP; elderly with pruritus or blisters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Gold standard</w:t>
            </w:r>
          </w:p>
        </w:tc>
        <w:tc>
          <w:tcPr>
            <w:tcW w:type="dxa" w:w="720"/>
            <w:vAlign w:val="top"/>
          </w:tcPr>
          <w:p>
            <w:pPr>
              <w:spacing w:after="40" w:before="0" w:line="259" w:lineRule="auto"/>
            </w:pPr>
            <w:r>
              <w:rPr>
                <w:rFonts w:ascii="Calibri" w:hAnsi="Calibri"/>
                <w:b w:val="0"/>
                <w:i w:val="0"/>
                <w:color w:val="212121"/>
                <w:sz w:val="16"/>
              </w:rPr>
              <w:t>Biopsy perilesional (not blister) skin; IgG+C3 positive in about 80% of Indian cases</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Histopathology</w:t>
            </w:r>
          </w:p>
        </w:tc>
        <w:tc>
          <w:tcPr>
            <w:tcW w:type="dxa" w:w="1036"/>
            <w:vAlign w:val="top"/>
          </w:tcPr>
          <w:p>
            <w:pPr>
              <w:spacing w:after="40" w:before="0" w:line="259" w:lineRule="auto"/>
            </w:pPr>
            <w:r>
              <w:rPr>
                <w:rFonts w:ascii="Calibri" w:hAnsi="Calibri"/>
                <w:b w:val="0"/>
                <w:i w:val="0"/>
                <w:color w:val="212121"/>
                <w:sz w:val="16"/>
              </w:rPr>
              <w:t>Lesional skin biopsy</w:t>
            </w:r>
          </w:p>
        </w:tc>
        <w:tc>
          <w:tcPr>
            <w:tcW w:type="dxa" w:w="892"/>
            <w:vAlign w:val="top"/>
          </w:tcPr>
          <w:p>
            <w:pPr>
              <w:spacing w:after="40" w:before="0" w:line="259" w:lineRule="auto"/>
            </w:pPr>
            <w:r>
              <w:rPr>
                <w:rFonts w:ascii="Calibri" w:hAnsi="Calibri"/>
                <w:b w:val="0"/>
                <w:i w:val="0"/>
                <w:color w:val="212121"/>
                <w:sz w:val="16"/>
              </w:rPr>
              <w:t>H&amp;E histopathology</w:t>
            </w:r>
          </w:p>
        </w:tc>
        <w:tc>
          <w:tcPr>
            <w:tcW w:type="dxa" w:w="950"/>
            <w:vAlign w:val="top"/>
          </w:tcPr>
          <w:p>
            <w:pPr>
              <w:spacing w:after="40" w:before="0" w:line="259" w:lineRule="auto"/>
            </w:pPr>
            <w:r>
              <w:rPr>
                <w:rFonts w:ascii="Calibri" w:hAnsi="Calibri"/>
                <w:b w:val="0"/>
                <w:i w:val="0"/>
                <w:color w:val="212121"/>
                <w:sz w:val="16"/>
              </w:rPr>
              <w:t>Intact epidermis, no split</w:t>
            </w:r>
          </w:p>
        </w:tc>
        <w:tc>
          <w:tcPr>
            <w:tcW w:type="dxa" w:w="950"/>
            <w:vAlign w:val="top"/>
          </w:tcPr>
          <w:p>
            <w:pPr>
              <w:spacing w:after="40" w:before="0" w:line="259" w:lineRule="auto"/>
            </w:pPr>
            <w:r>
              <w:rPr>
                <w:rFonts w:ascii="Calibri" w:hAnsi="Calibri"/>
                <w:b w:val="0"/>
                <w:i w:val="0"/>
                <w:color w:val="212121"/>
                <w:sz w:val="16"/>
              </w:rPr>
              <w:t>Subepidermal blister with eosinophil-rich infiltrate</w:t>
            </w:r>
          </w:p>
        </w:tc>
        <w:tc>
          <w:tcPr>
            <w:tcW w:type="dxa" w:w="1036"/>
            <w:vAlign w:val="top"/>
          </w:tcPr>
          <w:p>
            <w:pPr>
              <w:spacing w:after="40" w:before="0" w:line="259" w:lineRule="auto"/>
            </w:pPr>
            <w:r>
              <w:rPr>
                <w:rFonts w:ascii="Calibri" w:hAnsi="Calibri"/>
                <w:b w:val="0"/>
                <w:i w:val="0"/>
                <w:color w:val="212121"/>
                <w:sz w:val="16"/>
              </w:rPr>
              <w:t>Subepidermal split with eosinophils; eosinophilic spongiosis in the urticarial phase</w:t>
            </w:r>
          </w:p>
        </w:tc>
        <w:tc>
          <w:tcPr>
            <w:tcW w:type="dxa" w:w="1036"/>
            <w:vAlign w:val="top"/>
          </w:tcPr>
          <w:p>
            <w:pPr>
              <w:spacing w:after="40" w:before="0" w:line="259" w:lineRule="auto"/>
            </w:pPr>
            <w:r>
              <w:rPr>
                <w:rFonts w:ascii="Calibri" w:hAnsi="Calibri"/>
                <w:b w:val="0"/>
                <w:i w:val="0"/>
                <w:color w:val="212121"/>
                <w:sz w:val="16"/>
              </w:rPr>
              <w:t>Suspected BP</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About 87.5% show a predominant eosinophilic infiltrate in Indian data</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Serology</w:t>
            </w:r>
          </w:p>
        </w:tc>
        <w:tc>
          <w:tcPr>
            <w:tcW w:type="dxa" w:w="1036"/>
            <w:vAlign w:val="top"/>
          </w:tcPr>
          <w:p>
            <w:pPr>
              <w:spacing w:after="40" w:before="0" w:line="259" w:lineRule="auto"/>
            </w:pPr>
            <w:r>
              <w:rPr>
                <w:rFonts w:ascii="Calibri" w:hAnsi="Calibri"/>
                <w:b w:val="0"/>
                <w:i w:val="0"/>
                <w:color w:val="212121"/>
                <w:sz w:val="16"/>
              </w:rPr>
              <w:t>Anti-BP180 NC16A IgG</w:t>
            </w:r>
          </w:p>
        </w:tc>
        <w:tc>
          <w:tcPr>
            <w:tcW w:type="dxa" w:w="892"/>
            <w:vAlign w:val="top"/>
          </w:tcPr>
          <w:p>
            <w:pPr>
              <w:spacing w:after="40" w:before="0" w:line="259" w:lineRule="auto"/>
            </w:pPr>
            <w:r>
              <w:rPr>
                <w:rFonts w:ascii="Calibri" w:hAnsi="Calibri"/>
                <w:b w:val="0"/>
                <w:i w:val="0"/>
                <w:color w:val="212121"/>
                <w:sz w:val="16"/>
              </w:rPr>
              <w:t>ELISA</w:t>
            </w:r>
          </w:p>
        </w:tc>
        <w:tc>
          <w:tcPr>
            <w:tcW w:type="dxa" w:w="950"/>
            <w:vAlign w:val="top"/>
          </w:tcPr>
          <w:p>
            <w:pPr>
              <w:spacing w:after="40" w:before="0" w:line="259" w:lineRule="auto"/>
            </w:pPr>
            <w:r>
              <w:rPr>
                <w:rFonts w:ascii="Calibri" w:hAnsi="Calibri"/>
                <w:b w:val="0"/>
                <w:i w:val="0"/>
                <w:color w:val="212121"/>
                <w:sz w:val="16"/>
              </w:rPr>
              <w:t>Negative / low</w:t>
            </w:r>
          </w:p>
        </w:tc>
        <w:tc>
          <w:tcPr>
            <w:tcW w:type="dxa" w:w="950"/>
            <w:vAlign w:val="top"/>
          </w:tcPr>
          <w:p>
            <w:pPr>
              <w:spacing w:after="40" w:before="0" w:line="259" w:lineRule="auto"/>
            </w:pPr>
            <w:r>
              <w:rPr>
                <w:rFonts w:ascii="Calibri" w:hAnsi="Calibri"/>
                <w:b w:val="0"/>
                <w:i w:val="0"/>
                <w:color w:val="212121"/>
                <w:sz w:val="16"/>
              </w:rPr>
              <w:t>Elevated</w:t>
            </w:r>
          </w:p>
        </w:tc>
        <w:tc>
          <w:tcPr>
            <w:tcW w:type="dxa" w:w="1036"/>
            <w:vAlign w:val="top"/>
          </w:tcPr>
          <w:p>
            <w:pPr>
              <w:spacing w:after="40" w:before="0" w:line="259" w:lineRule="auto"/>
            </w:pPr>
            <w:r>
              <w:rPr>
                <w:rFonts w:ascii="Calibri" w:hAnsi="Calibri"/>
                <w:b w:val="0"/>
                <w:i w:val="0"/>
                <w:color w:val="212121"/>
                <w:sz w:val="16"/>
              </w:rPr>
              <w:t>Circulating pathogenic antibody; titre correlates with activity and relapse</w:t>
            </w:r>
          </w:p>
        </w:tc>
        <w:tc>
          <w:tcPr>
            <w:tcW w:type="dxa" w:w="1036"/>
            <w:vAlign w:val="top"/>
          </w:tcPr>
          <w:p>
            <w:pPr>
              <w:spacing w:after="40" w:before="0" w:line="259" w:lineRule="auto"/>
            </w:pPr>
            <w:r>
              <w:rPr>
                <w:rFonts w:ascii="Calibri" w:hAnsi="Calibri"/>
                <w:b w:val="0"/>
                <w:i w:val="0"/>
                <w:color w:val="212121"/>
                <w:sz w:val="16"/>
              </w:rPr>
              <w:t>Active/extensive BP; monitoring</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Diagnostic &amp; monitoring</w:t>
            </w:r>
          </w:p>
        </w:tc>
        <w:tc>
          <w:tcPr>
            <w:tcW w:type="dxa" w:w="720"/>
            <w:vAlign w:val="top"/>
          </w:tcPr>
          <w:p>
            <w:pPr>
              <w:spacing w:after="40" w:before="0" w:line="259" w:lineRule="auto"/>
            </w:pPr>
            <w:r>
              <w:rPr>
                <w:rFonts w:ascii="Calibri" w:hAnsi="Calibri"/>
                <w:b w:val="0"/>
                <w:i w:val="0"/>
                <w:color w:val="212121"/>
                <w:sz w:val="16"/>
              </w:rPr>
              <w:t>About 89% sensitivity, 98% specificity</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Serology</w:t>
            </w:r>
          </w:p>
        </w:tc>
        <w:tc>
          <w:tcPr>
            <w:tcW w:type="dxa" w:w="1036"/>
            <w:vAlign w:val="top"/>
          </w:tcPr>
          <w:p>
            <w:pPr>
              <w:spacing w:after="40" w:before="0" w:line="259" w:lineRule="auto"/>
            </w:pPr>
            <w:r>
              <w:rPr>
                <w:rFonts w:ascii="Calibri" w:hAnsi="Calibri"/>
                <w:b w:val="0"/>
                <w:i w:val="0"/>
                <w:color w:val="212121"/>
                <w:sz w:val="16"/>
              </w:rPr>
              <w:t>Anti-BP230 IgG</w:t>
            </w:r>
          </w:p>
        </w:tc>
        <w:tc>
          <w:tcPr>
            <w:tcW w:type="dxa" w:w="892"/>
            <w:vAlign w:val="top"/>
          </w:tcPr>
          <w:p>
            <w:pPr>
              <w:spacing w:after="40" w:before="0" w:line="259" w:lineRule="auto"/>
            </w:pPr>
            <w:r>
              <w:rPr>
                <w:rFonts w:ascii="Calibri" w:hAnsi="Calibri"/>
                <w:b w:val="0"/>
                <w:i w:val="0"/>
                <w:color w:val="212121"/>
                <w:sz w:val="16"/>
              </w:rPr>
              <w:t>ELISA</w:t>
            </w:r>
          </w:p>
        </w:tc>
        <w:tc>
          <w:tcPr>
            <w:tcW w:type="dxa" w:w="950"/>
            <w:vAlign w:val="top"/>
          </w:tcPr>
          <w:p>
            <w:pPr>
              <w:spacing w:after="40" w:before="0" w:line="259" w:lineRule="auto"/>
            </w:pPr>
            <w:r>
              <w:rPr>
                <w:rFonts w:ascii="Calibri" w:hAnsi="Calibri"/>
                <w:b w:val="0"/>
                <w:i w:val="0"/>
                <w:color w:val="212121"/>
                <w:sz w:val="16"/>
              </w:rPr>
              <w:t>Negative</w:t>
            </w:r>
          </w:p>
        </w:tc>
        <w:tc>
          <w:tcPr>
            <w:tcW w:type="dxa" w:w="950"/>
            <w:vAlign w:val="top"/>
          </w:tcPr>
          <w:p>
            <w:pPr>
              <w:spacing w:after="40" w:before="0" w:line="259" w:lineRule="auto"/>
            </w:pPr>
            <w:r>
              <w:rPr>
                <w:rFonts w:ascii="Calibri" w:hAnsi="Calibri"/>
                <w:b w:val="0"/>
                <w:i w:val="0"/>
                <w:color w:val="212121"/>
                <w:sz w:val="16"/>
              </w:rPr>
              <w:t>Positive</w:t>
            </w:r>
          </w:p>
        </w:tc>
        <w:tc>
          <w:tcPr>
            <w:tcW w:type="dxa" w:w="1036"/>
            <w:vAlign w:val="top"/>
          </w:tcPr>
          <w:p>
            <w:pPr>
              <w:spacing w:after="40" w:before="0" w:line="259" w:lineRule="auto"/>
            </w:pPr>
            <w:r>
              <w:rPr>
                <w:rFonts w:ascii="Calibri" w:hAnsi="Calibri"/>
                <w:b w:val="0"/>
                <w:i w:val="0"/>
                <w:color w:val="212121"/>
                <w:sz w:val="16"/>
              </w:rPr>
              <w:t>Supports diagnosis when anti-BP180 is negative; less closely linked to activity</w:t>
            </w:r>
          </w:p>
        </w:tc>
        <w:tc>
          <w:tcPr>
            <w:tcW w:type="dxa" w:w="1036"/>
            <w:vAlign w:val="top"/>
          </w:tcPr>
          <w:p>
            <w:pPr>
              <w:spacing w:after="40" w:before="0" w:line="259" w:lineRule="auto"/>
            </w:pPr>
            <w:r>
              <w:rPr>
                <w:rFonts w:ascii="Calibri" w:hAnsi="Calibri"/>
                <w:b w:val="0"/>
                <w:i w:val="0"/>
                <w:color w:val="212121"/>
                <w:sz w:val="16"/>
              </w:rPr>
              <w:t>BP180-negative suspected BP</w:t>
            </w:r>
          </w:p>
        </w:tc>
        <w:tc>
          <w:tcPr>
            <w:tcW w:type="dxa" w:w="720"/>
            <w:vAlign w:val="top"/>
          </w:tcPr>
          <w:p>
            <w:pPr>
              <w:spacing w:after="40" w:before="0" w:line="259" w:lineRule="auto"/>
            </w:pPr>
            <w:r>
              <w:rPr>
                <w:rFonts w:ascii="Calibri" w:hAnsi="Calibri"/>
                <w:b w:val="0"/>
                <w:i w:val="0"/>
                <w:color w:val="212121"/>
                <w:sz w:val="16"/>
              </w:rPr>
              <w:t>NA</w:t>
            </w:r>
          </w:p>
        </w:tc>
        <w:tc>
          <w:tcPr>
            <w:tcW w:type="dxa" w:w="720"/>
            <w:vAlign w:val="top"/>
          </w:tcPr>
          <w:p>
            <w:pPr>
              <w:spacing w:after="40" w:before="0" w:line="259" w:lineRule="auto"/>
            </w:pPr>
            <w:r>
              <w:rPr>
                <w:rFonts w:ascii="Calibri" w:hAnsi="Calibri"/>
                <w:b w:val="0"/>
                <w:i w:val="0"/>
                <w:color w:val="212121"/>
                <w:sz w:val="16"/>
              </w:rPr>
              <w:t>Supportive</w:t>
            </w:r>
          </w:p>
        </w:tc>
        <w:tc>
          <w:tcPr>
            <w:tcW w:type="dxa" w:w="720"/>
            <w:vAlign w:val="top"/>
          </w:tcPr>
          <w:p>
            <w:pPr>
              <w:spacing w:after="40" w:before="0" w:line="259" w:lineRule="auto"/>
            </w:pPr>
            <w:r>
              <w:rPr>
                <w:rFonts w:ascii="Calibri" w:hAnsi="Calibri"/>
                <w:b w:val="0"/>
                <w:i w:val="0"/>
                <w:color w:val="212121"/>
                <w:sz w:val="16"/>
              </w:rPr>
              <w:t>Adds sensitivity to the serology panel</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Immunopathology</w:t>
            </w:r>
          </w:p>
        </w:tc>
        <w:tc>
          <w:tcPr>
            <w:tcW w:type="dxa" w:w="1036"/>
            <w:vAlign w:val="top"/>
          </w:tcPr>
          <w:p>
            <w:pPr>
              <w:spacing w:after="40" w:before="0" w:line="259" w:lineRule="auto"/>
            </w:pPr>
            <w:r>
              <w:rPr>
                <w:rFonts w:ascii="Calibri" w:hAnsi="Calibri"/>
                <w:b w:val="0"/>
                <w:i w:val="0"/>
                <w:color w:val="212121"/>
                <w:sz w:val="16"/>
              </w:rPr>
              <w:t>Salt-split skin IIF</w:t>
            </w:r>
          </w:p>
        </w:tc>
        <w:tc>
          <w:tcPr>
            <w:tcW w:type="dxa" w:w="892"/>
            <w:vAlign w:val="top"/>
          </w:tcPr>
          <w:p>
            <w:pPr>
              <w:spacing w:after="40" w:before="0" w:line="259" w:lineRule="auto"/>
            </w:pPr>
            <w:r>
              <w:rPr>
                <w:rFonts w:ascii="Calibri" w:hAnsi="Calibri"/>
                <w:b w:val="0"/>
                <w:i w:val="0"/>
                <w:color w:val="212121"/>
                <w:sz w:val="16"/>
              </w:rPr>
              <w:t>Indirect IF on 1M NaCl-split skin</w:t>
            </w:r>
          </w:p>
        </w:tc>
        <w:tc>
          <w:tcPr>
            <w:tcW w:type="dxa" w:w="950"/>
            <w:vAlign w:val="top"/>
          </w:tcPr>
          <w:p>
            <w:pPr>
              <w:spacing w:after="40" w:before="0" w:line="259" w:lineRule="auto"/>
            </w:pPr>
            <w:r>
              <w:rPr>
                <w:rFonts w:ascii="Calibri" w:hAnsi="Calibri"/>
                <w:b w:val="0"/>
                <w:i w:val="0"/>
                <w:color w:val="212121"/>
                <w:sz w:val="16"/>
              </w:rPr>
              <w:t>Negative</w:t>
            </w:r>
          </w:p>
        </w:tc>
        <w:tc>
          <w:tcPr>
            <w:tcW w:type="dxa" w:w="950"/>
            <w:vAlign w:val="top"/>
          </w:tcPr>
          <w:p>
            <w:pPr>
              <w:spacing w:after="40" w:before="0" w:line="259" w:lineRule="auto"/>
            </w:pPr>
            <w:r>
              <w:rPr>
                <w:rFonts w:ascii="Calibri" w:hAnsi="Calibri"/>
                <w:b w:val="0"/>
                <w:i w:val="0"/>
                <w:color w:val="212121"/>
                <w:sz w:val="16"/>
              </w:rPr>
              <w:t>IgG on epidermal (roof) side</w:t>
            </w:r>
          </w:p>
        </w:tc>
        <w:tc>
          <w:tcPr>
            <w:tcW w:type="dxa" w:w="1036"/>
            <w:vAlign w:val="top"/>
          </w:tcPr>
          <w:p>
            <w:pPr>
              <w:spacing w:after="40" w:before="0" w:line="259" w:lineRule="auto"/>
            </w:pPr>
            <w:r>
              <w:rPr>
                <w:rFonts w:ascii="Calibri" w:hAnsi="Calibri"/>
                <w:b w:val="0"/>
                <w:i w:val="0"/>
                <w:color w:val="212121"/>
                <w:sz w:val="16"/>
              </w:rPr>
              <w:t>Localises antibody to the epidermal roof, distinguishing BP from EBA and anti-p200 pemphigoid (dermal floor)</w:t>
            </w:r>
          </w:p>
        </w:tc>
        <w:tc>
          <w:tcPr>
            <w:tcW w:type="dxa" w:w="1036"/>
            <w:vAlign w:val="top"/>
          </w:tcPr>
          <w:p>
            <w:pPr>
              <w:spacing w:after="40" w:before="0" w:line="259" w:lineRule="auto"/>
            </w:pPr>
            <w:r>
              <w:rPr>
                <w:rFonts w:ascii="Calibri" w:hAnsi="Calibri"/>
                <w:b w:val="0"/>
                <w:i w:val="0"/>
                <w:color w:val="212121"/>
                <w:sz w:val="16"/>
              </w:rPr>
              <w:t>Atypical or steroid-resistant, DIF-positive cases</w:t>
            </w:r>
          </w:p>
        </w:tc>
        <w:tc>
          <w:tcPr>
            <w:tcW w:type="dxa" w:w="720"/>
            <w:vAlign w:val="top"/>
          </w:tcPr>
          <w:p>
            <w:pPr>
              <w:spacing w:after="40" w:before="0" w:line="259" w:lineRule="auto"/>
            </w:pPr>
            <w:r>
              <w:rPr>
                <w:rFonts w:ascii="Calibri" w:hAnsi="Calibri"/>
                <w:b w:val="0"/>
                <w:i w:val="0"/>
                <w:color w:val="212121"/>
                <w:sz w:val="16"/>
              </w:rPr>
              <w:t>NA</w:t>
            </w:r>
          </w:p>
        </w:tc>
        <w:tc>
          <w:tcPr>
            <w:tcW w:type="dxa" w:w="720"/>
            <w:vAlign w:val="top"/>
          </w:tcPr>
          <w:p>
            <w:pPr>
              <w:spacing w:after="40" w:before="0" w:line="259" w:lineRule="auto"/>
            </w:pPr>
            <w:r>
              <w:rPr>
                <w:rFonts w:ascii="Calibri" w:hAnsi="Calibri"/>
                <w:b w:val="0"/>
                <w:i w:val="0"/>
                <w:color w:val="212121"/>
                <w:sz w:val="16"/>
              </w:rPr>
              <w:t>Confirmatory</w:t>
            </w:r>
          </w:p>
        </w:tc>
        <w:tc>
          <w:tcPr>
            <w:tcW w:type="dxa" w:w="720"/>
            <w:vAlign w:val="top"/>
          </w:tcPr>
          <w:p>
            <w:pPr>
              <w:spacing w:after="40" w:before="0" w:line="259" w:lineRule="auto"/>
            </w:pPr>
            <w:r>
              <w:rPr>
                <w:rFonts w:ascii="Calibri" w:hAnsi="Calibri"/>
                <w:b w:val="0"/>
                <w:i w:val="0"/>
                <w:color w:val="212121"/>
                <w:sz w:val="16"/>
              </w:rPr>
              <w:t>Key for epidermolysis bullosa acquisita differentiation</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Immunopathology</w:t>
            </w:r>
          </w:p>
        </w:tc>
        <w:tc>
          <w:tcPr>
            <w:tcW w:type="dxa" w:w="1036"/>
            <w:vAlign w:val="top"/>
          </w:tcPr>
          <w:p>
            <w:pPr>
              <w:spacing w:after="40" w:before="0" w:line="259" w:lineRule="auto"/>
            </w:pPr>
            <w:r>
              <w:rPr>
                <w:rFonts w:ascii="Calibri" w:hAnsi="Calibri"/>
                <w:b w:val="0"/>
                <w:i w:val="0"/>
                <w:color w:val="212121"/>
                <w:sz w:val="16"/>
              </w:rPr>
              <w:t>BIOCHIP mosaic IIF</w:t>
            </w:r>
          </w:p>
        </w:tc>
        <w:tc>
          <w:tcPr>
            <w:tcW w:type="dxa" w:w="892"/>
            <w:vAlign w:val="top"/>
          </w:tcPr>
          <w:p>
            <w:pPr>
              <w:spacing w:after="40" w:before="0" w:line="259" w:lineRule="auto"/>
            </w:pPr>
            <w:r>
              <w:rPr>
                <w:rFonts w:ascii="Calibri" w:hAnsi="Calibri"/>
                <w:b w:val="0"/>
                <w:i w:val="0"/>
                <w:color w:val="212121"/>
                <w:sz w:val="16"/>
              </w:rPr>
              <w:t>Indirect immunofluorescence</w:t>
            </w:r>
          </w:p>
        </w:tc>
        <w:tc>
          <w:tcPr>
            <w:tcW w:type="dxa" w:w="950"/>
            <w:vAlign w:val="top"/>
          </w:tcPr>
          <w:p>
            <w:pPr>
              <w:spacing w:after="40" w:before="0" w:line="259" w:lineRule="auto"/>
            </w:pPr>
            <w:r>
              <w:rPr>
                <w:rFonts w:ascii="Calibri" w:hAnsi="Calibri"/>
                <w:b w:val="0"/>
                <w:i w:val="0"/>
                <w:color w:val="212121"/>
                <w:sz w:val="16"/>
              </w:rPr>
              <w:t>Negative</w:t>
            </w:r>
          </w:p>
        </w:tc>
        <w:tc>
          <w:tcPr>
            <w:tcW w:type="dxa" w:w="950"/>
            <w:vAlign w:val="top"/>
          </w:tcPr>
          <w:p>
            <w:pPr>
              <w:spacing w:after="40" w:before="0" w:line="259" w:lineRule="auto"/>
            </w:pPr>
            <w:r>
              <w:rPr>
                <w:rFonts w:ascii="Calibri" w:hAnsi="Calibri"/>
                <w:b w:val="0"/>
                <w:i w:val="0"/>
                <w:color w:val="212121"/>
                <w:sz w:val="16"/>
              </w:rPr>
              <w:t>Positive on BP180/BP230 substrate</w:t>
            </w:r>
          </w:p>
        </w:tc>
        <w:tc>
          <w:tcPr>
            <w:tcW w:type="dxa" w:w="1036"/>
            <w:vAlign w:val="top"/>
          </w:tcPr>
          <w:p>
            <w:pPr>
              <w:spacing w:after="40" w:before="0" w:line="259" w:lineRule="auto"/>
            </w:pPr>
            <w:r>
              <w:rPr>
                <w:rFonts w:ascii="Calibri" w:hAnsi="Calibri"/>
                <w:b w:val="0"/>
                <w:i w:val="0"/>
                <w:color w:val="212121"/>
                <w:sz w:val="16"/>
              </w:rPr>
              <w:t>Multiplex antigen detection; efficient screening in vesiculobullous disease</w:t>
            </w:r>
          </w:p>
        </w:tc>
        <w:tc>
          <w:tcPr>
            <w:tcW w:type="dxa" w:w="1036"/>
            <w:vAlign w:val="top"/>
          </w:tcPr>
          <w:p>
            <w:pPr>
              <w:spacing w:after="40" w:before="0" w:line="259" w:lineRule="auto"/>
            </w:pPr>
            <w:r>
              <w:rPr>
                <w:rFonts w:ascii="Calibri" w:hAnsi="Calibri"/>
                <w:b w:val="0"/>
                <w:i w:val="0"/>
                <w:color w:val="212121"/>
                <w:sz w:val="16"/>
              </w:rPr>
              <w:t>Screening of autoimmune bullous disease</w:t>
            </w:r>
          </w:p>
        </w:tc>
        <w:tc>
          <w:tcPr>
            <w:tcW w:type="dxa" w:w="720"/>
            <w:vAlign w:val="top"/>
          </w:tcPr>
          <w:p>
            <w:pPr>
              <w:spacing w:after="40" w:before="0" w:line="259" w:lineRule="auto"/>
            </w:pPr>
            <w:r>
              <w:rPr>
                <w:rFonts w:ascii="Calibri" w:hAnsi="Calibri"/>
                <w:b w:val="0"/>
                <w:i w:val="0"/>
                <w:color w:val="212121"/>
                <w:sz w:val="16"/>
              </w:rPr>
              <w:t>NA</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Validated in Indian cutaneous vesiculobullous cohorts</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Haematology</w:t>
            </w:r>
          </w:p>
        </w:tc>
        <w:tc>
          <w:tcPr>
            <w:tcW w:type="dxa" w:w="1036"/>
            <w:vAlign w:val="top"/>
          </w:tcPr>
          <w:p>
            <w:pPr>
              <w:spacing w:after="40" w:before="0" w:line="259" w:lineRule="auto"/>
            </w:pPr>
            <w:r>
              <w:rPr>
                <w:rFonts w:ascii="Calibri" w:hAnsi="Calibri"/>
                <w:b w:val="0"/>
                <w:i w:val="0"/>
                <w:color w:val="212121"/>
                <w:sz w:val="16"/>
              </w:rPr>
              <w:t>Peripheral eosinophil count</w:t>
            </w:r>
          </w:p>
        </w:tc>
        <w:tc>
          <w:tcPr>
            <w:tcW w:type="dxa" w:w="892"/>
            <w:vAlign w:val="top"/>
          </w:tcPr>
          <w:p>
            <w:pPr>
              <w:spacing w:after="40" w:before="0" w:line="259" w:lineRule="auto"/>
            </w:pPr>
            <w:r>
              <w:rPr>
                <w:rFonts w:ascii="Calibri" w:hAnsi="Calibri"/>
                <w:b w:val="0"/>
                <w:i w:val="0"/>
                <w:color w:val="212121"/>
                <w:sz w:val="16"/>
              </w:rPr>
              <w:t>Complete blood count</w:t>
            </w:r>
          </w:p>
        </w:tc>
        <w:tc>
          <w:tcPr>
            <w:tcW w:type="dxa" w:w="950"/>
            <w:vAlign w:val="top"/>
          </w:tcPr>
          <w:p>
            <w:pPr>
              <w:spacing w:after="40" w:before="0" w:line="259" w:lineRule="auto"/>
            </w:pPr>
            <w:r>
              <w:rPr>
                <w:rFonts w:ascii="Calibri" w:hAnsi="Calibri"/>
                <w:b w:val="0"/>
                <w:i w:val="0"/>
                <w:color w:val="212121"/>
                <w:sz w:val="16"/>
              </w:rPr>
              <w:t>&lt; 500 / microL</w:t>
            </w:r>
          </w:p>
        </w:tc>
        <w:tc>
          <w:tcPr>
            <w:tcW w:type="dxa" w:w="950"/>
            <w:vAlign w:val="top"/>
          </w:tcPr>
          <w:p>
            <w:pPr>
              <w:spacing w:after="40" w:before="0" w:line="259" w:lineRule="auto"/>
            </w:pPr>
            <w:r>
              <w:rPr>
                <w:rFonts w:ascii="Calibri" w:hAnsi="Calibri"/>
                <w:b w:val="0"/>
                <w:i w:val="0"/>
                <w:color w:val="212121"/>
                <w:sz w:val="16"/>
              </w:rPr>
              <w:t>&gt; 500 / microL (eosinophilia)</w:t>
            </w:r>
          </w:p>
        </w:tc>
        <w:tc>
          <w:tcPr>
            <w:tcW w:type="dxa" w:w="1036"/>
            <w:vAlign w:val="top"/>
          </w:tcPr>
          <w:p>
            <w:pPr>
              <w:spacing w:after="40" w:before="0" w:line="259" w:lineRule="auto"/>
            </w:pPr>
            <w:r>
              <w:rPr>
                <w:rFonts w:ascii="Calibri" w:hAnsi="Calibri"/>
                <w:b w:val="0"/>
                <w:i w:val="0"/>
                <w:color w:val="212121"/>
                <w:sz w:val="16"/>
              </w:rPr>
              <w:t>Blood eosinophilia parallels disease activity; supportive, not diagnostic</w:t>
            </w:r>
          </w:p>
        </w:tc>
        <w:tc>
          <w:tcPr>
            <w:tcW w:type="dxa" w:w="1036"/>
            <w:vAlign w:val="top"/>
          </w:tcPr>
          <w:p>
            <w:pPr>
              <w:spacing w:after="40" w:before="0" w:line="259" w:lineRule="auto"/>
            </w:pPr>
            <w:r>
              <w:rPr>
                <w:rFonts w:ascii="Calibri" w:hAnsi="Calibri"/>
                <w:b w:val="0"/>
                <w:i w:val="0"/>
                <w:color w:val="212121"/>
                <w:sz w:val="16"/>
              </w:rPr>
              <w:t>Active BP</w:t>
            </w:r>
          </w:p>
        </w:tc>
        <w:tc>
          <w:tcPr>
            <w:tcW w:type="dxa" w:w="720"/>
            <w:vAlign w:val="top"/>
          </w:tcPr>
          <w:p>
            <w:pPr>
              <w:spacing w:after="40" w:before="0" w:line="259" w:lineRule="auto"/>
            </w:pPr>
            <w:r>
              <w:rPr>
                <w:rFonts w:ascii="Calibri" w:hAnsi="Calibri"/>
                <w:b w:val="0"/>
                <w:i w:val="0"/>
                <w:color w:val="212121"/>
                <w:sz w:val="16"/>
              </w:rPr>
              <w:t>NA</w:t>
            </w:r>
          </w:p>
        </w:tc>
        <w:tc>
          <w:tcPr>
            <w:tcW w:type="dxa" w:w="720"/>
            <w:vAlign w:val="top"/>
          </w:tcPr>
          <w:p>
            <w:pPr>
              <w:spacing w:after="40" w:before="0" w:line="259" w:lineRule="auto"/>
            </w:pPr>
            <w:r>
              <w:rPr>
                <w:rFonts w:ascii="Calibri" w:hAnsi="Calibri"/>
                <w:b w:val="0"/>
                <w:i w:val="0"/>
                <w:color w:val="212121"/>
                <w:sz w:val="16"/>
              </w:rPr>
              <w:t>Supportive</w:t>
            </w:r>
          </w:p>
        </w:tc>
        <w:tc>
          <w:tcPr>
            <w:tcW w:type="dxa" w:w="720"/>
            <w:vAlign w:val="top"/>
          </w:tcPr>
          <w:p>
            <w:pPr>
              <w:spacing w:after="40" w:before="0" w:line="259" w:lineRule="auto"/>
            </w:pPr>
            <w:r>
              <w:rPr>
                <w:rFonts w:ascii="Calibri" w:hAnsi="Calibri"/>
                <w:b w:val="0"/>
                <w:i w:val="0"/>
                <w:color w:val="212121"/>
                <w:sz w:val="16"/>
              </w:rPr>
              <w:t>Total IgE is also raised in many patients</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Biochemistry</w:t>
            </w:r>
          </w:p>
        </w:tc>
        <w:tc>
          <w:tcPr>
            <w:tcW w:type="dxa" w:w="1036"/>
            <w:vAlign w:val="top"/>
          </w:tcPr>
          <w:p>
            <w:pPr>
              <w:spacing w:after="40" w:before="0" w:line="259" w:lineRule="auto"/>
            </w:pPr>
            <w:r>
              <w:rPr>
                <w:rFonts w:ascii="Calibri" w:hAnsi="Calibri"/>
                <w:b w:val="0"/>
                <w:i w:val="0"/>
                <w:color w:val="212121"/>
                <w:sz w:val="16"/>
              </w:rPr>
              <w:t>Serum albumin &amp; electrolytes</w:t>
            </w:r>
          </w:p>
        </w:tc>
        <w:tc>
          <w:tcPr>
            <w:tcW w:type="dxa" w:w="892"/>
            <w:vAlign w:val="top"/>
          </w:tcPr>
          <w:p>
            <w:pPr>
              <w:spacing w:after="40" w:before="0" w:line="259" w:lineRule="auto"/>
            </w:pPr>
            <w:r>
              <w:rPr>
                <w:rFonts w:ascii="Calibri" w:hAnsi="Calibri"/>
                <w:b w:val="0"/>
                <w:i w:val="0"/>
                <w:color w:val="212121"/>
                <w:sz w:val="16"/>
              </w:rPr>
              <w:t>Biochemical panel</w:t>
            </w:r>
          </w:p>
        </w:tc>
        <w:tc>
          <w:tcPr>
            <w:tcW w:type="dxa" w:w="950"/>
            <w:vAlign w:val="top"/>
          </w:tcPr>
          <w:p>
            <w:pPr>
              <w:spacing w:after="40" w:before="0" w:line="259" w:lineRule="auto"/>
            </w:pPr>
            <w:r>
              <w:rPr>
                <w:rFonts w:ascii="Calibri" w:hAnsi="Calibri"/>
                <w:b w:val="0"/>
                <w:i w:val="0"/>
                <w:color w:val="212121"/>
                <w:sz w:val="16"/>
              </w:rPr>
              <w:t>Albumin 3.5-5.0 g/dL; normal Na/K</w:t>
            </w:r>
          </w:p>
        </w:tc>
        <w:tc>
          <w:tcPr>
            <w:tcW w:type="dxa" w:w="950"/>
            <w:vAlign w:val="top"/>
          </w:tcPr>
          <w:p>
            <w:pPr>
              <w:spacing w:after="40" w:before="0" w:line="259" w:lineRule="auto"/>
            </w:pPr>
            <w:r>
              <w:rPr>
                <w:rFonts w:ascii="Calibri" w:hAnsi="Calibri"/>
                <w:b w:val="0"/>
                <w:i w:val="0"/>
                <w:color w:val="212121"/>
                <w:sz w:val="16"/>
              </w:rPr>
              <w:t>Hypoalbuminaemia; electrolyte derangement</w:t>
            </w:r>
          </w:p>
        </w:tc>
        <w:tc>
          <w:tcPr>
            <w:tcW w:type="dxa" w:w="1036"/>
            <w:vAlign w:val="top"/>
          </w:tcPr>
          <w:p>
            <w:pPr>
              <w:spacing w:after="40" w:before="0" w:line="259" w:lineRule="auto"/>
            </w:pPr>
            <w:r>
              <w:rPr>
                <w:rFonts w:ascii="Calibri" w:hAnsi="Calibri"/>
                <w:b w:val="0"/>
                <w:i w:val="0"/>
                <w:color w:val="212121"/>
                <w:sz w:val="16"/>
              </w:rPr>
              <w:t>Reflects fluid and protein loss in extensive erosive disease; baseline before starting steroids</w:t>
            </w:r>
          </w:p>
        </w:tc>
        <w:tc>
          <w:tcPr>
            <w:tcW w:type="dxa" w:w="1036"/>
            <w:vAlign w:val="top"/>
          </w:tcPr>
          <w:p>
            <w:pPr>
              <w:spacing w:after="40" w:before="0" w:line="259" w:lineRule="auto"/>
            </w:pPr>
            <w:r>
              <w:rPr>
                <w:rFonts w:ascii="Calibri" w:hAnsi="Calibri"/>
                <w:b w:val="0"/>
                <w:i w:val="0"/>
                <w:color w:val="212121"/>
                <w:sz w:val="16"/>
              </w:rPr>
              <w:t>Extensive BP; frail elderly</w:t>
            </w:r>
          </w:p>
        </w:tc>
        <w:tc>
          <w:tcPr>
            <w:tcW w:type="dxa" w:w="720"/>
            <w:vAlign w:val="top"/>
          </w:tcPr>
          <w:p>
            <w:pPr>
              <w:spacing w:after="40" w:before="0" w:line="259" w:lineRule="auto"/>
            </w:pPr>
            <w:r>
              <w:rPr>
                <w:rFonts w:ascii="Calibri" w:hAnsi="Calibri"/>
                <w:b w:val="0"/>
                <w:i w:val="0"/>
                <w:color w:val="212121"/>
                <w:sz w:val="16"/>
              </w:rPr>
              <w:t>Water; Food</w:t>
            </w:r>
          </w:p>
        </w:tc>
        <w:tc>
          <w:tcPr>
            <w:tcW w:type="dxa" w:w="720"/>
            <w:vAlign w:val="top"/>
          </w:tcPr>
          <w:p>
            <w:pPr>
              <w:spacing w:after="40" w:before="0" w:line="259" w:lineRule="auto"/>
            </w:pPr>
            <w:r>
              <w:rPr>
                <w:rFonts w:ascii="Calibri" w:hAnsi="Calibri"/>
                <w:b w:val="0"/>
                <w:i w:val="0"/>
                <w:color w:val="212121"/>
                <w:sz w:val="16"/>
              </w:rPr>
              <w:t>Prognostic</w:t>
            </w:r>
          </w:p>
        </w:tc>
        <w:tc>
          <w:tcPr>
            <w:tcW w:type="dxa" w:w="720"/>
            <w:vAlign w:val="top"/>
          </w:tcPr>
          <w:p>
            <w:pPr>
              <w:spacing w:after="40" w:before="0" w:line="259" w:lineRule="auto"/>
            </w:pPr>
            <w:r>
              <w:rPr>
                <w:rFonts w:ascii="Calibri" w:hAnsi="Calibri"/>
                <w:b w:val="0"/>
                <w:i w:val="0"/>
                <w:color w:val="212121"/>
                <w:sz w:val="16"/>
              </w:rPr>
              <w:t>Guides fluid and nutritional support</w:t>
            </w:r>
          </w:p>
        </w:tc>
      </w:tr>
    </w:tbl>
    <w:p>
      <w:pPr>
        <w:spacing w:before="160" w:after="120"/>
      </w:pPr>
      <w:r>
        <w:rPr>
          <w:rFonts w:ascii="Calibri" w:hAnsi="Calibri"/>
          <w:b/>
          <w:i w:val="0"/>
          <w:color w:val="212121"/>
          <w:sz w:val="22"/>
        </w:rPr>
        <w:t>Qualitative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950"/>
            <w:shd w:val="clear" w:color="auto" w:fill="F2F2F2"/>
            <w:vAlign w:val="center"/>
          </w:tcPr>
          <w:p>
            <w:pPr>
              <w:spacing w:after="40" w:before="0" w:line="259" w:lineRule="auto"/>
            </w:pPr>
            <w:r>
              <w:rPr>
                <w:rFonts w:ascii="Calibri" w:hAnsi="Calibri"/>
                <w:b/>
                <w:i w:val="0"/>
                <w:color w:val="212121"/>
                <w:sz w:val="16"/>
              </w:rPr>
              <w:t>THP</w:t>
            </w:r>
          </w:p>
        </w:tc>
        <w:tc>
          <w:tcPr>
            <w:tcW w:type="dxa" w:w="979"/>
            <w:shd w:val="clear" w:color="auto" w:fill="F2F2F2"/>
            <w:vAlign w:val="center"/>
          </w:tcPr>
          <w:p>
            <w:pPr>
              <w:spacing w:after="40" w:before="0" w:line="259" w:lineRule="auto"/>
            </w:pPr>
            <w:r>
              <w:rPr>
                <w:rFonts w:ascii="Calibri" w:hAnsi="Calibri"/>
                <w:b/>
                <w:i w:val="0"/>
                <w:color w:val="212121"/>
                <w:sz w:val="16"/>
              </w:rPr>
              <w:t>Parameter</w:t>
            </w:r>
          </w:p>
        </w:tc>
        <w:tc>
          <w:tcPr>
            <w:tcW w:type="dxa" w:w="950"/>
            <w:shd w:val="clear" w:color="auto" w:fill="F2F2F2"/>
            <w:vAlign w:val="center"/>
          </w:tcPr>
          <w:p>
            <w:pPr>
              <w:spacing w:after="40" w:before="0" w:line="259" w:lineRule="auto"/>
            </w:pPr>
            <w:r>
              <w:rPr>
                <w:rFonts w:ascii="Calibri" w:hAnsi="Calibri"/>
                <w:b/>
                <w:i w:val="0"/>
                <w:color w:val="212121"/>
                <w:sz w:val="16"/>
              </w:rPr>
              <w:t>Normal findings</w:t>
            </w:r>
          </w:p>
        </w:tc>
        <w:tc>
          <w:tcPr>
            <w:tcW w:type="dxa" w:w="950"/>
            <w:shd w:val="clear" w:color="auto" w:fill="F2F2F2"/>
            <w:vAlign w:val="center"/>
          </w:tcPr>
          <w:p>
            <w:pPr>
              <w:spacing w:after="40" w:before="0" w:line="259" w:lineRule="auto"/>
            </w:pPr>
            <w:r>
              <w:rPr>
                <w:rFonts w:ascii="Calibri" w:hAnsi="Calibri"/>
                <w:b/>
                <w:i w:val="0"/>
                <w:color w:val="212121"/>
                <w:sz w:val="16"/>
              </w:rPr>
              <w:t>Abnormal findings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Chief complaints</w:t>
            </w:r>
          </w:p>
        </w:tc>
        <w:tc>
          <w:tcPr>
            <w:tcW w:type="dxa" w:w="979"/>
            <w:vAlign w:val="top"/>
          </w:tcPr>
          <w:p>
            <w:pPr>
              <w:spacing w:after="40" w:before="0" w:line="259" w:lineRule="auto"/>
            </w:pPr>
            <w:r>
              <w:rPr>
                <w:rFonts w:ascii="Calibri" w:hAnsi="Calibri"/>
                <w:b w:val="0"/>
                <w:i w:val="0"/>
                <w:color w:val="212121"/>
                <w:sz w:val="16"/>
              </w:rPr>
              <w:t>Itch, tense blisters, urticarial rash</w:t>
            </w:r>
          </w:p>
        </w:tc>
        <w:tc>
          <w:tcPr>
            <w:tcW w:type="dxa" w:w="950"/>
            <w:vAlign w:val="top"/>
          </w:tcPr>
          <w:p>
            <w:pPr>
              <w:spacing w:after="40" w:before="0" w:line="259" w:lineRule="auto"/>
            </w:pPr>
            <w:r>
              <w:rPr>
                <w:rFonts w:ascii="Calibri" w:hAnsi="Calibri"/>
                <w:b w:val="0"/>
                <w:i w:val="0"/>
                <w:color w:val="212121"/>
                <w:sz w:val="16"/>
              </w:rPr>
              <w:t>None</w:t>
            </w:r>
          </w:p>
        </w:tc>
        <w:tc>
          <w:tcPr>
            <w:tcW w:type="dxa" w:w="950"/>
            <w:vAlign w:val="top"/>
          </w:tcPr>
          <w:p>
            <w:pPr>
              <w:spacing w:after="40" w:before="0" w:line="259" w:lineRule="auto"/>
            </w:pPr>
            <w:r>
              <w:rPr>
                <w:rFonts w:ascii="Calibri" w:hAnsi="Calibri"/>
                <w:b w:val="0"/>
                <w:i w:val="0"/>
                <w:color w:val="212121"/>
                <w:sz w:val="16"/>
              </w:rPr>
              <w:t>Intense pruritus with or without tense bullae for weeks to months</w:t>
            </w:r>
          </w:p>
        </w:tc>
        <w:tc>
          <w:tcPr>
            <w:tcW w:type="dxa" w:w="1036"/>
            <w:vAlign w:val="top"/>
          </w:tcPr>
          <w:p>
            <w:pPr>
              <w:spacing w:after="40" w:before="0" w:line="259" w:lineRule="auto"/>
            </w:pPr>
            <w:r>
              <w:rPr>
                <w:rFonts w:ascii="Calibri" w:hAnsi="Calibri"/>
                <w:b w:val="0"/>
                <w:i w:val="0"/>
                <w:color w:val="212121"/>
                <w:sz w:val="16"/>
              </w:rPr>
              <w:t>Prodromal itch precedes blisters; itch may be the sole feature in non-bullous BP</w:t>
            </w:r>
          </w:p>
        </w:tc>
        <w:tc>
          <w:tcPr>
            <w:tcW w:type="dxa" w:w="1036"/>
            <w:vAlign w:val="top"/>
          </w:tcPr>
          <w:p>
            <w:pPr>
              <w:spacing w:after="40" w:before="0" w:line="259" w:lineRule="auto"/>
            </w:pPr>
            <w:r>
              <w:rPr>
                <w:rFonts w:ascii="Calibri" w:hAnsi="Calibri"/>
                <w:b w:val="0"/>
                <w:i w:val="0"/>
                <w:color w:val="212121"/>
                <w:sz w:val="16"/>
              </w:rPr>
              <w:t>Elderly with chronic unexplained itch</w:t>
            </w:r>
          </w:p>
        </w:tc>
        <w:tc>
          <w:tcPr>
            <w:tcW w:type="dxa" w:w="720"/>
            <w:vAlign w:val="top"/>
          </w:tcPr>
          <w:p>
            <w:pPr>
              <w:spacing w:after="40" w:before="0" w:line="259" w:lineRule="auto"/>
            </w:pPr>
            <w:r>
              <w:rPr>
                <w:rFonts w:ascii="Calibri" w:hAnsi="Calibri"/>
                <w:b w:val="0"/>
                <w:i w:val="0"/>
                <w:color w:val="212121"/>
                <w:sz w:val="16"/>
              </w:rPr>
              <w:t>Sleep; Mental health</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About 20% present without bullae or erosions</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Drug history</w:t>
            </w:r>
          </w:p>
        </w:tc>
        <w:tc>
          <w:tcPr>
            <w:tcW w:type="dxa" w:w="979"/>
            <w:vAlign w:val="top"/>
          </w:tcPr>
          <w:p>
            <w:pPr>
              <w:spacing w:after="40" w:before="0" w:line="259" w:lineRule="auto"/>
            </w:pPr>
            <w:r>
              <w:rPr>
                <w:rFonts w:ascii="Calibri" w:hAnsi="Calibri"/>
                <w:b w:val="0"/>
                <w:i w:val="0"/>
                <w:color w:val="212121"/>
                <w:sz w:val="16"/>
              </w:rPr>
              <w:t>Gliptins, checkpoint inhibitors, diuretics, antibiotics</w:t>
            </w:r>
          </w:p>
        </w:tc>
        <w:tc>
          <w:tcPr>
            <w:tcW w:type="dxa" w:w="950"/>
            <w:vAlign w:val="top"/>
          </w:tcPr>
          <w:p>
            <w:pPr>
              <w:spacing w:after="40" w:before="0" w:line="259" w:lineRule="auto"/>
            </w:pPr>
            <w:r>
              <w:rPr>
                <w:rFonts w:ascii="Calibri" w:hAnsi="Calibri"/>
                <w:b w:val="0"/>
                <w:i w:val="0"/>
                <w:color w:val="212121"/>
                <w:sz w:val="16"/>
              </w:rPr>
              <w:t>No trigger drug</w:t>
            </w:r>
          </w:p>
        </w:tc>
        <w:tc>
          <w:tcPr>
            <w:tcW w:type="dxa" w:w="950"/>
            <w:vAlign w:val="top"/>
          </w:tcPr>
          <w:p>
            <w:pPr>
              <w:spacing w:after="40" w:before="0" w:line="259" w:lineRule="auto"/>
            </w:pPr>
            <w:r>
              <w:rPr>
                <w:rFonts w:ascii="Calibri" w:hAnsi="Calibri"/>
                <w:b w:val="0"/>
                <w:i w:val="0"/>
                <w:color w:val="212121"/>
                <w:sz w:val="16"/>
              </w:rPr>
              <w:t>Recent start of DPP-4 inhibitor, checkpoint inhibitor or diuretic</w:t>
            </w:r>
          </w:p>
        </w:tc>
        <w:tc>
          <w:tcPr>
            <w:tcW w:type="dxa" w:w="1036"/>
            <w:vAlign w:val="top"/>
          </w:tcPr>
          <w:p>
            <w:pPr>
              <w:spacing w:after="40" w:before="0" w:line="259" w:lineRule="auto"/>
            </w:pPr>
            <w:r>
              <w:rPr>
                <w:rFonts w:ascii="Calibri" w:hAnsi="Calibri"/>
                <w:b w:val="0"/>
                <w:i w:val="0"/>
                <w:color w:val="212121"/>
                <w:sz w:val="16"/>
              </w:rPr>
              <w:t>Identifies drug-induced BP; withdrawal can be curative or speed disease control</w:t>
            </w:r>
          </w:p>
        </w:tc>
        <w:tc>
          <w:tcPr>
            <w:tcW w:type="dxa" w:w="1036"/>
            <w:vAlign w:val="top"/>
          </w:tcPr>
          <w:p>
            <w:pPr>
              <w:spacing w:after="40" w:before="0" w:line="259" w:lineRule="auto"/>
            </w:pPr>
            <w:r>
              <w:rPr>
                <w:rFonts w:ascii="Calibri" w:hAnsi="Calibri"/>
                <w:b w:val="0"/>
                <w:i w:val="0"/>
                <w:color w:val="212121"/>
                <w:sz w:val="16"/>
              </w:rPr>
              <w:t>Diabetics on gliptins; oncology patients on immunotherapy</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DPP-4 inhibitor onset is often months to over two years after the drug is started</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Neurological &amp; comorbidity history</w:t>
            </w:r>
          </w:p>
        </w:tc>
        <w:tc>
          <w:tcPr>
            <w:tcW w:type="dxa" w:w="979"/>
            <w:vAlign w:val="top"/>
          </w:tcPr>
          <w:p>
            <w:pPr>
              <w:spacing w:after="40" w:before="0" w:line="259" w:lineRule="auto"/>
            </w:pPr>
            <w:r>
              <w:rPr>
                <w:rFonts w:ascii="Calibri" w:hAnsi="Calibri"/>
                <w:b w:val="0"/>
                <w:i w:val="0"/>
                <w:color w:val="212121"/>
                <w:sz w:val="16"/>
              </w:rPr>
              <w:t>Stroke, dementia, Parkinson's, diabetes, hypertension</w:t>
            </w:r>
          </w:p>
        </w:tc>
        <w:tc>
          <w:tcPr>
            <w:tcW w:type="dxa" w:w="950"/>
            <w:vAlign w:val="top"/>
          </w:tcPr>
          <w:p>
            <w:pPr>
              <w:spacing w:after="40" w:before="0" w:line="259" w:lineRule="auto"/>
            </w:pPr>
            <w:r>
              <w:rPr>
                <w:rFonts w:ascii="Calibri" w:hAnsi="Calibri"/>
                <w:b w:val="0"/>
                <w:i w:val="0"/>
                <w:color w:val="212121"/>
                <w:sz w:val="16"/>
              </w:rPr>
              <w:t>None</w:t>
            </w:r>
          </w:p>
        </w:tc>
        <w:tc>
          <w:tcPr>
            <w:tcW w:type="dxa" w:w="950"/>
            <w:vAlign w:val="top"/>
          </w:tcPr>
          <w:p>
            <w:pPr>
              <w:spacing w:after="40" w:before="0" w:line="259" w:lineRule="auto"/>
            </w:pPr>
            <w:r>
              <w:rPr>
                <w:rFonts w:ascii="Calibri" w:hAnsi="Calibri"/>
                <w:b w:val="0"/>
                <w:i w:val="0"/>
                <w:color w:val="212121"/>
                <w:sz w:val="16"/>
              </w:rPr>
              <w:t>Prior stroke/dementia/Parkinson's or T2DM/hypertension</w:t>
            </w:r>
          </w:p>
        </w:tc>
        <w:tc>
          <w:tcPr>
            <w:tcW w:type="dxa" w:w="1036"/>
            <w:vAlign w:val="top"/>
          </w:tcPr>
          <w:p>
            <w:pPr>
              <w:spacing w:after="40" w:before="0" w:line="259" w:lineRule="auto"/>
            </w:pPr>
            <w:r>
              <w:rPr>
                <w:rFonts w:ascii="Calibri" w:hAnsi="Calibri"/>
                <w:b w:val="0"/>
                <w:i w:val="0"/>
                <w:color w:val="212121"/>
                <w:sz w:val="16"/>
              </w:rPr>
              <w:t>Neurological disease precedes BP by about 6.7 years; comorbidities guide treatment risk</w:t>
            </w:r>
          </w:p>
        </w:tc>
        <w:tc>
          <w:tcPr>
            <w:tcW w:type="dxa" w:w="1036"/>
            <w:vAlign w:val="top"/>
          </w:tcPr>
          <w:p>
            <w:pPr>
              <w:spacing w:after="40" w:before="0" w:line="259" w:lineRule="auto"/>
            </w:pPr>
            <w:r>
              <w:rPr>
                <w:rFonts w:ascii="Calibri" w:hAnsi="Calibri"/>
                <w:b w:val="0"/>
                <w:i w:val="0"/>
                <w:color w:val="212121"/>
                <w:sz w:val="16"/>
              </w:rPr>
              <w:t>Elderly; neuro-disabled patients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Prognostic</w:t>
            </w:r>
          </w:p>
        </w:tc>
        <w:tc>
          <w:tcPr>
            <w:tcW w:type="dxa" w:w="720"/>
            <w:vAlign w:val="top"/>
          </w:tcPr>
          <w:p>
            <w:pPr>
              <w:spacing w:after="40" w:before="0" w:line="259" w:lineRule="auto"/>
            </w:pPr>
            <w:r>
              <w:rPr>
                <w:rFonts w:ascii="Calibri" w:hAnsi="Calibri"/>
                <w:b w:val="0"/>
                <w:i w:val="0"/>
                <w:color w:val="212121"/>
                <w:sz w:val="16"/>
              </w:rPr>
              <w:t>About 83% of Indian BP patients had comorbidities</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 exam</w:t>
            </w:r>
          </w:p>
        </w:tc>
        <w:tc>
          <w:tcPr>
            <w:tcW w:type="dxa" w:w="950"/>
            <w:vAlign w:val="top"/>
          </w:tcPr>
          <w:p>
            <w:pPr>
              <w:spacing w:after="40" w:before="0" w:line="259" w:lineRule="auto"/>
            </w:pPr>
            <w:r>
              <w:rPr>
                <w:rFonts w:ascii="Calibri" w:hAnsi="Calibri"/>
                <w:b w:val="0"/>
                <w:i w:val="0"/>
                <w:color w:val="212121"/>
                <w:sz w:val="16"/>
              </w:rPr>
              <w:t>Blister character &amp; Nikolsky sign</w:t>
            </w:r>
          </w:p>
        </w:tc>
        <w:tc>
          <w:tcPr>
            <w:tcW w:type="dxa" w:w="979"/>
            <w:vAlign w:val="top"/>
          </w:tcPr>
          <w:p>
            <w:pPr>
              <w:spacing w:after="40" w:before="0" w:line="259" w:lineRule="auto"/>
            </w:pPr>
            <w:r>
              <w:rPr>
                <w:rFonts w:ascii="Calibri" w:hAnsi="Calibri"/>
                <w:b w:val="0"/>
                <w:i w:val="0"/>
                <w:color w:val="212121"/>
                <w:sz w:val="16"/>
              </w:rPr>
              <w:t>Tense bullae; Nikolsky sign</w:t>
            </w:r>
          </w:p>
        </w:tc>
        <w:tc>
          <w:tcPr>
            <w:tcW w:type="dxa" w:w="950"/>
            <w:vAlign w:val="top"/>
          </w:tcPr>
          <w:p>
            <w:pPr>
              <w:spacing w:after="40" w:before="0" w:line="259" w:lineRule="auto"/>
            </w:pPr>
            <w:r>
              <w:rPr>
                <w:rFonts w:ascii="Calibri" w:hAnsi="Calibri"/>
                <w:b w:val="0"/>
                <w:i w:val="0"/>
                <w:color w:val="212121"/>
                <w:sz w:val="16"/>
              </w:rPr>
              <w:t>Skin intact</w:t>
            </w:r>
          </w:p>
        </w:tc>
        <w:tc>
          <w:tcPr>
            <w:tcW w:type="dxa" w:w="950"/>
            <w:vAlign w:val="top"/>
          </w:tcPr>
          <w:p>
            <w:pPr>
              <w:spacing w:after="40" w:before="0" w:line="259" w:lineRule="auto"/>
            </w:pPr>
            <w:r>
              <w:rPr>
                <w:rFonts w:ascii="Calibri" w:hAnsi="Calibri"/>
                <w:b w:val="0"/>
                <w:i w:val="0"/>
                <w:color w:val="212121"/>
                <w:sz w:val="16"/>
              </w:rPr>
              <w:t>Tense bullae on erythematous/normal skin; Nikolsky negative</w:t>
            </w:r>
          </w:p>
        </w:tc>
        <w:tc>
          <w:tcPr>
            <w:tcW w:type="dxa" w:w="1036"/>
            <w:vAlign w:val="top"/>
          </w:tcPr>
          <w:p>
            <w:pPr>
              <w:spacing w:after="40" w:before="0" w:line="259" w:lineRule="auto"/>
            </w:pPr>
            <w:r>
              <w:rPr>
                <w:rFonts w:ascii="Calibri" w:hAnsi="Calibri"/>
                <w:b w:val="0"/>
                <w:i w:val="0"/>
                <w:color w:val="212121"/>
                <w:sz w:val="16"/>
              </w:rPr>
              <w:t>Tense (versus flaccid in pemphigus) blisters and a negative Nikolsky sign distinguish BP from pemphigus vulgaris</w:t>
            </w:r>
          </w:p>
        </w:tc>
        <w:tc>
          <w:tcPr>
            <w:tcW w:type="dxa" w:w="1036"/>
            <w:vAlign w:val="top"/>
          </w:tcPr>
          <w:p>
            <w:pPr>
              <w:spacing w:after="40" w:before="0" w:line="259" w:lineRule="auto"/>
            </w:pPr>
            <w:r>
              <w:rPr>
                <w:rFonts w:ascii="Calibri" w:hAnsi="Calibri"/>
                <w:b w:val="0"/>
                <w:i w:val="0"/>
                <w:color w:val="212121"/>
                <w:sz w:val="16"/>
              </w:rPr>
              <w:t>Suspected autoimmune bullous disease</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Blisters heal without scarring; milia may form at healed sites</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 exam</w:t>
            </w:r>
          </w:p>
        </w:tc>
        <w:tc>
          <w:tcPr>
            <w:tcW w:type="dxa" w:w="950"/>
            <w:vAlign w:val="top"/>
          </w:tcPr>
          <w:p>
            <w:pPr>
              <w:spacing w:after="40" w:before="0" w:line="259" w:lineRule="auto"/>
            </w:pPr>
            <w:r>
              <w:rPr>
                <w:rFonts w:ascii="Calibri" w:hAnsi="Calibri"/>
                <w:b w:val="0"/>
                <w:i w:val="0"/>
                <w:color w:val="212121"/>
                <w:sz w:val="16"/>
              </w:rPr>
              <w:t>Lesion distribution &amp; mucosa</w:t>
            </w:r>
          </w:p>
        </w:tc>
        <w:tc>
          <w:tcPr>
            <w:tcW w:type="dxa" w:w="979"/>
            <w:vAlign w:val="top"/>
          </w:tcPr>
          <w:p>
            <w:pPr>
              <w:spacing w:after="40" w:before="0" w:line="259" w:lineRule="auto"/>
            </w:pPr>
            <w:r>
              <w:rPr>
                <w:rFonts w:ascii="Calibri" w:hAnsi="Calibri"/>
                <w:b w:val="0"/>
                <w:i w:val="0"/>
                <w:color w:val="212121"/>
                <w:sz w:val="16"/>
              </w:rPr>
              <w:t>Flexures, trunk, limbs; mucosal surfaces</w:t>
            </w:r>
          </w:p>
        </w:tc>
        <w:tc>
          <w:tcPr>
            <w:tcW w:type="dxa" w:w="950"/>
            <w:vAlign w:val="top"/>
          </w:tcPr>
          <w:p>
            <w:pPr>
              <w:spacing w:after="40" w:before="0" w:line="259" w:lineRule="auto"/>
            </w:pPr>
            <w:r>
              <w:rPr>
                <w:rFonts w:ascii="Calibri" w:hAnsi="Calibri"/>
                <w:b w:val="0"/>
                <w:i w:val="0"/>
                <w:color w:val="212121"/>
                <w:sz w:val="16"/>
              </w:rPr>
              <w:t>No lesions</w:t>
            </w:r>
          </w:p>
        </w:tc>
        <w:tc>
          <w:tcPr>
            <w:tcW w:type="dxa" w:w="950"/>
            <w:vAlign w:val="top"/>
          </w:tcPr>
          <w:p>
            <w:pPr>
              <w:spacing w:after="40" w:before="0" w:line="259" w:lineRule="auto"/>
            </w:pPr>
            <w:r>
              <w:rPr>
                <w:rFonts w:ascii="Calibri" w:hAnsi="Calibri"/>
                <w:b w:val="0"/>
                <w:i w:val="0"/>
                <w:color w:val="212121"/>
                <w:sz w:val="16"/>
              </w:rPr>
              <w:t>Symmetric flexural/truncal lesions; mucosa usually spared</w:t>
            </w:r>
          </w:p>
        </w:tc>
        <w:tc>
          <w:tcPr>
            <w:tcW w:type="dxa" w:w="1036"/>
            <w:vAlign w:val="top"/>
          </w:tcPr>
          <w:p>
            <w:pPr>
              <w:spacing w:after="40" w:before="0" w:line="259" w:lineRule="auto"/>
            </w:pPr>
            <w:r>
              <w:rPr>
                <w:rFonts w:ascii="Calibri" w:hAnsi="Calibri"/>
                <w:b w:val="0"/>
                <w:i w:val="0"/>
                <w:color w:val="212121"/>
                <w:sz w:val="16"/>
              </w:rPr>
              <w:t>Symmetric flexural distribution is typical; prominent mucosal disease suggests gliptin-associated BP or mucous membrane pemphigoid</w:t>
            </w:r>
          </w:p>
        </w:tc>
        <w:tc>
          <w:tcPr>
            <w:tcW w:type="dxa" w:w="1036"/>
            <w:vAlign w:val="top"/>
          </w:tcPr>
          <w:p>
            <w:pPr>
              <w:spacing w:after="40" w:before="0" w:line="259" w:lineRule="auto"/>
            </w:pPr>
            <w:r>
              <w:rPr>
                <w:rFonts w:ascii="Calibri" w:hAnsi="Calibri"/>
                <w:b w:val="0"/>
                <w:i w:val="0"/>
                <w:color w:val="212121"/>
                <w:sz w:val="16"/>
              </w:rPr>
              <w:t>Suspected BP</w:t>
            </w:r>
          </w:p>
        </w:tc>
        <w:tc>
          <w:tcPr>
            <w:tcW w:type="dxa" w:w="720"/>
            <w:vAlign w:val="top"/>
          </w:tcPr>
          <w:p>
            <w:pPr>
              <w:spacing w:after="40" w:before="0" w:line="259" w:lineRule="auto"/>
            </w:pPr>
            <w:r>
              <w:rPr>
                <w:rFonts w:ascii="Calibri" w:hAnsi="Calibri"/>
                <w:b w:val="0"/>
                <w:i w:val="0"/>
                <w:color w:val="212121"/>
                <w:sz w:val="16"/>
              </w:rPr>
              <w:t>Hygiene</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Oral and genital involvement is uncommon in classic BP</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 exam</w:t>
            </w:r>
          </w:p>
        </w:tc>
        <w:tc>
          <w:tcPr>
            <w:tcW w:type="dxa" w:w="950"/>
            <w:vAlign w:val="top"/>
          </w:tcPr>
          <w:p>
            <w:pPr>
              <w:spacing w:after="40" w:before="0" w:line="259" w:lineRule="auto"/>
            </w:pPr>
            <w:r>
              <w:rPr>
                <w:rFonts w:ascii="Calibri" w:hAnsi="Calibri"/>
                <w:b w:val="0"/>
                <w:i w:val="0"/>
                <w:color w:val="212121"/>
                <w:sz w:val="16"/>
              </w:rPr>
              <w:t>Severity scoring</w:t>
            </w:r>
          </w:p>
        </w:tc>
        <w:tc>
          <w:tcPr>
            <w:tcW w:type="dxa" w:w="979"/>
            <w:vAlign w:val="top"/>
          </w:tcPr>
          <w:p>
            <w:pPr>
              <w:spacing w:after="40" w:before="0" w:line="259" w:lineRule="auto"/>
            </w:pPr>
            <w:r>
              <w:rPr>
                <w:rFonts w:ascii="Calibri" w:hAnsi="Calibri"/>
                <w:b w:val="0"/>
                <w:i w:val="0"/>
                <w:color w:val="212121"/>
                <w:sz w:val="16"/>
              </w:rPr>
              <w:t>Body surface area &amp; BPDAI</w:t>
            </w:r>
          </w:p>
        </w:tc>
        <w:tc>
          <w:tcPr>
            <w:tcW w:type="dxa" w:w="950"/>
            <w:vAlign w:val="top"/>
          </w:tcPr>
          <w:p>
            <w:pPr>
              <w:spacing w:after="40" w:before="0" w:line="259" w:lineRule="auto"/>
            </w:pPr>
            <w:r>
              <w:rPr>
                <w:rFonts w:ascii="Calibri" w:hAnsi="Calibri"/>
                <w:b w:val="0"/>
                <w:i w:val="0"/>
                <w:color w:val="212121"/>
                <w:sz w:val="16"/>
              </w:rPr>
              <w:t>0</w:t>
            </w:r>
          </w:p>
        </w:tc>
        <w:tc>
          <w:tcPr>
            <w:tcW w:type="dxa" w:w="950"/>
            <w:vAlign w:val="top"/>
          </w:tcPr>
          <w:p>
            <w:pPr>
              <w:spacing w:after="40" w:before="0" w:line="259" w:lineRule="auto"/>
            </w:pPr>
            <w:r>
              <w:rPr>
                <w:rFonts w:ascii="Calibri" w:hAnsi="Calibri"/>
                <w:b w:val="0"/>
                <w:i w:val="0"/>
                <w:color w:val="212121"/>
                <w:sz w:val="16"/>
              </w:rPr>
              <w:t>Rising BSA / BPDAI activity score</w:t>
            </w:r>
          </w:p>
        </w:tc>
        <w:tc>
          <w:tcPr>
            <w:tcW w:type="dxa" w:w="1036"/>
            <w:vAlign w:val="top"/>
          </w:tcPr>
          <w:p>
            <w:pPr>
              <w:spacing w:after="40" w:before="0" w:line="259" w:lineRule="auto"/>
            </w:pPr>
            <w:r>
              <w:rPr>
                <w:rFonts w:ascii="Calibri" w:hAnsi="Calibri"/>
                <w:b w:val="0"/>
                <w:i w:val="0"/>
                <w:color w:val="212121"/>
                <w:sz w:val="16"/>
              </w:rPr>
              <w:t>Quantifies severity and treatment response; guides topical versus systemic therapy</w:t>
            </w:r>
          </w:p>
        </w:tc>
        <w:tc>
          <w:tcPr>
            <w:tcW w:type="dxa" w:w="1036"/>
            <w:vAlign w:val="top"/>
          </w:tcPr>
          <w:p>
            <w:pPr>
              <w:spacing w:after="40" w:before="0" w:line="259" w:lineRule="auto"/>
            </w:pPr>
            <w:r>
              <w:rPr>
                <w:rFonts w:ascii="Calibri" w:hAnsi="Calibri"/>
                <w:b w:val="0"/>
                <w:i w:val="0"/>
                <w:color w:val="212121"/>
                <w:sz w:val="16"/>
              </w:rPr>
              <w:t>All BP patients for monitoring</w:t>
            </w:r>
          </w:p>
        </w:tc>
        <w:tc>
          <w:tcPr>
            <w:tcW w:type="dxa" w:w="720"/>
            <w:vAlign w:val="top"/>
          </w:tcPr>
          <w:p>
            <w:pPr>
              <w:spacing w:after="40" w:before="0" w:line="259" w:lineRule="auto"/>
            </w:pPr>
            <w:r>
              <w:rPr>
                <w:rFonts w:ascii="Calibri" w:hAnsi="Calibri"/>
                <w:b w:val="0"/>
                <w:i w:val="0"/>
                <w:color w:val="212121"/>
                <w:sz w:val="16"/>
              </w:rPr>
              <w:t>Hygiene; Physical activity</w:t>
            </w:r>
          </w:p>
        </w:tc>
        <w:tc>
          <w:tcPr>
            <w:tcW w:type="dxa" w:w="720"/>
            <w:vAlign w:val="top"/>
          </w:tcPr>
          <w:p>
            <w:pPr>
              <w:spacing w:after="40" w:before="0" w:line="259" w:lineRule="auto"/>
            </w:pPr>
            <w:r>
              <w:rPr>
                <w:rFonts w:ascii="Calibri" w:hAnsi="Calibri"/>
                <w:b w:val="0"/>
                <w:i w:val="0"/>
                <w:color w:val="212121"/>
                <w:sz w:val="16"/>
              </w:rPr>
              <w:t>Monitoring</w:t>
            </w:r>
          </w:p>
        </w:tc>
        <w:tc>
          <w:tcPr>
            <w:tcW w:type="dxa" w:w="720"/>
            <w:vAlign w:val="top"/>
          </w:tcPr>
          <w:p>
            <w:pPr>
              <w:spacing w:after="40" w:before="0" w:line="259" w:lineRule="auto"/>
            </w:pPr>
            <w:r>
              <w:rPr>
                <w:rFonts w:ascii="Calibri" w:hAnsi="Calibri"/>
                <w:b w:val="0"/>
                <w:i w:val="0"/>
                <w:color w:val="212121"/>
                <w:sz w:val="16"/>
              </w:rPr>
              <w:t>Localised disease under 20% BSA versus extensive disease</w:t>
            </w:r>
          </w:p>
        </w:tc>
      </w:tr>
    </w:tbl>
    <w:p>
      <w:pPr>
        <w:spacing w:before="200" w:after="120"/>
      </w:pPr>
      <w:r>
        <w:rPr>
          <w:rFonts w:ascii="Calibri" w:hAnsi="Calibri"/>
          <w:b/>
          <w:i w:val="0"/>
          <w:color w:val="212121"/>
          <w:sz w:val="25"/>
        </w:rPr>
        <w:t>Clinical features</w:t>
      </w:r>
    </w:p>
    <w:p>
      <w:pPr>
        <w:spacing w:before="160" w:after="120"/>
      </w:pPr>
      <w:r>
        <w:rPr>
          <w:rFonts w:ascii="Calibri" w:hAnsi="Calibri"/>
          <w:b/>
          <w:i w:val="0"/>
          <w:color w:val="212121"/>
          <w:sz w:val="22"/>
        </w:rPr>
        <w:t>Symptoms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Symptom</w:t>
            </w:r>
          </w:p>
        </w:tc>
        <w:tc>
          <w:tcPr>
            <w:tcW w:type="dxa" w:w="1584"/>
            <w:shd w:val="clear" w:color="auto" w:fill="F2F2F2"/>
            <w:vAlign w:val="center"/>
          </w:tcPr>
          <w:p>
            <w:pPr>
              <w:spacing w:after="40" w:before="0" w:line="259" w:lineRule="auto"/>
            </w:pPr>
            <w:r>
              <w:rPr>
                <w:rFonts w:ascii="Calibri" w:hAnsi="Calibri"/>
                <w:b/>
                <w:i w:val="0"/>
                <w:color w:val="212121"/>
                <w:sz w:val="19"/>
              </w:rPr>
              <w:t>Type</w:t>
            </w:r>
          </w:p>
        </w:tc>
        <w:tc>
          <w:tcPr>
            <w:tcW w:type="dxa" w:w="5716"/>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304"/>
            <w:vAlign w:val="top"/>
          </w:tcPr>
          <w:p>
            <w:pPr>
              <w:spacing w:after="40" w:before="0" w:line="259" w:lineRule="auto"/>
            </w:pPr>
            <w:r>
              <w:rPr>
                <w:rFonts w:ascii="Calibri" w:hAnsi="Calibri"/>
                <w:b/>
                <w:i w:val="0"/>
                <w:color w:val="212121"/>
                <w:sz w:val="19"/>
              </w:rPr>
              <w:t>Intense pruritus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Often the earliest and most distressing symptom; may precede blisters by weeks to months.</w:t>
            </w:r>
          </w:p>
        </w:tc>
      </w:tr>
      <w:tr>
        <w:trPr>
          <w:cantSplit/>
        </w:trPr>
        <w:tc>
          <w:tcPr>
            <w:tcW w:type="dxa" w:w="2304"/>
            <w:vAlign w:val="top"/>
          </w:tcPr>
          <w:p>
            <w:pPr>
              <w:spacing w:after="40" w:before="0" w:line="259" w:lineRule="auto"/>
            </w:pPr>
            <w:r>
              <w:rPr>
                <w:rFonts w:ascii="Calibri" w:hAnsi="Calibri"/>
                <w:b/>
                <w:i w:val="0"/>
                <w:color w:val="212121"/>
                <w:sz w:val="19"/>
              </w:rPr>
              <w:t>Tense, fluid-filled blisters (bullae)</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Large (1-4 cm), firm-roofed blisters on red or normal skin, clear or haemorrhagic, that do not rupture easily.</w:t>
            </w:r>
          </w:p>
        </w:tc>
      </w:tr>
      <w:tr>
        <w:trPr>
          <w:cantSplit/>
        </w:trPr>
        <w:tc>
          <w:tcPr>
            <w:tcW w:type="dxa" w:w="2304"/>
            <w:vAlign w:val="top"/>
          </w:tcPr>
          <w:p>
            <w:pPr>
              <w:spacing w:after="40" w:before="0" w:line="259" w:lineRule="auto"/>
            </w:pPr>
            <w:r>
              <w:rPr>
                <w:rFonts w:ascii="Calibri" w:hAnsi="Calibri"/>
                <w:b/>
                <w:i w:val="0"/>
                <w:color w:val="212121"/>
                <w:sz w:val="19"/>
              </w:rPr>
              <w:t>Urticarial / eczematous plaques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Itchy red wheals or eczema-like patches of the prodromal (non-bullous) phase.</w:t>
            </w:r>
          </w:p>
        </w:tc>
      </w:tr>
      <w:tr>
        <w:trPr>
          <w:cantSplit/>
        </w:trPr>
        <w:tc>
          <w:tcPr>
            <w:tcW w:type="dxa" w:w="2304"/>
            <w:vAlign w:val="top"/>
          </w:tcPr>
          <w:p>
            <w:pPr>
              <w:spacing w:after="40" w:before="0" w:line="259" w:lineRule="auto"/>
            </w:pPr>
            <w:r>
              <w:rPr>
                <w:rFonts w:ascii="Calibri" w:hAnsi="Calibri"/>
                <w:b/>
                <w:i w:val="0"/>
                <w:color w:val="212121"/>
                <w:sz w:val="19"/>
              </w:rPr>
              <w:t>Burning or stinging skin</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Discomfort over involved and prodromal areas.</w:t>
            </w:r>
          </w:p>
        </w:tc>
      </w:tr>
      <w:tr>
        <w:trPr>
          <w:cantSplit/>
        </w:trPr>
        <w:tc>
          <w:tcPr>
            <w:tcW w:type="dxa" w:w="2304"/>
            <w:vAlign w:val="top"/>
          </w:tcPr>
          <w:p>
            <w:pPr>
              <w:spacing w:after="40" w:before="0" w:line="259" w:lineRule="auto"/>
            </w:pPr>
            <w:r>
              <w:rPr>
                <w:rFonts w:ascii="Calibri" w:hAnsi="Calibri"/>
                <w:b/>
                <w:i w:val="0"/>
                <w:color w:val="212121"/>
                <w:sz w:val="19"/>
              </w:rPr>
              <w:t>Erosions and crusting</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Follow blister rupture and characteristically heal without scarring.</w:t>
            </w:r>
          </w:p>
        </w:tc>
      </w:tr>
      <w:tr>
        <w:trPr>
          <w:cantSplit/>
        </w:trPr>
        <w:tc>
          <w:tcPr>
            <w:tcW w:type="dxa" w:w="2304"/>
            <w:vAlign w:val="top"/>
          </w:tcPr>
          <w:p>
            <w:pPr>
              <w:spacing w:after="40" w:before="0" w:line="259" w:lineRule="auto"/>
            </w:pPr>
            <w:r>
              <w:rPr>
                <w:rFonts w:ascii="Calibri" w:hAnsi="Calibri"/>
                <w:b/>
                <w:i w:val="0"/>
                <w:color w:val="212121"/>
                <w:sz w:val="19"/>
              </w:rPr>
              <w:t>Non-bullous prodromal itch</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About 20% present with itch and urticarial lesions but no blisters, delaying diagnosis.</w:t>
            </w:r>
          </w:p>
        </w:tc>
      </w:tr>
      <w:tr>
        <w:trPr>
          <w:cantSplit/>
        </w:trPr>
        <w:tc>
          <w:tcPr>
            <w:tcW w:type="dxa" w:w="2304"/>
            <w:vAlign w:val="top"/>
          </w:tcPr>
          <w:p>
            <w:pPr>
              <w:spacing w:after="40" w:before="0" w:line="259" w:lineRule="auto"/>
            </w:pPr>
            <w:r>
              <w:rPr>
                <w:rFonts w:ascii="Calibri" w:hAnsi="Calibri"/>
                <w:b/>
                <w:i w:val="0"/>
                <w:color w:val="212121"/>
                <w:sz w:val="19"/>
              </w:rPr>
              <w:t>Sleep disturbance</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Severe nocturnal itching disrupts sleep and quality of life.</w:t>
            </w:r>
          </w:p>
        </w:tc>
      </w:tr>
      <w:tr>
        <w:trPr>
          <w:cantSplit/>
        </w:trPr>
        <w:tc>
          <w:tcPr>
            <w:tcW w:type="dxa" w:w="2304"/>
            <w:vAlign w:val="top"/>
          </w:tcPr>
          <w:p>
            <w:pPr>
              <w:spacing w:after="40" w:before="0" w:line="259" w:lineRule="auto"/>
            </w:pPr>
            <w:r>
              <w:rPr>
                <w:rFonts w:ascii="Calibri" w:hAnsi="Calibri"/>
                <w:b/>
                <w:i w:val="0"/>
                <w:color w:val="212121"/>
                <w:sz w:val="19"/>
              </w:rPr>
              <w:t>Oral / mucosal soreness</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Mucosal involvement is uncommon in classic BP; more likely in gliptin-associated disease.</w:t>
            </w:r>
          </w:p>
        </w:tc>
      </w:tr>
      <w:tr>
        <w:trPr>
          <w:cantSplit/>
        </w:trPr>
        <w:tc>
          <w:tcPr>
            <w:tcW w:type="dxa" w:w="2304"/>
            <w:vAlign w:val="top"/>
          </w:tcPr>
          <w:p>
            <w:pPr>
              <w:spacing w:after="40" w:before="0" w:line="259" w:lineRule="auto"/>
            </w:pPr>
            <w:r>
              <w:rPr>
                <w:rFonts w:ascii="Calibri" w:hAnsi="Calibri"/>
                <w:b/>
                <w:i w:val="0"/>
                <w:color w:val="212121"/>
                <w:sz w:val="19"/>
              </w:rPr>
              <w:t>Nodular itchy lesions</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Pemphigoid nodularis variant mimics prurigo nodularis.</w:t>
            </w:r>
          </w:p>
        </w:tc>
      </w:tr>
      <w:tr>
        <w:trPr>
          <w:cantSplit/>
        </w:trPr>
        <w:tc>
          <w:tcPr>
            <w:tcW w:type="dxa" w:w="2304"/>
            <w:vAlign w:val="top"/>
          </w:tcPr>
          <w:p>
            <w:pPr>
              <w:spacing w:after="40" w:before="0" w:line="259" w:lineRule="auto"/>
            </w:pPr>
            <w:r>
              <w:rPr>
                <w:rFonts w:ascii="Calibri" w:hAnsi="Calibri"/>
                <w:b/>
                <w:i w:val="0"/>
                <w:color w:val="212121"/>
                <w:sz w:val="19"/>
              </w:rPr>
              <w:t>Dyshidrosiform palm and sole vesicles</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Vesicles limited to palms and soles in the dyshidrosiform variant.</w:t>
            </w:r>
          </w:p>
        </w:tc>
      </w:tr>
      <w:tr>
        <w:trPr>
          <w:cantSplit/>
        </w:trPr>
        <w:tc>
          <w:tcPr>
            <w:tcW w:type="dxa" w:w="2304"/>
            <w:vAlign w:val="top"/>
          </w:tcPr>
          <w:p>
            <w:pPr>
              <w:spacing w:after="40" w:before="0" w:line="259" w:lineRule="auto"/>
            </w:pPr>
            <w:r>
              <w:rPr>
                <w:rFonts w:ascii="Calibri" w:hAnsi="Calibri"/>
                <w:b/>
                <w:i w:val="0"/>
                <w:color w:val="212121"/>
                <w:sz w:val="19"/>
              </w:rPr>
              <w:t>Generalised redness (erythroderma)</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Rare erythrodermic presentation of widespread inflammatory disease.</w:t>
            </w:r>
          </w:p>
        </w:tc>
      </w:tr>
    </w:tbl>
    <w:p>
      <w:pPr>
        <w:spacing w:before="160" w:after="120"/>
      </w:pPr>
      <w:r>
        <w:rPr>
          <w:rFonts w:ascii="Calibri" w:hAnsi="Calibri"/>
          <w:b/>
          <w:i w:val="0"/>
          <w:color w:val="212121"/>
          <w:sz w:val="22"/>
        </w:rPr>
        <w:t>Signs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3456"/>
            <w:shd w:val="clear" w:color="auto" w:fill="F2F2F2"/>
            <w:vAlign w:val="center"/>
          </w:tcPr>
          <w:p>
            <w:pPr>
              <w:spacing w:after="40" w:before="0" w:line="259" w:lineRule="auto"/>
            </w:pPr>
            <w:r>
              <w:rPr>
                <w:rFonts w:ascii="Calibri" w:hAnsi="Calibri"/>
                <w:b/>
                <w:i w:val="0"/>
                <w:color w:val="212121"/>
                <w:sz w:val="19"/>
              </w:rPr>
              <w:t>Sign</w:t>
            </w:r>
          </w:p>
        </w:tc>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42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3456"/>
            <w:vAlign w:val="top"/>
          </w:tcPr>
          <w:p>
            <w:pPr>
              <w:spacing w:after="40" w:before="0" w:line="259" w:lineRule="auto"/>
            </w:pPr>
            <w:r>
              <w:rPr>
                <w:rFonts w:ascii="Calibri" w:hAnsi="Calibri"/>
                <w:b/>
                <w:i w:val="0"/>
                <w:color w:val="212121"/>
                <w:sz w:val="19"/>
              </w:rPr>
              <w:t>Tense bullae on erythematous or normal skin</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Hallmark firm-roofed subepidermal blisters.</w:t>
            </w:r>
          </w:p>
        </w:tc>
      </w:tr>
      <w:tr>
        <w:trPr>
          <w:cantSplit/>
        </w:trPr>
        <w:tc>
          <w:tcPr>
            <w:tcW w:type="dxa" w:w="3456"/>
            <w:vAlign w:val="top"/>
          </w:tcPr>
          <w:p>
            <w:pPr>
              <w:spacing w:after="40" w:before="0" w:line="259" w:lineRule="auto"/>
            </w:pPr>
            <w:r>
              <w:rPr>
                <w:rFonts w:ascii="Calibri" w:hAnsi="Calibri"/>
                <w:b/>
                <w:i w:val="0"/>
                <w:color w:val="212121"/>
                <w:sz w:val="19"/>
              </w:rPr>
              <w:t>Urticarial / annular erythematous plaques</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Prodromal and coexisting inflammatory lesions.</w:t>
            </w:r>
          </w:p>
        </w:tc>
      </w:tr>
      <w:tr>
        <w:trPr>
          <w:cantSplit/>
        </w:trPr>
        <w:tc>
          <w:tcPr>
            <w:tcW w:type="dxa" w:w="3456"/>
            <w:vAlign w:val="top"/>
          </w:tcPr>
          <w:p>
            <w:pPr>
              <w:spacing w:after="40" w:before="0" w:line="259" w:lineRule="auto"/>
            </w:pPr>
            <w:r>
              <w:rPr>
                <w:rFonts w:ascii="Calibri" w:hAnsi="Calibri"/>
                <w:b/>
                <w:i w:val="0"/>
                <w:color w:val="212121"/>
                <w:sz w:val="19"/>
              </w:rPr>
              <w:t>Negative Nikolsky sign</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Lateral pressure does not extend the blister, unlike pemphigus vulgaris.</w:t>
            </w:r>
          </w:p>
        </w:tc>
      </w:tr>
      <w:tr>
        <w:trPr>
          <w:cantSplit/>
        </w:trPr>
        <w:tc>
          <w:tcPr>
            <w:tcW w:type="dxa" w:w="3456"/>
            <w:vAlign w:val="top"/>
          </w:tcPr>
          <w:p>
            <w:pPr>
              <w:spacing w:after="40" w:before="0" w:line="259" w:lineRule="auto"/>
            </w:pPr>
            <w:r>
              <w:rPr>
                <w:rFonts w:ascii="Calibri" w:hAnsi="Calibri"/>
                <w:b/>
                <w:i w:val="0"/>
                <w:color w:val="212121"/>
                <w:sz w:val="19"/>
              </w:rPr>
              <w:t>Excoriations</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Scratch marks from intense pruritus.</w:t>
            </w:r>
          </w:p>
        </w:tc>
      </w:tr>
      <w:tr>
        <w:trPr>
          <w:cantSplit/>
        </w:trPr>
        <w:tc>
          <w:tcPr>
            <w:tcW w:type="dxa" w:w="3456"/>
            <w:vAlign w:val="top"/>
          </w:tcPr>
          <w:p>
            <w:pPr>
              <w:spacing w:after="40" w:before="0" w:line="259" w:lineRule="auto"/>
            </w:pPr>
            <w:r>
              <w:rPr>
                <w:rFonts w:ascii="Calibri" w:hAnsi="Calibri"/>
                <w:b/>
                <w:i w:val="0"/>
                <w:color w:val="212121"/>
                <w:sz w:val="19"/>
              </w:rPr>
              <w:t>Crusted erosions healing without scarring</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Post-blister erosions re-epithelialise without scars.</w:t>
            </w:r>
          </w:p>
        </w:tc>
      </w:tr>
      <w:tr>
        <w:trPr>
          <w:cantSplit/>
        </w:trPr>
        <w:tc>
          <w:tcPr>
            <w:tcW w:type="dxa" w:w="3456"/>
            <w:vAlign w:val="top"/>
          </w:tcPr>
          <w:p>
            <w:pPr>
              <w:spacing w:after="40" w:before="0" w:line="259" w:lineRule="auto"/>
            </w:pPr>
            <w:r>
              <w:rPr>
                <w:rFonts w:ascii="Calibri" w:hAnsi="Calibri"/>
                <w:b/>
                <w:i w:val="0"/>
                <w:color w:val="212121"/>
                <w:sz w:val="19"/>
              </w:rPr>
              <w:t>Peripheral blood / tissue eosinophilia</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Eosinophil-rich infiltrate on histology; blood eosinophilia parallels activity.</w:t>
            </w:r>
          </w:p>
        </w:tc>
      </w:tr>
      <w:tr>
        <w:trPr>
          <w:cantSplit/>
        </w:trPr>
        <w:tc>
          <w:tcPr>
            <w:tcW w:type="dxa" w:w="3456"/>
            <w:vAlign w:val="top"/>
          </w:tcPr>
          <w:p>
            <w:pPr>
              <w:spacing w:after="40" w:before="0" w:line="259" w:lineRule="auto"/>
            </w:pPr>
            <w:r>
              <w:rPr>
                <w:rFonts w:ascii="Calibri" w:hAnsi="Calibri"/>
                <w:b/>
                <w:i w:val="0"/>
                <w:color w:val="212121"/>
                <w:sz w:val="19"/>
              </w:rPr>
              <w:t>Post-inflammatory hyperpigmentation</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Prominent in Indian and darker skin at healed sites.</w:t>
            </w:r>
          </w:p>
        </w:tc>
      </w:tr>
      <w:tr>
        <w:trPr>
          <w:cantSplit/>
        </w:trPr>
        <w:tc>
          <w:tcPr>
            <w:tcW w:type="dxa" w:w="3456"/>
            <w:vAlign w:val="top"/>
          </w:tcPr>
          <w:p>
            <w:pPr>
              <w:spacing w:after="40" w:before="0" w:line="259" w:lineRule="auto"/>
            </w:pPr>
            <w:r>
              <w:rPr>
                <w:rFonts w:ascii="Calibri" w:hAnsi="Calibri"/>
                <w:b/>
                <w:i w:val="0"/>
                <w:color w:val="212121"/>
                <w:sz w:val="19"/>
              </w:rPr>
              <w:t>Milia at healed sites</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Small keratin cysts where blisters have healed.</w:t>
            </w:r>
          </w:p>
        </w:tc>
      </w:tr>
      <w:tr>
        <w:trPr>
          <w:cantSplit/>
        </w:trPr>
        <w:tc>
          <w:tcPr>
            <w:tcW w:type="dxa" w:w="3456"/>
            <w:vAlign w:val="top"/>
          </w:tcPr>
          <w:p>
            <w:pPr>
              <w:spacing w:after="40" w:before="0" w:line="259" w:lineRule="auto"/>
            </w:pPr>
            <w:r>
              <w:rPr>
                <w:rFonts w:ascii="Calibri" w:hAnsi="Calibri"/>
                <w:b/>
                <w:i w:val="0"/>
                <w:color w:val="212121"/>
                <w:sz w:val="19"/>
              </w:rPr>
              <w:t>Mucosal erosions</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Oral erosions, more frequent in gliptin-associated disease.</w:t>
            </w:r>
          </w:p>
        </w:tc>
      </w:tr>
      <w:tr>
        <w:trPr>
          <w:cantSplit/>
        </w:trPr>
        <w:tc>
          <w:tcPr>
            <w:tcW w:type="dxa" w:w="3456"/>
            <w:vAlign w:val="top"/>
          </w:tcPr>
          <w:p>
            <w:pPr>
              <w:spacing w:after="40" w:before="0" w:line="259" w:lineRule="auto"/>
            </w:pPr>
            <w:r>
              <w:rPr>
                <w:rFonts w:ascii="Calibri" w:hAnsi="Calibri"/>
                <w:b/>
                <w:i w:val="0"/>
                <w:color w:val="212121"/>
                <w:sz w:val="19"/>
              </w:rPr>
              <w:t>Secondary impetiginisation / pyoderma</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Superadded bacterial infection of erosions; warns of sepsis risk.</w:t>
            </w:r>
          </w:p>
        </w:tc>
      </w:tr>
    </w:tbl>
    <w:p>
      <w:pPr>
        <w:spacing w:before="200" w:after="120"/>
      </w:pPr>
      <w:r>
        <w:rPr>
          <w:rFonts w:ascii="Calibri" w:hAnsi="Calibri"/>
          <w:b/>
          <w:i w:val="0"/>
          <w:color w:val="212121"/>
          <w:sz w:val="25"/>
        </w:rPr>
        <w:t>Concomitant conditions</w:t>
      </w:r>
    </w:p>
    <w:p>
      <w:pPr>
        <w:spacing w:before="160" w:after="120"/>
      </w:pPr>
      <w:r>
        <w:rPr>
          <w:rFonts w:ascii="Calibri" w:hAnsi="Calibri"/>
          <w:b/>
          <w:i w:val="0"/>
          <w:color w:val="212121"/>
          <w:sz w:val="22"/>
        </w:rPr>
        <w:t>Relationship Types (classification key)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802"/>
        <w:gridCol w:w="4802"/>
      </w:tblGrid>
      <w:tr>
        <w:trPr>
          <w:cantSplit/>
        </w:trPr>
        <w:tc>
          <w:tcPr>
            <w:tcW w:type="dxa" w:w="2808"/>
            <w:shd w:val="clear" w:color="auto" w:fill="F2F2F2"/>
            <w:vAlign w:val="center"/>
          </w:tcPr>
          <w:p>
            <w:pPr>
              <w:spacing w:after="40" w:before="0" w:line="259" w:lineRule="auto"/>
            </w:pPr>
            <w:r>
              <w:rPr>
                <w:rFonts w:ascii="Calibri" w:hAnsi="Calibri"/>
                <w:b/>
                <w:i w:val="0"/>
                <w:color w:val="212121"/>
                <w:sz w:val="19"/>
              </w:rPr>
              <w:t>Relationship type</w:t>
            </w:r>
          </w:p>
        </w:tc>
        <w:tc>
          <w:tcPr>
            <w:tcW w:type="dxa" w:w="6796"/>
            <w:shd w:val="clear" w:color="auto" w:fill="F2F2F2"/>
            <w:vAlign w:val="center"/>
          </w:tcPr>
          <w:p>
            <w:pPr>
              <w:spacing w:after="40" w:before="0" w:line="259" w:lineRule="auto"/>
            </w:pPr>
            <w:r>
              <w:rPr>
                <w:rFonts w:ascii="Calibri" w:hAnsi="Calibri"/>
                <w:b/>
                <w:i w:val="0"/>
                <w:color w:val="212121"/>
                <w:sz w:val="19"/>
              </w:rPr>
              <w:t>Definition</w:t>
            </w:r>
          </w:p>
        </w:tc>
      </w:tr>
      <w:tr>
        <w:trPr>
          <w:cantSplit/>
        </w:trPr>
        <w:tc>
          <w:tcPr>
            <w:tcW w:type="dxa" w:w="2808"/>
            <w:vAlign w:val="top"/>
          </w:tcPr>
          <w:p>
            <w:pPr>
              <w:spacing w:after="40" w:before="0" w:line="259" w:lineRule="auto"/>
            </w:pPr>
            <w:r>
              <w:rPr>
                <w:rFonts w:ascii="Calibri" w:hAnsi="Calibri"/>
                <w:b/>
                <w:i w:val="0"/>
                <w:color w:val="212121"/>
                <w:sz w:val="19"/>
              </w:rPr>
              <w:t>Predisposes To</w:t>
            </w:r>
          </w:p>
        </w:tc>
        <w:tc>
          <w:tcPr>
            <w:tcW w:type="dxa" w:w="6796"/>
            <w:vAlign w:val="top"/>
          </w:tcPr>
          <w:p>
            <w:pPr>
              <w:spacing w:after="40" w:before="0" w:line="259" w:lineRule="auto"/>
            </w:pPr>
            <w:r>
              <w:rPr>
                <w:rFonts w:ascii="Calibri" w:hAnsi="Calibri"/>
                <w:b w:val="0"/>
                <w:i w:val="0"/>
                <w:color w:val="212121"/>
                <w:sz w:val="19"/>
              </w:rPr>
              <w:t>One condition increases the likelihood of developing another.</w:t>
            </w:r>
          </w:p>
        </w:tc>
      </w:tr>
      <w:tr>
        <w:trPr>
          <w:cantSplit/>
        </w:trPr>
        <w:tc>
          <w:tcPr>
            <w:tcW w:type="dxa" w:w="2808"/>
            <w:vAlign w:val="top"/>
          </w:tcPr>
          <w:p>
            <w:pPr>
              <w:spacing w:after="40" w:before="0" w:line="259" w:lineRule="auto"/>
            </w:pPr>
            <w:r>
              <w:rPr>
                <w:rFonts w:ascii="Calibri" w:hAnsi="Calibri"/>
                <w:b/>
                <w:i w:val="0"/>
                <w:color w:val="212121"/>
                <w:sz w:val="19"/>
              </w:rPr>
              <w:t>Bidirectional Association</w:t>
            </w:r>
          </w:p>
        </w:tc>
        <w:tc>
          <w:tcPr>
            <w:tcW w:type="dxa" w:w="6796"/>
            <w:vAlign w:val="top"/>
          </w:tcPr>
          <w:p>
            <w:pPr>
              <w:spacing w:after="40" w:before="0" w:line="259" w:lineRule="auto"/>
            </w:pPr>
            <w:r>
              <w:rPr>
                <w:rFonts w:ascii="Calibri" w:hAnsi="Calibri"/>
                <w:b w:val="0"/>
                <w:i w:val="0"/>
                <w:color w:val="212121"/>
                <w:sz w:val="19"/>
              </w:rPr>
              <w:t>Both conditions influence each other.</w:t>
            </w:r>
          </w:p>
        </w:tc>
      </w:tr>
      <w:tr>
        <w:trPr>
          <w:cantSplit/>
        </w:trPr>
        <w:tc>
          <w:tcPr>
            <w:tcW w:type="dxa" w:w="2808"/>
            <w:vAlign w:val="top"/>
          </w:tcPr>
          <w:p>
            <w:pPr>
              <w:spacing w:after="40" w:before="0" w:line="259" w:lineRule="auto"/>
            </w:pPr>
            <w:r>
              <w:rPr>
                <w:rFonts w:ascii="Calibri" w:hAnsi="Calibri"/>
                <w:b/>
                <w:i w:val="0"/>
                <w:color w:val="212121"/>
                <w:sz w:val="19"/>
              </w:rPr>
              <w:t>Shared Pathophysiology</w:t>
            </w:r>
          </w:p>
        </w:tc>
        <w:tc>
          <w:tcPr>
            <w:tcW w:type="dxa" w:w="6796"/>
            <w:vAlign w:val="top"/>
          </w:tcPr>
          <w:p>
            <w:pPr>
              <w:spacing w:after="40" w:before="0" w:line="259" w:lineRule="auto"/>
            </w:pPr>
            <w:r>
              <w:rPr>
                <w:rFonts w:ascii="Calibri" w:hAnsi="Calibri"/>
                <w:b w:val="0"/>
                <w:i w:val="0"/>
                <w:color w:val="212121"/>
                <w:sz w:val="19"/>
              </w:rPr>
              <w:t>Common biological mechanisms and shared etiologies.</w:t>
            </w:r>
          </w:p>
        </w:tc>
      </w:tr>
      <w:tr>
        <w:trPr>
          <w:cantSplit/>
        </w:trPr>
        <w:tc>
          <w:tcPr>
            <w:tcW w:type="dxa" w:w="2808"/>
            <w:vAlign w:val="top"/>
          </w:tcPr>
          <w:p>
            <w:pPr>
              <w:spacing w:after="40" w:before="0" w:line="259" w:lineRule="auto"/>
            </w:pPr>
            <w:r>
              <w:rPr>
                <w:rFonts w:ascii="Calibri" w:hAnsi="Calibri"/>
                <w:b/>
                <w:i w:val="0"/>
                <w:color w:val="212121"/>
                <w:sz w:val="19"/>
              </w:rPr>
              <w:t>Complication Of</w:t>
            </w:r>
          </w:p>
        </w:tc>
        <w:tc>
          <w:tcPr>
            <w:tcW w:type="dxa" w:w="6796"/>
            <w:vAlign w:val="top"/>
          </w:tcPr>
          <w:p>
            <w:pPr>
              <w:spacing w:after="40" w:before="0" w:line="259" w:lineRule="auto"/>
            </w:pPr>
            <w:r>
              <w:rPr>
                <w:rFonts w:ascii="Calibri" w:hAnsi="Calibri"/>
                <w:b w:val="0"/>
                <w:i w:val="0"/>
                <w:color w:val="212121"/>
                <w:sz w:val="19"/>
              </w:rPr>
              <w:t>One condition develops as a consequence of the other.</w:t>
            </w:r>
          </w:p>
        </w:tc>
      </w:tr>
      <w:tr>
        <w:trPr>
          <w:cantSplit/>
        </w:trPr>
        <w:tc>
          <w:tcPr>
            <w:tcW w:type="dxa" w:w="2808"/>
            <w:vAlign w:val="top"/>
          </w:tcPr>
          <w:p>
            <w:pPr>
              <w:spacing w:after="40" w:before="0" w:line="259" w:lineRule="auto"/>
            </w:pPr>
            <w:r>
              <w:rPr>
                <w:rFonts w:ascii="Calibri" w:hAnsi="Calibri"/>
                <w:b/>
                <w:i w:val="0"/>
                <w:color w:val="212121"/>
                <w:sz w:val="19"/>
              </w:rPr>
              <w:t>Treatment Interaction</w:t>
            </w:r>
          </w:p>
        </w:tc>
        <w:tc>
          <w:tcPr>
            <w:tcW w:type="dxa" w:w="6796"/>
            <w:vAlign w:val="top"/>
          </w:tcPr>
          <w:p>
            <w:pPr>
              <w:spacing w:after="40" w:before="0" w:line="259" w:lineRule="auto"/>
            </w:pPr>
            <w:r>
              <w:rPr>
                <w:rFonts w:ascii="Calibri" w:hAnsi="Calibri"/>
                <w:b w:val="0"/>
                <w:i w:val="0"/>
                <w:color w:val="212121"/>
                <w:sz w:val="19"/>
              </w:rPr>
              <w:t>Treatment of one condition affects the other.</w:t>
            </w:r>
          </w:p>
        </w:tc>
      </w:tr>
      <w:tr>
        <w:trPr>
          <w:cantSplit/>
        </w:trPr>
        <w:tc>
          <w:tcPr>
            <w:tcW w:type="dxa" w:w="2808"/>
            <w:vAlign w:val="top"/>
          </w:tcPr>
          <w:p>
            <w:pPr>
              <w:spacing w:after="40" w:before="0" w:line="259" w:lineRule="auto"/>
            </w:pPr>
            <w:r>
              <w:rPr>
                <w:rFonts w:ascii="Calibri" w:hAnsi="Calibri"/>
                <w:b/>
                <w:i w:val="0"/>
                <w:color w:val="212121"/>
                <w:sz w:val="19"/>
              </w:rPr>
              <w:t>Clinical Management Impact</w:t>
            </w:r>
          </w:p>
        </w:tc>
        <w:tc>
          <w:tcPr>
            <w:tcW w:type="dxa" w:w="6796"/>
            <w:vAlign w:val="top"/>
          </w:tcPr>
          <w:p>
            <w:pPr>
              <w:spacing w:after="40" w:before="0" w:line="259" w:lineRule="auto"/>
            </w:pPr>
            <w:r>
              <w:rPr>
                <w:rFonts w:ascii="Calibri" w:hAnsi="Calibri"/>
                <w:b w:val="0"/>
                <w:i w:val="0"/>
                <w:color w:val="212121"/>
                <w:sz w:val="19"/>
              </w:rPr>
              <w:t>Coexistence alters diagnosis, monitoring, prognosis, or treatment planning.</w:t>
            </w:r>
          </w:p>
        </w:tc>
      </w:tr>
    </w:tbl>
    <w:p>
      <w:pPr>
        <w:spacing w:before="160" w:after="120"/>
      </w:pPr>
      <w:r>
        <w:rPr>
          <w:rFonts w:ascii="Calibri" w:hAnsi="Calibri"/>
          <w:b/>
          <w:i w:val="0"/>
          <w:color w:val="212121"/>
          <w:sz w:val="22"/>
        </w:rPr>
        <w:t>Complications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896"/>
            <w:shd w:val="clear" w:color="auto" w:fill="F2F2F2"/>
            <w:vAlign w:val="center"/>
          </w:tcPr>
          <w:p>
            <w:pPr>
              <w:spacing w:after="40" w:before="0" w:line="259" w:lineRule="auto"/>
            </w:pPr>
            <w:r>
              <w:rPr>
                <w:rFonts w:ascii="Calibri" w:hAnsi="Calibri"/>
                <w:b/>
                <w:i w:val="0"/>
                <w:color w:val="212121"/>
                <w:sz w:val="19"/>
              </w:rPr>
              <w:t>Complications</w:t>
            </w:r>
          </w:p>
        </w:tc>
        <w:tc>
          <w:tcPr>
            <w:tcW w:type="dxa" w:w="298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728"/>
            <w:vAlign w:val="top"/>
          </w:tcPr>
          <w:p>
            <w:pPr>
              <w:spacing w:after="40" w:before="0" w:line="259" w:lineRule="auto"/>
            </w:pPr>
            <w:r>
              <w:rPr>
                <w:rFonts w:ascii="Calibri" w:hAnsi="Calibri"/>
                <w:b/>
                <w:i w:val="0"/>
                <w:color w:val="212121"/>
                <w:sz w:val="19"/>
              </w:rPr>
              <w:t>Primary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Widespread tense bullae and painful erosions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Intractable pruritus with sleep loss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Fluid, electrolyte and protein (albumin) loss from denuded skin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Secondary bacterial colonisation and infection of erosions</w:t>
            </w:r>
          </w:p>
        </w:tc>
        <w:tc>
          <w:tcPr>
            <w:tcW w:type="dxa" w:w="2980"/>
            <w:vAlign w:val="top"/>
          </w:tcPr>
          <w:p>
            <w:pPr>
              <w:spacing w:after="40" w:before="0" w:line="259" w:lineRule="auto"/>
            </w:pPr>
            <w:r>
              <w:rPr>
                <w:rFonts w:ascii="Calibri" w:hAnsi="Calibri"/>
                <w:b w:val="0"/>
                <w:i w:val="0"/>
                <w:color w:val="212121"/>
                <w:sz w:val="19"/>
              </w:rPr>
              <w:t>Direct consequences of extensive subepidermal blistering and loss of the skin barrier.</w:t>
            </w:r>
          </w:p>
        </w:tc>
      </w:tr>
      <w:tr>
        <w:trPr>
          <w:cantSplit/>
        </w:trPr>
        <w:tc>
          <w:tcPr>
            <w:tcW w:type="dxa" w:w="1728"/>
            <w:vAlign w:val="top"/>
          </w:tcPr>
          <w:p>
            <w:pPr>
              <w:spacing w:after="40" w:before="0" w:line="259" w:lineRule="auto"/>
            </w:pPr>
            <w:r>
              <w:rPr>
                <w:rFonts w:ascii="Calibri" w:hAnsi="Calibri"/>
                <w:b/>
                <w:i w:val="0"/>
                <w:color w:val="212121"/>
                <w:sz w:val="19"/>
              </w:rPr>
              <w:t>Secondary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Cellulitis, bacteraemia and sepsis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Adverse effects of systemic corticosteroids (steroid-induced hyperglycaemia, hypertension, osteoporosis, immunosuppression, gastrointestinal bleeding)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Adverse effects of immunosuppressants (azathioprine, methotrexate, mycophenolate mofetil)</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Venous thromboembolism from immobility and systemic inflammation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Worsening glycaemic and blood-pressure control</w:t>
            </w:r>
          </w:p>
        </w:tc>
        <w:tc>
          <w:tcPr>
            <w:tcW w:type="dxa" w:w="2980"/>
            <w:vAlign w:val="top"/>
          </w:tcPr>
          <w:p>
            <w:pPr>
              <w:spacing w:after="40" w:before="0" w:line="259" w:lineRule="auto"/>
            </w:pPr>
            <w:r>
              <w:rPr>
                <w:rFonts w:ascii="Calibri" w:hAnsi="Calibri"/>
                <w:b w:val="0"/>
                <w:i w:val="0"/>
                <w:color w:val="212121"/>
                <w:sz w:val="19"/>
              </w:rPr>
              <w:t>Arise from infection, immobility and the systemic therapies required to control the disease.</w:t>
            </w:r>
          </w:p>
        </w:tc>
      </w:tr>
      <w:tr>
        <w:trPr>
          <w:cantSplit/>
        </w:trPr>
        <w:tc>
          <w:tcPr>
            <w:tcW w:type="dxa" w:w="1728"/>
            <w:vAlign w:val="top"/>
          </w:tcPr>
          <w:p>
            <w:pPr>
              <w:spacing w:after="40" w:before="0" w:line="259" w:lineRule="auto"/>
            </w:pPr>
            <w:r>
              <w:rPr>
                <w:rFonts w:ascii="Calibri" w:hAnsi="Calibri"/>
                <w:b/>
                <w:i w:val="0"/>
                <w:color w:val="212121"/>
                <w:sz w:val="19"/>
              </w:rPr>
              <w:t>Tertiary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Significantly increased mortality (1-year mortality about 21%; all-cause hazard ratio about 2.1)</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Death from cardiovascular disease and sepsis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Chronic relapsing course requiring prolonged therapy, often for years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Disability, dependence and institutionalisation, especially with coexisting dementia or stroke</w:t>
            </w:r>
          </w:p>
        </w:tc>
        <w:tc>
          <w:tcPr>
            <w:tcW w:type="dxa" w:w="2980"/>
            <w:vAlign w:val="top"/>
          </w:tcPr>
          <w:p>
            <w:pPr>
              <w:spacing w:after="40" w:before="0" w:line="259" w:lineRule="auto"/>
            </w:pPr>
            <w:r>
              <w:rPr>
                <w:rFonts w:ascii="Calibri" w:hAnsi="Calibri"/>
                <w:b w:val="0"/>
                <w:i w:val="0"/>
                <w:color w:val="212121"/>
                <w:sz w:val="19"/>
              </w:rPr>
              <w:t>Reflects the frail, comorbid elderly population; cardiovascular disease is the single largest cause of death (about 25% of deaths).</w:t>
            </w:r>
          </w:p>
        </w:tc>
      </w:tr>
    </w:tbl>
    <w:p>
      <w:pPr>
        <w:spacing w:before="160" w:after="120"/>
      </w:pPr>
      <w:r>
        <w:rPr>
          <w:rFonts w:ascii="Calibri" w:hAnsi="Calibri"/>
          <w:b/>
          <w:i w:val="0"/>
          <w:color w:val="212121"/>
          <w:sz w:val="22"/>
        </w:rPr>
        <w:t>Associated Medical Conditions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232"/>
            <w:shd w:val="clear" w:color="auto" w:fill="F2F2F2"/>
            <w:vAlign w:val="center"/>
          </w:tcPr>
          <w:p>
            <w:pPr>
              <w:spacing w:after="40" w:before="0" w:line="259" w:lineRule="auto"/>
            </w:pPr>
            <w:r>
              <w:rPr>
                <w:rFonts w:ascii="Calibri" w:hAnsi="Calibri"/>
                <w:b/>
                <w:i w:val="0"/>
                <w:color w:val="212121"/>
                <w:sz w:val="19"/>
              </w:rPr>
              <w:t>AMC</w:t>
            </w:r>
          </w:p>
        </w:tc>
        <w:tc>
          <w:tcPr>
            <w:tcW w:type="dxa" w:w="2520"/>
            <w:shd w:val="clear" w:color="auto" w:fill="F2F2F2"/>
            <w:vAlign w:val="center"/>
          </w:tcPr>
          <w:p>
            <w:pPr>
              <w:spacing w:after="40" w:before="0" w:line="259" w:lineRule="auto"/>
            </w:pPr>
            <w:r>
              <w:rPr>
                <w:rFonts w:ascii="Calibri" w:hAnsi="Calibri"/>
                <w:b/>
                <w:i w:val="0"/>
                <w:color w:val="212121"/>
                <w:sz w:val="19"/>
              </w:rPr>
              <w:t>Relationship</w:t>
            </w:r>
          </w:p>
        </w:tc>
        <w:tc>
          <w:tcPr>
            <w:tcW w:type="dxa" w:w="4852"/>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232"/>
            <w:vAlign w:val="top"/>
          </w:tcPr>
          <w:p>
            <w:pPr>
              <w:spacing w:after="40" w:before="0" w:line="259" w:lineRule="auto"/>
            </w:pPr>
            <w:r>
              <w:rPr>
                <w:rFonts w:ascii="Calibri" w:hAnsi="Calibri"/>
                <w:b/>
                <w:i w:val="0"/>
                <w:color w:val="212121"/>
                <w:sz w:val="19"/>
              </w:rPr>
              <w:t>Neurological disorders (stroke, dementia, Parkinson's, MS, epilepsy)</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Strongest BP association; collagen XVII (BP180) is shared by skin and the CNS, and neurological disease usually precedes BP by years.</w:t>
            </w:r>
          </w:p>
          <w:p>
            <w:pPr>
              <w:spacing w:after="40" w:before="0" w:line="259" w:lineRule="auto"/>
            </w:pPr>
            <w:r>
              <w:rPr>
                <w:rFonts w:ascii="Calibri" w:hAnsi="Calibri"/>
                <w:b/>
                <w:i w:val="0"/>
                <w:color w:val="212121"/>
                <w:sz w:val="19"/>
              </w:rPr>
              <w:t>~17% (India)</w:t>
            </w:r>
          </w:p>
        </w:tc>
      </w:tr>
      <w:tr>
        <w:trPr>
          <w:cantSplit/>
        </w:trPr>
        <w:tc>
          <w:tcPr>
            <w:tcW w:type="dxa" w:w="2232"/>
            <w:vAlign w:val="top"/>
          </w:tcPr>
          <w:p>
            <w:pPr>
              <w:spacing w:after="40" w:before="0" w:line="259" w:lineRule="auto"/>
            </w:pPr>
            <w:r>
              <w:rPr>
                <w:rFonts w:ascii="Calibri" w:hAnsi="Calibri"/>
                <w:b/>
                <w:i w:val="0"/>
                <w:color w:val="212121"/>
                <w:sz w:val="19"/>
              </w:rPr>
              <w:t>Type 2 diabetes mellitus</w:t>
            </w:r>
          </w:p>
        </w:tc>
        <w:tc>
          <w:tcPr>
            <w:tcW w:type="dxa" w:w="2520"/>
            <w:vAlign w:val="top"/>
          </w:tcPr>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Treatment Interaction</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Commonest comorbidity in Indian BP; DPP-4 inhibitors (gliptins) are a reversible trigger, and corticosteroids used for BP worsen glycaemia.</w:t>
            </w:r>
          </w:p>
          <w:p>
            <w:pPr>
              <w:spacing w:after="40" w:before="0" w:line="259" w:lineRule="auto"/>
            </w:pPr>
            <w:r>
              <w:rPr>
                <w:rFonts w:ascii="Calibri" w:hAnsi="Calibri"/>
                <w:b/>
                <w:i w:val="0"/>
                <w:color w:val="212121"/>
                <w:sz w:val="19"/>
              </w:rPr>
              <w:t>38.5% (India)</w:t>
            </w:r>
          </w:p>
        </w:tc>
      </w:tr>
      <w:tr>
        <w:trPr>
          <w:cantSplit/>
        </w:trPr>
        <w:tc>
          <w:tcPr>
            <w:tcW w:type="dxa" w:w="2232"/>
            <w:vAlign w:val="top"/>
          </w:tcPr>
          <w:p>
            <w:pPr>
              <w:spacing w:after="40" w:before="0" w:line="259" w:lineRule="auto"/>
            </w:pPr>
            <w:r>
              <w:rPr>
                <w:rFonts w:ascii="Calibri" w:hAnsi="Calibri"/>
                <w:b/>
                <w:i w:val="0"/>
                <w:color w:val="212121"/>
                <w:sz w:val="19"/>
              </w:rPr>
              <w:t>Hypertension</w:t>
            </w:r>
          </w:p>
        </w:tc>
        <w:tc>
          <w:tcPr>
            <w:tcW w:type="dxa" w:w="2520"/>
            <w:vAlign w:val="top"/>
          </w:tcPr>
          <w:p>
            <w:pPr>
              <w:spacing w:after="40" w:before="0" w:line="259" w:lineRule="auto"/>
            </w:pPr>
            <w:r>
              <w:rPr>
                <w:rFonts w:ascii="Calibri" w:hAnsi="Calibri"/>
                <w:b w:val="0"/>
                <w:i w:val="0"/>
                <w:color w:val="212121"/>
                <w:sz w:val="18"/>
              </w:rPr>
              <w:t>• Clinical Management Impact</w:t>
            </w:r>
          </w:p>
          <w:p>
            <w:pPr>
              <w:spacing w:after="40" w:before="0" w:line="259" w:lineRule="auto"/>
            </w:pPr>
            <w:r>
              <w:rPr>
                <w:rFonts w:ascii="Calibri" w:hAnsi="Calibri"/>
                <w:b w:val="0"/>
                <w:i w:val="0"/>
                <w:color w:val="212121"/>
                <w:sz w:val="18"/>
              </w:rPr>
              <w:t>• Treatment Interaction</w:t>
            </w:r>
          </w:p>
        </w:tc>
        <w:tc>
          <w:tcPr>
            <w:tcW w:type="dxa" w:w="4852"/>
            <w:vAlign w:val="top"/>
          </w:tcPr>
          <w:p>
            <w:pPr>
              <w:spacing w:after="40" w:before="0" w:line="259" w:lineRule="auto"/>
            </w:pPr>
            <w:r>
              <w:rPr>
                <w:rFonts w:ascii="Calibri" w:hAnsi="Calibri"/>
                <w:b w:val="0"/>
                <w:i w:val="0"/>
                <w:color w:val="212121"/>
                <w:sz w:val="19"/>
              </w:rPr>
              <w:t>Frequent comorbidity; diuretics can trigger BP and corticosteroids worsen blood-pressure control.</w:t>
            </w:r>
          </w:p>
          <w:p>
            <w:pPr>
              <w:spacing w:after="40" w:before="0" w:line="259" w:lineRule="auto"/>
            </w:pPr>
            <w:r>
              <w:rPr>
                <w:rFonts w:ascii="Calibri" w:hAnsi="Calibri"/>
                <w:b/>
                <w:i w:val="0"/>
                <w:color w:val="212121"/>
                <w:sz w:val="19"/>
              </w:rPr>
              <w:t>36.4% (India)</w:t>
            </w:r>
          </w:p>
        </w:tc>
      </w:tr>
      <w:tr>
        <w:trPr>
          <w:cantSplit/>
        </w:trPr>
        <w:tc>
          <w:tcPr>
            <w:tcW w:type="dxa" w:w="2232"/>
            <w:vAlign w:val="top"/>
          </w:tcPr>
          <w:p>
            <w:pPr>
              <w:spacing w:after="40" w:before="0" w:line="259" w:lineRule="auto"/>
            </w:pPr>
            <w:r>
              <w:rPr>
                <w:rFonts w:ascii="Calibri" w:hAnsi="Calibri"/>
                <w:b/>
                <w:i w:val="0"/>
                <w:color w:val="212121"/>
                <w:sz w:val="19"/>
              </w:rPr>
              <w:t>Stroke (cerebrovascular disease)</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A first-ever stroke measurably increases later BP risk through blood-brain-barrier antigen exposure.</w:t>
            </w:r>
          </w:p>
          <w:p>
            <w:pPr>
              <w:spacing w:after="40" w:before="0" w:line="259" w:lineRule="auto"/>
            </w:pPr>
            <w:r>
              <w:rPr>
                <w:rFonts w:ascii="Calibri" w:hAnsi="Calibri"/>
                <w:b/>
                <w:i w:val="0"/>
                <w:color w:val="212121"/>
                <w:sz w:val="19"/>
              </w:rPr>
              <w:t>0.3% develop BP after stroke</w:t>
            </w:r>
          </w:p>
        </w:tc>
      </w:tr>
      <w:tr>
        <w:trPr>
          <w:cantSplit/>
        </w:trPr>
        <w:tc>
          <w:tcPr>
            <w:tcW w:type="dxa" w:w="2232"/>
            <w:vAlign w:val="top"/>
          </w:tcPr>
          <w:p>
            <w:pPr>
              <w:spacing w:after="40" w:before="0" w:line="259" w:lineRule="auto"/>
            </w:pPr>
            <w:r>
              <w:rPr>
                <w:rFonts w:ascii="Calibri" w:hAnsi="Calibri"/>
                <w:b/>
                <w:i w:val="0"/>
                <w:color w:val="212121"/>
                <w:sz w:val="19"/>
              </w:rPr>
              <w:t>Dementia</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Among the strongest associations (relative risk about 4.5); coexistence complicates adherence and care.</w:t>
            </w:r>
          </w:p>
        </w:tc>
      </w:tr>
      <w:tr>
        <w:trPr>
          <w:cantSplit/>
        </w:trPr>
        <w:tc>
          <w:tcPr>
            <w:tcW w:type="dxa" w:w="2232"/>
            <w:vAlign w:val="top"/>
          </w:tcPr>
          <w:p>
            <w:pPr>
              <w:spacing w:after="40" w:before="0" w:line="259" w:lineRule="auto"/>
            </w:pPr>
            <w:r>
              <w:rPr>
                <w:rFonts w:ascii="Calibri" w:hAnsi="Calibri"/>
                <w:b/>
                <w:i w:val="0"/>
                <w:color w:val="212121"/>
                <w:sz w:val="19"/>
              </w:rPr>
              <w:t>Parkinson's disease</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Associated about 3-fold; shared neuro-cutaneous antigen (collagen XVII).</w:t>
            </w:r>
          </w:p>
        </w:tc>
      </w:tr>
      <w:tr>
        <w:trPr>
          <w:cantSplit/>
        </w:trPr>
        <w:tc>
          <w:tcPr>
            <w:tcW w:type="dxa" w:w="2232"/>
            <w:vAlign w:val="top"/>
          </w:tcPr>
          <w:p>
            <w:pPr>
              <w:spacing w:after="40" w:before="0" w:line="259" w:lineRule="auto"/>
            </w:pPr>
            <w:r>
              <w:rPr>
                <w:rFonts w:ascii="Calibri" w:hAnsi="Calibri"/>
                <w:b/>
                <w:i w:val="0"/>
                <w:color w:val="212121"/>
                <w:sz w:val="19"/>
              </w:rPr>
              <w:t>Psoriasis</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Treatment Interaction</w:t>
            </w:r>
          </w:p>
        </w:tc>
        <w:tc>
          <w:tcPr>
            <w:tcW w:type="dxa" w:w="4852"/>
            <w:vAlign w:val="top"/>
          </w:tcPr>
          <w:p>
            <w:pPr>
              <w:spacing w:after="40" w:before="0" w:line="259" w:lineRule="auto"/>
            </w:pPr>
            <w:r>
              <w:rPr>
                <w:rFonts w:ascii="Calibri" w:hAnsi="Calibri"/>
                <w:b w:val="0"/>
                <w:i w:val="0"/>
                <w:color w:val="212121"/>
                <w:sz w:val="19"/>
              </w:rPr>
              <w:t>A history of psoriasis and its phototherapy can precipitate BP.</w:t>
            </w:r>
          </w:p>
        </w:tc>
      </w:tr>
      <w:tr>
        <w:trPr>
          <w:cantSplit/>
        </w:trPr>
        <w:tc>
          <w:tcPr>
            <w:tcW w:type="dxa" w:w="2232"/>
            <w:vAlign w:val="top"/>
          </w:tcPr>
          <w:p>
            <w:pPr>
              <w:spacing w:after="40" w:before="0" w:line="259" w:lineRule="auto"/>
            </w:pPr>
            <w:r>
              <w:rPr>
                <w:rFonts w:ascii="Calibri" w:hAnsi="Calibri"/>
                <w:b/>
                <w:i w:val="0"/>
                <w:color w:val="212121"/>
                <w:sz w:val="19"/>
              </w:rPr>
              <w:t>Cardiovascular disease</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Leading cause of death in BP, driven by age, comorbidity and corticosteroid therapy.</w:t>
            </w:r>
          </w:p>
          <w:p>
            <w:pPr>
              <w:spacing w:after="40" w:before="0" w:line="259" w:lineRule="auto"/>
            </w:pPr>
            <w:r>
              <w:rPr>
                <w:rFonts w:ascii="Calibri" w:hAnsi="Calibri"/>
                <w:b/>
                <w:i w:val="0"/>
                <w:color w:val="212121"/>
                <w:sz w:val="19"/>
              </w:rPr>
              <w:t>~25% of BP deaths</w:t>
            </w:r>
          </w:p>
        </w:tc>
      </w:tr>
      <w:tr>
        <w:trPr>
          <w:cantSplit/>
        </w:trPr>
        <w:tc>
          <w:tcPr>
            <w:tcW w:type="dxa" w:w="2232"/>
            <w:vAlign w:val="top"/>
          </w:tcPr>
          <w:p>
            <w:pPr>
              <w:spacing w:after="40" w:before="0" w:line="259" w:lineRule="auto"/>
            </w:pPr>
            <w:r>
              <w:rPr>
                <w:rFonts w:ascii="Calibri" w:hAnsi="Calibri"/>
                <w:b/>
                <w:i w:val="0"/>
                <w:color w:val="212121"/>
                <w:sz w:val="19"/>
              </w:rPr>
              <w:t>Depression &amp; anxiety</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Bidirectional Association</w:t>
            </w:r>
          </w:p>
        </w:tc>
        <w:tc>
          <w:tcPr>
            <w:tcW w:type="dxa" w:w="4852"/>
            <w:vAlign w:val="top"/>
          </w:tcPr>
          <w:p>
            <w:pPr>
              <w:spacing w:after="40" w:before="0" w:line="259" w:lineRule="auto"/>
            </w:pPr>
            <w:r>
              <w:rPr>
                <w:rFonts w:ascii="Calibri" w:hAnsi="Calibri"/>
                <w:b w:val="0"/>
                <w:i w:val="0"/>
                <w:color w:val="212121"/>
                <w:sz w:val="19"/>
              </w:rPr>
              <w:t>Chronic pruritus, visible disease and disability reduce quality of life and mood.</w:t>
            </w:r>
          </w:p>
        </w:tc>
      </w:tr>
      <w:tr>
        <w:trPr>
          <w:cantSplit/>
        </w:trPr>
        <w:tc>
          <w:tcPr>
            <w:tcW w:type="dxa" w:w="2232"/>
            <w:vAlign w:val="top"/>
          </w:tcPr>
          <w:p>
            <w:pPr>
              <w:spacing w:after="40" w:before="0" w:line="259" w:lineRule="auto"/>
            </w:pPr>
            <w:r>
              <w:rPr>
                <w:rFonts w:ascii="Calibri" w:hAnsi="Calibri"/>
                <w:b/>
                <w:i w:val="0"/>
                <w:color w:val="212121"/>
                <w:sz w:val="19"/>
              </w:rPr>
              <w:t>Venous thromboembolism</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Immobility plus systemic inflammation and corticosteroids raise the risk of clots.</w:t>
            </w:r>
          </w:p>
        </w:tc>
      </w:tr>
      <w:tr>
        <w:trPr>
          <w:cantSplit/>
        </w:trPr>
        <w:tc>
          <w:tcPr>
            <w:tcW w:type="dxa" w:w="2232"/>
            <w:vAlign w:val="top"/>
          </w:tcPr>
          <w:p>
            <w:pPr>
              <w:spacing w:after="40" w:before="0" w:line="259" w:lineRule="auto"/>
            </w:pPr>
            <w:r>
              <w:rPr>
                <w:rFonts w:ascii="Calibri" w:hAnsi="Calibri"/>
                <w:b/>
                <w:i w:val="0"/>
                <w:color w:val="212121"/>
                <w:sz w:val="19"/>
              </w:rPr>
              <w:t>Internal malignancy</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Reported association, especially with atypical or resistant BP; prompts age-appropriate screening.</w:t>
            </w:r>
          </w:p>
        </w:tc>
      </w:tr>
    </w:tbl>
    <w:p>
      <w:pPr>
        <w:spacing w:before="200" w:after="120"/>
      </w:pPr>
      <w:r>
        <w:rPr>
          <w:rFonts w:ascii="Calibri" w:hAnsi="Calibri"/>
          <w:b/>
          <w:i w:val="0"/>
          <w:color w:val="212121"/>
          <w:sz w:val="25"/>
        </w:rPr>
        <w:t>Suggestions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1"/>
        <w:gridCol w:w="1921"/>
        <w:gridCol w:w="1921"/>
        <w:gridCol w:w="1921"/>
        <w:gridCol w:w="1921"/>
      </w:tblGrid>
      <w:tr>
        <w:trPr>
          <w:cantSplit/>
        </w:trPr>
        <w:tc>
          <w:tcPr>
            <w:tcW w:type="dxa" w:w="1224"/>
            <w:shd w:val="clear" w:color="auto" w:fill="F2F2F2"/>
            <w:vAlign w:val="center"/>
          </w:tcPr>
          <w:p>
            <w:pPr>
              <w:spacing w:after="40" w:before="0" w:line="259" w:lineRule="auto"/>
            </w:pPr>
            <w:r>
              <w:rPr>
                <w:rFonts w:ascii="Calibri" w:hAnsi="Calibri"/>
                <w:b/>
                <w:i w:val="0"/>
                <w:color w:val="212121"/>
                <w:sz w:val="19"/>
              </w:rPr>
              <w:t>LHP</w:t>
            </w:r>
          </w:p>
        </w:tc>
        <w:tc>
          <w:tcPr>
            <w:tcW w:type="dxa" w:w="1224"/>
            <w:shd w:val="clear" w:color="auto" w:fill="F2F2F2"/>
            <w:vAlign w:val="center"/>
          </w:tcPr>
          <w:p>
            <w:pPr>
              <w:spacing w:after="40" w:before="0" w:line="259" w:lineRule="auto"/>
            </w:pPr>
            <w:r>
              <w:rPr>
                <w:rFonts w:ascii="Calibri" w:hAnsi="Calibri"/>
                <w:b/>
                <w:i w:val="0"/>
                <w:color w:val="212121"/>
                <w:sz w:val="19"/>
              </w:rPr>
              <w:t>Type</w:t>
            </w:r>
          </w:p>
        </w:tc>
        <w:tc>
          <w:tcPr>
            <w:tcW w:type="dxa" w:w="4176"/>
            <w:shd w:val="clear" w:color="auto" w:fill="F2F2F2"/>
            <w:vAlign w:val="center"/>
          </w:tcPr>
          <w:p>
            <w:pPr>
              <w:spacing w:after="40" w:before="0" w:line="259" w:lineRule="auto"/>
            </w:pPr>
            <w:r>
              <w:rPr>
                <w:rFonts w:ascii="Calibri" w:hAnsi="Calibri"/>
                <w:b/>
                <w:i w:val="0"/>
                <w:color w:val="212121"/>
                <w:sz w:val="19"/>
              </w:rPr>
              <w:t>Suggestion</w:t>
            </w:r>
          </w:p>
        </w:tc>
        <w:tc>
          <w:tcPr>
            <w:tcW w:type="dxa" w:w="1944"/>
            <w:shd w:val="clear" w:color="auto" w:fill="F2F2F2"/>
            <w:vAlign w:val="center"/>
          </w:tcPr>
          <w:p>
            <w:pPr>
              <w:spacing w:after="40" w:before="0" w:line="259" w:lineRule="auto"/>
            </w:pPr>
            <w:r>
              <w:rPr>
                <w:rFonts w:ascii="Calibri" w:hAnsi="Calibri"/>
                <w:b/>
                <w:i w:val="0"/>
                <w:color w:val="212121"/>
                <w:sz w:val="19"/>
              </w:rPr>
              <w:t>Profile</w:t>
            </w:r>
          </w:p>
        </w:tc>
        <w:tc>
          <w:tcPr>
            <w:tcW w:type="dxa" w:w="1036"/>
            <w:shd w:val="clear" w:color="auto" w:fill="F2F2F2"/>
            <w:vAlign w:val="center"/>
          </w:tcPr>
          <w:p>
            <w:pPr>
              <w:spacing w:after="40" w:before="0" w:line="259" w:lineRule="auto"/>
            </w:pPr>
            <w:r>
              <w:rPr>
                <w:rFonts w:ascii="Calibri" w:hAnsi="Calibri"/>
                <w:b/>
                <w:i w:val="0"/>
                <w:color w:val="212121"/>
                <w:sz w:val="19"/>
              </w:rPr>
              <w:t>Importance</w:t>
            </w:r>
          </w:p>
        </w:tc>
      </w:tr>
      <w:tr>
        <w:trPr>
          <w:cantSplit/>
        </w:trPr>
        <w:tc>
          <w:tcPr>
            <w:tcW w:type="dxa" w:w="1224"/>
            <w:vMerge w:val="restart"/>
            <w:vAlign w:val="center"/>
          </w:tcPr>
          <w:p>
            <w:pPr>
              <w:spacing w:after="40"/>
            </w:pPr>
            <w:r>
              <w:rPr>
                <w:rFonts w:ascii="Calibri" w:hAnsi="Calibri"/>
                <w:b w:val="0"/>
                <w:i w:val="0"/>
                <w:color w:val="212121"/>
                <w:sz w:val="19"/>
              </w:rPr>
              <w:t>Education</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Recognise the early phase: persistent, unexplained itch with hives or eczema-like patches in an older adult can be pre-bullous BP; seek dermatology review before blisters appear.</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If you have type 2 diabetes, be aware that DPP-4 inhibitors (gliptins such as vildagliptin, teneligliptin, linagliptin and sitagliptin) can trigger BP; report any new blistering to your doctor rather than stopping the drug on your own.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Note and report other possible trigger medicines, including diuretics (furosemide, spironolactone), certain antibiotics and cancer immunotherapy.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Handle skin gently: avoid friction, harsh soaps, scratching and skin trauma, which can seed new blisters (Koebner phenomenon).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Attend follow-up for antibody and treatment monitoring; BP is a chronic relapsing condition that usually needs treatment for months to years.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Elderly with new-onset itch</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Diabetics on gliptins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Neurologically disabled / bedbound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Caregivers of the elderly</w:t>
            </w:r>
          </w:p>
        </w:tc>
        <w:tc>
          <w:tcPr>
            <w:tcW w:type="dxa" w:w="1036"/>
            <w:vAlign w:val="top"/>
          </w:tcPr>
          <w:p>
            <w:pPr>
              <w:spacing w:after="40" w:before="0" w:line="259" w:lineRule="auto"/>
            </w:pPr>
            <w:r>
              <w:rPr>
                <w:rFonts w:ascii="Calibri" w:hAnsi="Calibri"/>
                <w:b w:val="0"/>
                <w:i w:val="0"/>
                <w:color w:val="212121"/>
                <w:sz w:val="19"/>
              </w:rPr>
              <w:t>NA</w:t>
            </w:r>
          </w:p>
        </w:tc>
      </w:tr>
      <w:tr>
        <w:trPr>
          <w:cantSplit/>
        </w:trPr>
        <w:tc>
          <w:tcPr>
            <w:tcW w:type="dxa" w:w="1224"/>
            <w:vMerge/>
            <w:vAlign w:val="top"/>
          </w:tcPr>
          <w:p>
            <w:pPr>
              <w:spacing w:after="40" w:before="0" w:line="259" w:lineRule="auto"/>
            </w:pP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Take corticosteroids and steroid-sparing agents exactly as prescribed and taper only under medical guidance; abrupt stopping causes relapse.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Watch for and promptly report signs of skin infection (increasing redness, pus, fever); infection and sepsis are the main life-threatening risks.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Apply potent topical steroids to blistered and eroded areas as directed; this can control localised disease with fewer side effects than tablets.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Keep vaccinations and blood-sugar, blood-pressure and bone-protection reviews up to date while on immunosuppression.</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on systemic steroids / immunosuppressants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Extensive BP</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Diabetic and hypertensive BP patients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Physical Activity</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Keep as mobile as possible; frequent repositioning and pressure-area care prevent new erosions and pressure sores in bedbound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physiotherapy and assisted mobilisation for stroke, Parkinson's or dementia-related immobility.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vigorous rubbing, tight clothing and activities that traumatise fragile skin.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Encourage light, regular activity as tolerated to reduce venous thromboembolism risk during flares.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Bedbound / immobile elderly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Neuro-disabled BP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during active flares</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Merge w:val="restart"/>
            <w:vAlign w:val="center"/>
          </w:tcPr>
          <w:p>
            <w:pPr>
              <w:spacing w:after="40"/>
            </w:pPr>
            <w:r>
              <w:rPr>
                <w:rFonts w:ascii="Calibri" w:hAnsi="Calibri"/>
                <w:b w:val="0"/>
                <w:i w:val="0"/>
                <w:color w:val="212121"/>
                <w:sz w:val="19"/>
              </w:rPr>
              <w:t>Food</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Ensure a high-protein, adequate-calorie diet (eggs, dairy, pulses, lean meat or fish) to replace protein lost through eroded skin and support healing.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Maintain good hydration and correct electrolytes in widespread disease.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Follow a diabetic-appropriate, low-glycaemic diet because BP steroids commonly raise blood sugar; coordinate with the treating physician after any gliptin withdrawal.</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Include calcium and vitamin-D-rich foods for bone protection during corticosteroid therapy.</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Extensive / eroded BP</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Diabetic BP patients on steroids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Frail malnourished elderly</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Merge/>
            <w:vAlign w:val="top"/>
          </w:tcPr>
          <w:p>
            <w:pPr>
              <w:spacing w:after="40" w:before="0" w:line="259" w:lineRule="auto"/>
            </w:pP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There is no proven diet that prevents BP; focus on overall balanced nutrition to keep skin and immune function healthy.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Correct malnutrition and low albumin in frail elderly, which worsen healing and outcomes.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Frail elderly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Care-home residents</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Sleep</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Treat the itch effectively (potent topical steroids, and sedating antihistamines at night if advised) to restore sleep.</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Keep skin cool and moisturised; use light, non-abrasive bedding and cotton clothing.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Maintain a regular sleep routine and report persistent sleep loss, which worsens mood and quality of life.</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BP patients with severe pruritus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Elderly with disturbed sleep</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Smoking</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Stop smoking to improve wound healing and skin repair.</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Cessation lowers the cardiovascular risk that is the leading cause of death in BP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Seek nicotine-replacement therapy or cessation support if needed.</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Smokers with BP</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BP patients with cardiovascular comorbidity</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Alcohol</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Limit or avoid alcohol, especially if taking methotrexate or other agents that can affect the liver.</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Discuss safe limits with your doctor, as alcohol can interact with several BP medications.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BP patients on methotrexate / immunosuppressants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liver comorbidity</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Mental health</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Screen for and treat depression and anxiety, which are common with chronic itch, visible blistering and disability.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Provide psychological support and patient education to improve coping and treatment adherence.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Involve caregivers and address social isolation, particularly where dementia or stroke coexist.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Refer for specialist mental-health support when mood symptoms are moderate to severe.</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BP patients with chronic pruritus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Elderly with coexisting dementia / stroke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Socially isolated patients</w:t>
            </w:r>
          </w:p>
        </w:tc>
        <w:tc>
          <w:tcPr>
            <w:tcW w:type="dxa" w:w="1036"/>
            <w:vAlign w:val="top"/>
          </w:tcPr>
          <w:p>
            <w:pPr>
              <w:spacing w:after="40" w:before="0" w:line="259" w:lineRule="auto"/>
            </w:pPr>
            <w:r>
              <w:rPr>
                <w:rFonts w:ascii="Calibri" w:hAnsi="Calibri"/>
                <w:b w:val="0"/>
                <w:i w:val="0"/>
                <w:color w:val="212121"/>
                <w:sz w:val="19"/>
              </w:rPr>
              <w:t>High</w:t>
            </w:r>
          </w:p>
        </w:tc>
      </w:tr>
    </w:tbl>
    <w:sectPr w:rsidR="00FC693F" w:rsidRPr="0006063C" w:rsidSect="00034616">
      <w:pgSz w:w="11909" w:h="16834"/>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69" w:lineRule="auto"/>
    </w:pPr>
    <w:rPr>
      <w:rFonts w:ascii="Calibri" w:hAnsi="Calibri" w:cs="Calibri"/>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ncbi.nlm.nih.gov/books/NBK535374/" TargetMode="External"/><Relationship Id="rId10" Type="http://schemas.openxmlformats.org/officeDocument/2006/relationships/hyperlink" Target="https://pubmed.ncbi.nlm.nih.gov/35962510/" TargetMode="External"/><Relationship Id="rId11" Type="http://schemas.openxmlformats.org/officeDocument/2006/relationships/hyperlink" Target="https://pubmed.ncbi.nlm.nih.gov/27088957/" TargetMode="External"/><Relationship Id="rId12" Type="http://schemas.openxmlformats.org/officeDocument/2006/relationships/hyperlink" Target="https://pubmed.ncbi.nlm.nih.gov/27599898/" TargetMode="External"/><Relationship Id="rId13" Type="http://schemas.openxmlformats.org/officeDocument/2006/relationships/hyperlink" Target="https://pubmed.ncbi.nlm.nih.gov/30848289/" TargetMode="External"/><Relationship Id="rId14" Type="http://schemas.openxmlformats.org/officeDocument/2006/relationships/hyperlink" Target="https://pubmed.ncbi.nlm.nih.gov/32236820/" TargetMode="External"/><Relationship Id="rId15" Type="http://schemas.openxmlformats.org/officeDocument/2006/relationships/hyperlink" Target="https://pubmed.ncbi.nlm.nih.gov/28467996/" TargetMode="External"/><Relationship Id="rId16" Type="http://schemas.openxmlformats.org/officeDocument/2006/relationships/hyperlink" Target="https://dermnetnz.org/topics/bullous-pemphigoi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