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Acanthosis Nigricans</w:t>
      </w:r>
    </w:p>
    <w:p>
      <w:pPr>
        <w:spacing w:before="0" w:after="160"/>
      </w:pPr>
      <w:r>
        <w:rPr>
          <w:rFonts w:ascii="Calibri" w:hAnsi="Calibri"/>
          <w:b/>
          <w:i w:val="0"/>
          <w:color w:val="212121"/>
          <w:sz w:val="22"/>
        </w:rPr>
        <w:t xml:space="preserve">AKA </w:t>
      </w:r>
      <w:r>
        <w:rPr>
          <w:rFonts w:ascii="Calibri" w:hAnsi="Calibri"/>
          <w:b w:val="0"/>
          <w:i w:val="0"/>
          <w:color w:val="212121"/>
          <w:sz w:val="22"/>
        </w:rPr>
        <w:t>i.e., AN; velvety hyperpigmentation of the skin folds; obesity-associated form formerly called 'Pseudoacanthosis nigricans'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Acanthosis nigricans (AN) is an acquired skin condition characterised by symmetrical, velvety, hyperpigmented (light brown to black) thickening of the skin, most often affecting flexural and intertriginous sites such as the nape and sides of the neck, the axillae, the groin, the inframammary folds and the knuckles. In the great majority of cases it is not a disease in itself but a visible cutaneous marker of hyperinsulinaemia and insulin resistance, and its appearance should prompt screening for obesity, prediabetes/type 2 diabetes, polycystic ovary syndrome (PCOS) and the metabolic syndrome. Less commonly it is drug-induced, familial (hereditary), or a paraneoplastic sign (malignant AN) of an underlying internal, usually gastrointestinal, adenocarcinoma.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 is common wherever obesity and insulin resistance are prevalent, and India carries a large burden. In a community-based south-Indian (Kerala) study, AN was present in 16.1% of adults (19.6% of women and 11.4% of men). Among obese Indian adolescents in Kochi, 61.5% had AN, and in newly diagnosed type 2 diabetes in North India it was found in 56.7% of men and 86.9% of women. As 'every sixth diabetic in the world is Indian' and obesity is rising steeply, AN is an increasingly frequent and easily visible marker of insulin resistance across all age groups in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 is primarily a clinical, bedside diagnosis based on its characteristic morphology and distribution; investigations are directed at identifying the underlying cause. Diagnosis and work-up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symmetrical, velvety, hyperpigmented, thickened plaques with poorly defined margins in flexural sites (nape and sides of neck, axillae, groin, inframammary folds, knuckles), often with associated skin tags;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of severity using a validated scale (e.g., the Burke neck/quantitative AN scale, graded 0-4) to document extent and monitor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insulin resistance and dysglycaemia: fasting plasma glucose, HbA1c and/or a 75 g oral glucose tolerance test, fasting insulin with HOMA-IR, and a fasting lipid profile;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endocrine work-up when indicated (serum androgens and LH:FSH for PCOS, TSH for hypothyroidism, cortisol for Cushing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(punch) biopsy only when the diagnosis is uncertain, showing hyperkeratosis, papillomatosis and upward projection of dermal papillae with minimal hyperpigmentation and little inflammatory infiltrate;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atypical presentations (abrupt onset, extensive or mucosal/palmar 'tripe palm' involvement, weight loss, or a non-obese older adult), investigation for occult internal malignancy (upper GI endoscopy, imaging, age-appropriate cancer screening).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 is classified by its underlying cause, which determines the required work-up and the prognosis:</w:t>
      </w:r>
    </w:p>
    <w:p>
      <w:pPr>
        <w:spacing w:before="0" w:after="80"/>
      </w:pPr>
      <w:r>
        <w:rPr>
          <w:rFonts w:ascii="Calibri" w:hAnsi="Calibri"/>
          <w:b w:val="0"/>
          <w:i w:val="0"/>
          <w:color w:val="212121"/>
          <w:sz w:val="21"/>
        </w:rPr>
        <w:t>(1) Obesity-associated AN (formerly 'pseudoacanthosis nigricans') - by far the commonest form, driven by hyperinsulinaemia secondary to central obesity; it is typically reversible with weight loss.</w:t>
      </w:r>
    </w:p>
    <w:p>
      <w:pPr>
        <w:spacing w:before="0" w:after="80"/>
      </w:pPr>
      <w:r>
        <w:rPr>
          <w:rFonts w:ascii="Calibri" w:hAnsi="Calibri"/>
          <w:b w:val="0"/>
          <w:i w:val="0"/>
          <w:color w:val="212121"/>
          <w:sz w:val="21"/>
        </w:rPr>
        <w:t>(2) Syndromic / insulin-resistance-associated AN - accompanying polycystic ovary syndrome, the metabolic syndrome, type A and type B insulin-resistance syndromes, lipodystrophy, HAIR-AN syndrome, and endocrinopathies such as Cushing syndrome, acromegaly and hypothyroidism.</w:t>
      </w:r>
    </w:p>
    <w:p>
      <w:pPr>
        <w:spacing w:before="0" w:after="80"/>
      </w:pPr>
      <w:r>
        <w:rPr>
          <w:rFonts w:ascii="Calibri" w:hAnsi="Calibri"/>
          <w:b w:val="0"/>
          <w:i w:val="0"/>
          <w:color w:val="212121"/>
          <w:sz w:val="21"/>
        </w:rPr>
        <w:t>(3) Hereditary / familial AN - an autosomal-dominant trait (associated with fibroblast growth factor receptor 3, FGFR3, mutations) that presents in childhood, progresses until puberty, and is unrelated to metabolic disease.</w:t>
      </w:r>
    </w:p>
    <w:p>
      <w:pPr>
        <w:spacing w:before="0" w:after="80"/>
      </w:pPr>
      <w:r>
        <w:rPr>
          <w:rFonts w:ascii="Calibri" w:hAnsi="Calibri"/>
          <w:b w:val="0"/>
          <w:i w:val="0"/>
          <w:color w:val="212121"/>
          <w:sz w:val="21"/>
        </w:rPr>
        <w:t>(4) Drug-induced AN - provoked by nicotinic acid (niacin), systemic corticosteroids, oral contraceptives and other oestrogens, exogenous insulin, protease inhibitors and aripiprazole; usually reversible on withdrawal of the drug.</w:t>
      </w:r>
    </w:p>
    <w:p>
      <w:pPr>
        <w:spacing w:before="0" w:after="80"/>
      </w:pPr>
      <w:r>
        <w:rPr>
          <w:rFonts w:ascii="Calibri" w:hAnsi="Calibri"/>
          <w:b w:val="0"/>
          <w:i w:val="0"/>
          <w:color w:val="212121"/>
          <w:sz w:val="21"/>
        </w:rPr>
        <w:t>(5) Malignant (paraneoplastic) AN - abrupt, widespread and often symptomatic AN with mucosal and palmar involvement, associated with an internal adenocarcinoma (gastric in roughly 60% of cases); it carries a poor prognosis, with median survival often under two years.</w:t>
      </w:r>
    </w:p>
    <w:p>
      <w:pPr>
        <w:spacing w:before="0" w:after="80"/>
      </w:pPr>
      <w:r>
        <w:rPr>
          <w:rFonts w:ascii="Calibri" w:hAnsi="Calibri"/>
          <w:b w:val="0"/>
          <w:i w:val="0"/>
          <w:color w:val="212121"/>
          <w:sz w:val="21"/>
        </w:rPr>
        <w:t>(6) Acral and unilateral (nevoid) AN - uncommon localised variants; acral AN favours the dorsa of the hands and feet, while unilateral AN follows a segmental, often autosomal-dominant pattern.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Hyperinsulinaemia / insulin resistance: The central mechanism in the vast majority of cases - excess circulating insulin cross-activates insulin-like growth factor (IGF-1) receptors on keratinocytes and dermal fibroblasts, driving epidermal proliferation and the velvety thickening.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Central adiposity is the strongest modifiable driver; adipokine dysregulation and compensatory hyperinsulinaemia produce the classic obesity-associated AN, which is reversible with weight reduction.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Endocrinopathies: PCOS, the metabolic syndrome, Cushing syndrome, acromegaly and hypothyroidism raise insulin and growth-factor signalling and are frequently associated with AN.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Activating mutations of fibroblast growth factor receptors (notably FGFR3) cause hereditary/familial AN and directly stimulate keratinocyte and fibroblast proliferation.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Nicotinic acid, systemic corticosteroids, oestrogens/oral contraceptives, exogenous insulin, protease inhibitors and aripiprazole can induce reversible AN.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Underlying malignancy: Tumour-secreted transforming growth factor-alpha (TGF-alpha) and other growth factors stimulate epidermal proliferation, producing paraneoplastic malignant AN.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under ~40 years)</w:t>
            </w:r>
          </w:p>
        </w:tc>
        <w:tc>
          <w:tcPr>
            <w:tcW w:type="dxa" w:w="4276"/>
            <w:vAlign w:val="top"/>
          </w:tcPr>
          <w:p>
            <w:pPr>
              <w:spacing w:after="60" w:line="259" w:lineRule="auto"/>
            </w:pPr>
            <w:r>
              <w:rPr>
                <w:rFonts w:ascii="Calibri" w:hAnsi="Calibri"/>
                <w:b w:val="0"/>
                <w:i w:val="0"/>
                <w:color w:val="212121"/>
                <w:sz w:val="19"/>
              </w:rPr>
              <w:t>AN is most common in people under 40, mirroring the age band in which insulin resistance and central obesity become established. High circulating insulin cross-activates IGF-1 receptors on keratinocytes, producing the velvety thickening.</w:t>
            </w:r>
          </w:p>
          <w:p>
            <w:pPr>
              <w:spacing w:after="40" w:before="60" w:line="259" w:lineRule="auto"/>
            </w:pPr>
            <w:r>
              <w:rPr>
                <w:rFonts w:ascii="Calibri" w:hAnsi="Calibri"/>
                <w:b w:val="0"/>
                <w:i w:val="0"/>
                <w:color w:val="212121"/>
                <w:sz w:val="19"/>
              </w:rPr>
              <w:t>In a community-based south-Indian (Kerala) study AN was present in 16.1% of adults, with prevalence highest in the 30-40 year age group and declining thereafter.</w:t>
            </w:r>
          </w:p>
          <w:p>
            <w:pPr>
              <w:spacing w:after="40" w:line="252" w:lineRule="auto"/>
            </w:pPr>
            <w:hyperlink r:id="rId9">
              <w:r>
                <w:rPr>
                  <w:rFonts w:ascii="Calibri" w:hAnsi="Calibri" w:cs="Calibri"/>
                  <w:sz w:val="18"/>
                  <w:color w:val="1155CC"/>
                  <w:u w:val="single"/>
                </w:rPr>
                <w:t xml:space="preserve">pubmed.ncbi.nlm.nih.gov/24351677 - AN in a south Indian population (ADEPS)</w:t>
              </w:r>
            </w:hyperlink>
          </w:p>
          <w:p>
            <w:pPr>
              <w:spacing w:before="60" w:after="40"/>
            </w:pPr>
            <w:r>
              <w:rPr>
                <w:rFonts w:ascii="Calibri" w:hAnsi="Calibri"/>
                <w:b w:val="0"/>
                <w:i w:val="0"/>
                <w:color w:val="5A5A5A"/>
                <w:sz w:val="18"/>
              </w:rPr>
              <w:t>#insulinresistance  #hyperinsulinaemia  #IGF1  #metabolicmarker  #youngadults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and adolescents (overweight/obese)</w:t>
            </w:r>
          </w:p>
        </w:tc>
        <w:tc>
          <w:tcPr>
            <w:tcW w:type="dxa" w:w="4276"/>
            <w:vAlign w:val="top"/>
          </w:tcPr>
          <w:p>
            <w:pPr>
              <w:spacing w:after="60" w:line="259" w:lineRule="auto"/>
            </w:pPr>
            <w:r>
              <w:rPr>
                <w:rFonts w:ascii="Calibri" w:hAnsi="Calibri"/>
                <w:b w:val="0"/>
                <w:i w:val="0"/>
                <w:color w:val="212121"/>
                <w:sz w:val="19"/>
              </w:rPr>
              <w:t>Childhood obesity produces early hyperinsulinaemia; AN on the neck is often the first visible sign and flags children needing dysglycaemia screening. It is strongly linked to physical inactivity and family history of diabetes.</w:t>
            </w:r>
          </w:p>
          <w:p>
            <w:pPr>
              <w:spacing w:after="40" w:before="60" w:line="259" w:lineRule="auto"/>
            </w:pPr>
            <w:r>
              <w:rPr>
                <w:rFonts w:ascii="Calibri" w:hAnsi="Calibri"/>
                <w:b w:val="0"/>
                <w:i w:val="0"/>
                <w:color w:val="212121"/>
                <w:sz w:val="19"/>
              </w:rPr>
              <w:t>Among Indian adolescents (aged 13-14) in Kochi, 61.5% of obese adolescents had AN, and its presence was significantly and inversely associated with physical activity (p=0.0001).</w:t>
            </w:r>
          </w:p>
          <w:p>
            <w:pPr>
              <w:spacing w:after="40" w:line="252" w:lineRule="auto"/>
            </w:pPr>
            <w:hyperlink r:id="rId10">
              <w:r>
                <w:rPr>
                  <w:rFonts w:ascii="Calibri" w:hAnsi="Calibri" w:cs="Calibri"/>
                  <w:sz w:val="18"/>
                  <w:color w:val="1155CC"/>
                  <w:u w:val="single"/>
                </w:rPr>
                <w:t xml:space="preserve">pubmed.ncbi.nlm.nih.gov/35136792 - AN and physical activity in adolescents</w:t>
              </w:r>
            </w:hyperlink>
          </w:p>
          <w:p>
            <w:pPr>
              <w:spacing w:before="60" w:after="40"/>
            </w:pPr>
            <w:r>
              <w:rPr>
                <w:rFonts w:ascii="Calibri" w:hAnsi="Calibri"/>
                <w:b w:val="0"/>
                <w:i w:val="0"/>
                <w:color w:val="5A5A5A"/>
                <w:sz w:val="18"/>
              </w:rPr>
              <w:t>#childhoodobesity  #adolescents  #screenmarker  #earlyIR  #napeofneck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older adults (new-onset, non-obese)</w:t>
            </w:r>
          </w:p>
        </w:tc>
        <w:tc>
          <w:tcPr>
            <w:tcW w:type="dxa" w:w="4276"/>
            <w:vAlign w:val="top"/>
          </w:tcPr>
          <w:p>
            <w:pPr>
              <w:spacing w:after="60" w:line="259" w:lineRule="auto"/>
            </w:pPr>
            <w:r>
              <w:rPr>
                <w:rFonts w:ascii="Calibri" w:hAnsi="Calibri"/>
                <w:b w:val="0"/>
                <w:i w:val="0"/>
                <w:color w:val="212121"/>
                <w:sz w:val="19"/>
              </w:rPr>
              <w:t>New, rapidly spreading AN in an older, non-obese adult - especially with weight loss, itch, or palmar/mucosal involvement - is a red flag for malignant (paraneoplastic) AN driven by tumour growth factors rather than insulin.</w:t>
            </w:r>
          </w:p>
          <w:p>
            <w:pPr>
              <w:spacing w:after="40" w:before="60" w:line="259" w:lineRule="auto"/>
            </w:pPr>
            <w:r>
              <w:rPr>
                <w:rFonts w:ascii="Calibri" w:hAnsi="Calibri"/>
                <w:b w:val="0"/>
                <w:i w:val="0"/>
                <w:color w:val="212121"/>
                <w:sz w:val="19"/>
              </w:rPr>
              <w:t>Malignant AN is a paraneoplastic sign of internal adenocarcinoma; roughly one third of cases appear before the cancer is detected, and median survival is often under 24 months.</w:t>
            </w:r>
          </w:p>
          <w:p>
            <w:pPr>
              <w:spacing w:after="40" w:line="252" w:lineRule="auto"/>
            </w:pPr>
            <w:hyperlink r:id="rId11">
              <w:r>
                <w:rPr>
                  <w:rFonts w:ascii="Calibri" w:hAnsi="Calibri" w:cs="Calibri"/>
                  <w:sz w:val="18"/>
                  <w:color w:val="1155CC"/>
                  <w:u w:val="single"/>
                </w:rPr>
                <w:t xml:space="preserve">ncbi.nlm.nih.gov/books/NBK431057 - StatPearls: Acanthosis Nigricans</w:t>
              </w:r>
            </w:hyperlink>
          </w:p>
          <w:p>
            <w:pPr>
              <w:spacing w:before="60" w:after="40"/>
            </w:pPr>
            <w:r>
              <w:rPr>
                <w:rFonts w:ascii="Calibri" w:hAnsi="Calibri"/>
                <w:b w:val="0"/>
                <w:i w:val="0"/>
                <w:color w:val="5A5A5A"/>
                <w:sz w:val="18"/>
              </w:rPr>
              <w:t>#paraneoplastic  #malignantAN  #redflag  #gastriccancer  #TGFalpha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a higher overall prevalence of AN, partly because of its strong association with PCOS and hyperandrogenism, both of which share the insulin-resistance pathway.</w:t>
            </w:r>
          </w:p>
          <w:p>
            <w:pPr>
              <w:spacing w:after="40" w:before="60" w:line="259" w:lineRule="auto"/>
            </w:pPr>
            <w:r>
              <w:rPr>
                <w:rFonts w:ascii="Calibri" w:hAnsi="Calibri"/>
                <w:b w:val="0"/>
                <w:i w:val="0"/>
                <w:color w:val="212121"/>
                <w:sz w:val="19"/>
              </w:rPr>
              <w:t>In the Kerala community study AN prevalence was higher in women than men (19.6% vs 11.4%), and AN correlated with female sex, obesity, high triglycerides and diabetes.</w:t>
            </w:r>
          </w:p>
          <w:p>
            <w:pPr>
              <w:spacing w:after="40" w:line="252" w:lineRule="auto"/>
            </w:pPr>
            <w:hyperlink r:id="rId9">
              <w:r>
                <w:rPr>
                  <w:rFonts w:ascii="Calibri" w:hAnsi="Calibri" w:cs="Calibri"/>
                  <w:sz w:val="18"/>
                  <w:color w:val="1155CC"/>
                  <w:u w:val="single"/>
                </w:rPr>
                <w:t xml:space="preserve">pubmed.ncbi.nlm.nih.gov/24351677 - AN in a south Indian population (ADEPS)</w:t>
              </w:r>
            </w:hyperlink>
          </w:p>
          <w:p>
            <w:pPr>
              <w:spacing w:before="60" w:after="40"/>
            </w:pPr>
            <w:r>
              <w:rPr>
                <w:rFonts w:ascii="Calibri" w:hAnsi="Calibri"/>
                <w:b w:val="0"/>
                <w:i w:val="0"/>
                <w:color w:val="5A5A5A"/>
                <w:sz w:val="18"/>
              </w:rPr>
              <w:t>#PCOS  #hyperandrogenism  #women  #insulinresistance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Although less prevalent in men, AN when present in males is associated with higher fasting insulin values, making it an especially useful bedside marker of insulin resistance in men.</w:t>
            </w:r>
          </w:p>
          <w:p>
            <w:pPr>
              <w:spacing w:after="40" w:before="60" w:line="259" w:lineRule="auto"/>
            </w:pPr>
            <w:r>
              <w:rPr>
                <w:rFonts w:ascii="Calibri" w:hAnsi="Calibri"/>
                <w:b w:val="0"/>
                <w:i w:val="0"/>
                <w:color w:val="212121"/>
                <w:sz w:val="19"/>
              </w:rPr>
              <w:t>In the same south-Indian study, males with AN had notably higher insulin values than females with AN, and the authors concluded AN has stronger clinical relevance as an insulin-resistance marker in men.</w:t>
            </w:r>
          </w:p>
          <w:p>
            <w:pPr>
              <w:spacing w:after="40" w:line="252" w:lineRule="auto"/>
            </w:pPr>
            <w:hyperlink r:id="rId9">
              <w:r>
                <w:rPr>
                  <w:rFonts w:ascii="Calibri" w:hAnsi="Calibri" w:cs="Calibri"/>
                  <w:sz w:val="18"/>
                  <w:color w:val="1155CC"/>
                  <w:u w:val="single"/>
                </w:rPr>
                <w:t xml:space="preserve">pubmed.ncbi.nlm.nih.gov/24351677 - AN in a south Indian population (ADEPS)</w:t>
              </w:r>
            </w:hyperlink>
          </w:p>
          <w:p>
            <w:pPr>
              <w:spacing w:before="60" w:after="40"/>
            </w:pPr>
            <w:r>
              <w:rPr>
                <w:rFonts w:ascii="Calibri" w:hAnsi="Calibri"/>
                <w:b w:val="0"/>
                <w:i w:val="0"/>
                <w:color w:val="5A5A5A"/>
                <w:sz w:val="18"/>
              </w:rPr>
              <w:t>#malemetabolicrisk  #fastinginsulin  #IRmarker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populations undergoing nutrition transition</w:t>
            </w:r>
          </w:p>
        </w:tc>
        <w:tc>
          <w:tcPr>
            <w:tcW w:type="dxa" w:w="4276"/>
            <w:vAlign w:val="top"/>
          </w:tcPr>
          <w:p>
            <w:pPr>
              <w:spacing w:after="60" w:line="259" w:lineRule="auto"/>
            </w:pPr>
            <w:r>
              <w:rPr>
                <w:rFonts w:ascii="Calibri" w:hAnsi="Calibri"/>
                <w:b w:val="0"/>
                <w:i w:val="0"/>
                <w:color w:val="212121"/>
                <w:sz w:val="19"/>
              </w:rPr>
              <w:t>Rising incomes, energy-dense processed diets, and increasingly sedentary urban lifestyles raise obesity and insulin resistance, increasing the pool of people who develop obesity-associated AN across social strata.</w:t>
            </w:r>
          </w:p>
          <w:p>
            <w:pPr>
              <w:spacing w:after="40" w:before="60" w:line="259" w:lineRule="auto"/>
            </w:pPr>
            <w:r>
              <w:rPr>
                <w:rFonts w:ascii="Calibri" w:hAnsi="Calibri"/>
                <w:b w:val="0"/>
                <w:i w:val="0"/>
                <w:color w:val="212121"/>
                <w:sz w:val="19"/>
              </w:rPr>
              <w:t>AN tracks the obesity and type 2 diabetes epidemic; Indian expert consensus positions AN as a simple, non-invasive, cost-effective screening marker for undiagnosed insulin resistance in this setting.</w:t>
            </w:r>
          </w:p>
          <w:p>
            <w:pPr>
              <w:spacing w:after="40" w:line="252" w:lineRule="auto"/>
            </w:pPr>
            <w:hyperlink r:id="rId12">
              <w:r>
                <w:rPr>
                  <w:rFonts w:ascii="Calibri" w:hAnsi="Calibri" w:cs="Calibri"/>
                  <w:sz w:val="18"/>
                  <w:color w:val="1155CC"/>
                  <w:u w:val="single"/>
                </w:rPr>
                <w:t xml:space="preserve">pubmed.ncbi.nlm.nih.gov/38881139 - Indian Expert Group Review of AN</w:t>
              </w:r>
            </w:hyperlink>
          </w:p>
          <w:p>
            <w:pPr>
              <w:spacing w:before="60" w:after="40"/>
            </w:pPr>
            <w:r>
              <w:rPr>
                <w:rFonts w:ascii="Calibri" w:hAnsi="Calibri"/>
                <w:b w:val="0"/>
                <w:i w:val="0"/>
                <w:color w:val="5A5A5A"/>
                <w:sz w:val="18"/>
              </w:rPr>
              <w:t>#urbanisation  #nutritiontransition  #obesityepidemic  #screening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Higher-risk ethnicities (Native American, Hispanic, African-descent) and insulin-resistant South Asians</w:t>
            </w:r>
          </w:p>
        </w:tc>
        <w:tc>
          <w:tcPr>
            <w:tcW w:type="dxa" w:w="4276"/>
            <w:vAlign w:val="top"/>
          </w:tcPr>
          <w:p>
            <w:pPr>
              <w:spacing w:after="60" w:line="259" w:lineRule="auto"/>
            </w:pPr>
            <w:r>
              <w:rPr>
                <w:rFonts w:ascii="Calibri" w:hAnsi="Calibri"/>
                <w:b w:val="0"/>
                <w:i w:val="0"/>
                <w:color w:val="212121"/>
                <w:sz w:val="19"/>
              </w:rPr>
              <w:t>AN prevalence varies markedly by ethnicity, being highest in populations predisposed to insulin resistance. South Asians (Indians) display a 'thin-fat' phenotype with high visceral fat and insulin resistance at comparatively low BMI, so AN can appear at lower body weights.</w:t>
            </w:r>
          </w:p>
          <w:p>
            <w:pPr>
              <w:spacing w:after="40" w:before="60" w:line="259" w:lineRule="auto"/>
            </w:pPr>
            <w:r>
              <w:rPr>
                <w:rFonts w:ascii="Calibri" w:hAnsi="Calibri"/>
                <w:b w:val="0"/>
                <w:i w:val="0"/>
                <w:color w:val="212121"/>
                <w:sz w:val="19"/>
              </w:rPr>
              <w:t>Reported prevalence ranges from under 1% in Caucasians to 5.5% in Latinos, 13.3% in African Americans and 34.2% in Native Americans.</w:t>
            </w:r>
          </w:p>
          <w:p>
            <w:pPr>
              <w:spacing w:after="40" w:line="252" w:lineRule="auto"/>
            </w:pPr>
            <w:hyperlink r:id="rId13">
              <w:r>
                <w:rPr>
                  <w:rFonts w:ascii="Calibri" w:hAnsi="Calibri" w:cs="Calibri"/>
                  <w:sz w:val="18"/>
                  <w:color w:val="1155CC"/>
                  <w:u w:val="single"/>
                </w:rPr>
                <w:t xml:space="preserve">dermnetnz.org - Acanthosis nigricans</w:t>
              </w:r>
            </w:hyperlink>
          </w:p>
          <w:p>
            <w:pPr>
              <w:spacing w:before="60" w:after="40"/>
            </w:pPr>
            <w:r>
              <w:rPr>
                <w:rFonts w:ascii="Calibri" w:hAnsi="Calibri"/>
                <w:b w:val="0"/>
                <w:i w:val="0"/>
                <w:color w:val="5A5A5A"/>
                <w:sz w:val="18"/>
              </w:rPr>
              <w:t>#ethnicity  #thinfatphenotype  #visceralfat  #SouthAsian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South Indian communities</w:t>
            </w:r>
          </w:p>
        </w:tc>
        <w:tc>
          <w:tcPr>
            <w:tcW w:type="dxa" w:w="4276"/>
            <w:vAlign w:val="top"/>
          </w:tcPr>
          <w:p>
            <w:pPr>
              <w:spacing w:after="60" w:line="259" w:lineRule="auto"/>
            </w:pPr>
            <w:r>
              <w:rPr>
                <w:rFonts w:ascii="Calibri" w:hAnsi="Calibri"/>
                <w:b w:val="0"/>
                <w:i w:val="0"/>
                <w:color w:val="212121"/>
                <w:sz w:val="19"/>
              </w:rPr>
              <w:t>High background rates of central obesity, diabetes and carbohydrate-rich diets in southern India translate into substantial community-level AN, usable as a field screening sign for insulin resistance.</w:t>
            </w:r>
          </w:p>
          <w:p>
            <w:pPr>
              <w:spacing w:after="40" w:before="60" w:line="259" w:lineRule="auto"/>
            </w:pPr>
            <w:r>
              <w:rPr>
                <w:rFonts w:ascii="Calibri" w:hAnsi="Calibri"/>
                <w:b w:val="0"/>
                <w:i w:val="0"/>
                <w:color w:val="212121"/>
                <w:sz w:val="19"/>
              </w:rPr>
              <w:t>Community prevalence of AN in Kerala adults was 16.1%, and its presence was significantly associated with higher fasting insulin, obesity and family history of diabetes.</w:t>
            </w:r>
          </w:p>
          <w:p>
            <w:pPr>
              <w:spacing w:after="40" w:line="252" w:lineRule="auto"/>
            </w:pPr>
            <w:hyperlink r:id="rId9">
              <w:r>
                <w:rPr>
                  <w:rFonts w:ascii="Calibri" w:hAnsi="Calibri" w:cs="Calibri"/>
                  <w:sz w:val="18"/>
                  <w:color w:val="1155CC"/>
                  <w:u w:val="single"/>
                </w:rPr>
                <w:t xml:space="preserve">pubmed.ncbi.nlm.nih.gov/24351677 - AN in a south Indian population (ADEPS)</w:t>
              </w:r>
            </w:hyperlink>
          </w:p>
          <w:p>
            <w:pPr>
              <w:spacing w:before="60" w:after="40"/>
            </w:pPr>
            <w:r>
              <w:rPr>
                <w:rFonts w:ascii="Calibri" w:hAnsi="Calibri"/>
                <w:b w:val="0"/>
                <w:i w:val="0"/>
                <w:color w:val="5A5A5A"/>
                <w:sz w:val="18"/>
              </w:rPr>
              <w:t>#SouthIndia  #Kerala  #communityscreening  #diabetesbelt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Screen-bound children, office workers, homemakers</w:t>
            </w:r>
          </w:p>
        </w:tc>
        <w:tc>
          <w:tcPr>
            <w:tcW w:type="dxa" w:w="4276"/>
            <w:vAlign w:val="top"/>
          </w:tcPr>
          <w:p>
            <w:pPr>
              <w:spacing w:after="60" w:line="259" w:lineRule="auto"/>
            </w:pPr>
            <w:r>
              <w:rPr>
                <w:rFonts w:ascii="Calibri" w:hAnsi="Calibri"/>
                <w:b w:val="0"/>
                <w:i w:val="0"/>
                <w:color w:val="212121"/>
                <w:sz w:val="19"/>
              </w:rPr>
              <w:t>Physical inactivity reduces muscle glucose uptake and insulin sensitivity, promoting the compensatory hyperinsulinaemia that produces AN; conversely, activity improves insulin sensitivity and can lighten the lesions.</w:t>
            </w:r>
          </w:p>
          <w:p>
            <w:pPr>
              <w:spacing w:after="40" w:before="60" w:line="259" w:lineRule="auto"/>
            </w:pPr>
            <w:r>
              <w:rPr>
                <w:rFonts w:ascii="Calibri" w:hAnsi="Calibri"/>
                <w:b w:val="0"/>
                <w:i w:val="0"/>
                <w:color w:val="212121"/>
                <w:sz w:val="19"/>
              </w:rPr>
              <w:t>In Indian adolescents, AN was significantly and inversely associated with physical activity (p=0.0001), alongside positive associations with obesity and family history of diabetes/hypertension.</w:t>
            </w:r>
          </w:p>
          <w:p>
            <w:pPr>
              <w:spacing w:after="40" w:line="252" w:lineRule="auto"/>
            </w:pPr>
            <w:hyperlink r:id="rId10">
              <w:r>
                <w:rPr>
                  <w:rFonts w:ascii="Calibri" w:hAnsi="Calibri" w:cs="Calibri"/>
                  <w:sz w:val="18"/>
                  <w:color w:val="1155CC"/>
                  <w:u w:val="single"/>
                </w:rPr>
                <w:t xml:space="preserve">pubmed.ncbi.nlm.nih.gov/35136792 - AN and physical activity in adolescents</w:t>
              </w:r>
            </w:hyperlink>
          </w:p>
          <w:p>
            <w:pPr>
              <w:spacing w:before="60" w:after="40"/>
            </w:pPr>
            <w:r>
              <w:rPr>
                <w:rFonts w:ascii="Calibri" w:hAnsi="Calibri"/>
                <w:b w:val="0"/>
                <w:i w:val="0"/>
                <w:color w:val="5A5A5A"/>
                <w:sz w:val="18"/>
              </w:rPr>
              <w:t>#sedentary  #physicalinactivity  #insulinsensitivity  #screentime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w:t>
            </w:r>
          </w:p>
        </w:tc>
        <w:tc>
          <w:tcPr>
            <w:tcW w:type="dxa" w:w="4276"/>
            <w:vAlign w:val="top"/>
          </w:tcPr>
          <w:p>
            <w:pPr>
              <w:spacing w:after="60" w:line="259" w:lineRule="auto"/>
            </w:pPr>
            <w:r>
              <w:rPr>
                <w:rFonts w:ascii="Calibri" w:hAnsi="Calibri"/>
                <w:b w:val="0"/>
                <w:i w:val="0"/>
                <w:color w:val="212121"/>
                <w:sz w:val="19"/>
              </w:rPr>
              <w:t>Smoking aggravates insulin resistance, central fat deposition and the metabolic syndrome, indirectly favouring the hyperinsulinaemic state that underlies obesity-associated AN.</w:t>
            </w:r>
          </w:p>
          <w:p>
            <w:pPr>
              <w:spacing w:after="40" w:before="60" w:line="259" w:lineRule="auto"/>
            </w:pPr>
            <w:r>
              <w:rPr>
                <w:rFonts w:ascii="Calibri" w:hAnsi="Calibri"/>
                <w:b w:val="0"/>
                <w:i w:val="0"/>
                <w:color w:val="212121"/>
                <w:sz w:val="19"/>
              </w:rPr>
              <w:t>Smoking is an established contributor to insulin resistance and metabolic syndrome, the physiological substrate for AN; the direct effect on AN itself is indirect and modest.</w:t>
            </w:r>
          </w:p>
          <w:p>
            <w:pPr>
              <w:spacing w:before="60" w:after="40"/>
            </w:pPr>
            <w:r>
              <w:rPr>
                <w:rFonts w:ascii="Calibri" w:hAnsi="Calibri"/>
                <w:b w:val="0"/>
                <w:i w:val="0"/>
                <w:color w:val="5A5A5A"/>
                <w:sz w:val="18"/>
              </w:rPr>
              <w:t>#smoking  #metabolicsyndrome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Chronic heavy alcohol intake contributes to central obesity, dyslipidaemia and fatty liver, worsening the metabolic milieu of insulin resistance, though its direct link to AN is weak.</w:t>
            </w:r>
          </w:p>
          <w:p>
            <w:pPr>
              <w:spacing w:after="40" w:before="60" w:line="259" w:lineRule="auto"/>
            </w:pPr>
            <w:r>
              <w:rPr>
                <w:rFonts w:ascii="Calibri" w:hAnsi="Calibri"/>
                <w:b w:val="0"/>
                <w:i w:val="0"/>
                <w:color w:val="212121"/>
                <w:sz w:val="19"/>
              </w:rPr>
              <w:t>Alcohol excess promotes NAFLD and metabolic dysfunction that accompany insulin resistance; it is a contributory rather than a direct cause of AN.</w:t>
            </w:r>
          </w:p>
          <w:p>
            <w:pPr>
              <w:spacing w:before="60" w:after="40"/>
            </w:pPr>
            <w:r>
              <w:rPr>
                <w:rFonts w:ascii="Calibri" w:hAnsi="Calibri"/>
                <w:b w:val="0"/>
                <w:i w:val="0"/>
                <w:color w:val="5A5A5A"/>
                <w:sz w:val="18"/>
              </w:rPr>
              <w:t>#alcohol  #NAFLD  #metabolicrisk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refined-carbohydrate and ultra-processed diets</w:t>
            </w:r>
          </w:p>
        </w:tc>
        <w:tc>
          <w:tcPr>
            <w:tcW w:type="dxa" w:w="4276"/>
            <w:vAlign w:val="top"/>
          </w:tcPr>
          <w:p>
            <w:pPr>
              <w:spacing w:after="60" w:line="259" w:lineRule="auto"/>
            </w:pPr>
            <w:r>
              <w:rPr>
                <w:rFonts w:ascii="Calibri" w:hAnsi="Calibri"/>
                <w:b w:val="0"/>
                <w:i w:val="0"/>
                <w:color w:val="212121"/>
                <w:sz w:val="19"/>
              </w:rPr>
              <w:t>Diets dominated by white rice, refined wheat, sugar-sweetened beverages and fried/ultra-processed foods cause repeated glucose and insulin spikes, sustaining the hyperinsulinaemia that drives AN.</w:t>
            </w:r>
          </w:p>
          <w:p>
            <w:pPr>
              <w:spacing w:after="40" w:before="60" w:line="259" w:lineRule="auto"/>
            </w:pPr>
            <w:r>
              <w:rPr>
                <w:rFonts w:ascii="Calibri" w:hAnsi="Calibri"/>
                <w:b w:val="0"/>
                <w:i w:val="0"/>
                <w:color w:val="212121"/>
                <w:sz w:val="19"/>
              </w:rPr>
              <w:t>High-glycaemic, energy-dense dietary patterns are a core driver of the obesity and insulin resistance underlying obesity-associated AN, which improves with a lower-glycaemic, fibre-rich diet.</w:t>
            </w:r>
          </w:p>
          <w:p>
            <w:pPr>
              <w:spacing w:before="60" w:after="40"/>
            </w:pPr>
            <w:r>
              <w:rPr>
                <w:rFonts w:ascii="Calibri" w:hAnsi="Calibri"/>
                <w:b w:val="0"/>
                <w:i w:val="0"/>
                <w:color w:val="5A5A5A"/>
                <w:sz w:val="18"/>
              </w:rPr>
              <w:t>#highGI  #refinedcarbs  #sugarsweetenedbeverages  #hyperinsulinaemia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23-24.9 kg/m^2)</w:t>
            </w:r>
          </w:p>
        </w:tc>
        <w:tc>
          <w:tcPr>
            <w:tcW w:type="dxa" w:w="4276"/>
            <w:vAlign w:val="top"/>
          </w:tcPr>
          <w:p>
            <w:pPr>
              <w:spacing w:after="60" w:line="259" w:lineRule="auto"/>
            </w:pPr>
            <w:r>
              <w:rPr>
                <w:rFonts w:ascii="Calibri" w:hAnsi="Calibri"/>
                <w:b w:val="0"/>
                <w:i w:val="0"/>
                <w:color w:val="212121"/>
                <w:sz w:val="19"/>
              </w:rPr>
              <w:t>Even at Asian-Indian 'overweight' cut-offs, excess visceral fat drives insulin resistance; AN prevalence and severity rise steadily with increasing body weight and waist circumference.</w:t>
            </w:r>
          </w:p>
          <w:p>
            <w:pPr>
              <w:spacing w:after="40" w:before="60" w:line="259" w:lineRule="auto"/>
            </w:pPr>
            <w:r>
              <w:rPr>
                <w:rFonts w:ascii="Calibri" w:hAnsi="Calibri"/>
                <w:b w:val="0"/>
                <w:i w:val="0"/>
                <w:color w:val="212121"/>
                <w:sz w:val="19"/>
              </w:rPr>
              <w:t>In Indian PCOS patients, those with AN had significantly higher BMI and waist circumference than those without AN, and 77% of the cohort had a BMI above the normal range.</w:t>
            </w:r>
          </w:p>
          <w:p>
            <w:pPr>
              <w:spacing w:after="40" w:line="252" w:lineRule="auto"/>
            </w:pPr>
            <w:hyperlink r:id="rId14">
              <w:r>
                <w:rPr>
                  <w:rFonts w:ascii="Calibri" w:hAnsi="Calibri" w:cs="Calibri"/>
                  <w:sz w:val="18"/>
                  <w:color w:val="1155CC"/>
                  <w:u w:val="single"/>
                </w:rPr>
                <w:t xml:space="preserve">pubmed.ncbi.nlm.nih.gov/23543316 - AN in PCOS, southern India</w:t>
              </w:r>
            </w:hyperlink>
          </w:p>
          <w:p>
            <w:pPr>
              <w:spacing w:before="60" w:after="40"/>
            </w:pPr>
            <w:r>
              <w:rPr>
                <w:rFonts w:ascii="Calibri" w:hAnsi="Calibri"/>
                <w:b w:val="0"/>
                <w:i w:val="0"/>
                <w:color w:val="5A5A5A"/>
                <w:sz w:val="18"/>
              </w:rPr>
              <w:t>#overweight  #AsianIndianBMI  #waistcircumference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and children (BMI &gt;= 25 kg/m^2, Asian-Indian)</w:t>
            </w:r>
          </w:p>
        </w:tc>
        <w:tc>
          <w:tcPr>
            <w:tcW w:type="dxa" w:w="4276"/>
            <w:vAlign w:val="top"/>
          </w:tcPr>
          <w:p>
            <w:pPr>
              <w:spacing w:after="60" w:line="259" w:lineRule="auto"/>
            </w:pPr>
            <w:r>
              <w:rPr>
                <w:rFonts w:ascii="Calibri" w:hAnsi="Calibri"/>
                <w:b w:val="0"/>
                <w:i w:val="0"/>
                <w:color w:val="212121"/>
                <w:sz w:val="19"/>
              </w:rPr>
              <w:t>Obesity is the single strongest modifiable driver of AN; marked hyperinsulinaemia produces widespread velvety plaques on the neck, axillae and knuckles that often regress with weight loss.</w:t>
            </w:r>
          </w:p>
          <w:p>
            <w:pPr>
              <w:spacing w:after="40" w:before="60" w:line="259" w:lineRule="auto"/>
            </w:pPr>
            <w:r>
              <w:rPr>
                <w:rFonts w:ascii="Calibri" w:hAnsi="Calibri"/>
                <w:b w:val="0"/>
                <w:i w:val="0"/>
                <w:color w:val="212121"/>
                <w:sz w:val="19"/>
              </w:rPr>
              <w:t>61.5% of obese Indian adolescents had AN, versus far lower rates in non-obese peers, underscoring obesity as the dominant risk factor.</w:t>
            </w:r>
          </w:p>
          <w:p>
            <w:pPr>
              <w:spacing w:after="40" w:line="252" w:lineRule="auto"/>
            </w:pPr>
            <w:hyperlink r:id="rId10">
              <w:r>
                <w:rPr>
                  <w:rFonts w:ascii="Calibri" w:hAnsi="Calibri" w:cs="Calibri"/>
                  <w:sz w:val="18"/>
                  <w:color w:val="1155CC"/>
                  <w:u w:val="single"/>
                </w:rPr>
                <w:t xml:space="preserve">pubmed.ncbi.nlm.nih.gov/35136792 - AN and physical activity in adolescents</w:t>
              </w:r>
            </w:hyperlink>
          </w:p>
          <w:p>
            <w:pPr>
              <w:spacing w:before="60" w:after="40"/>
            </w:pPr>
            <w:r>
              <w:rPr>
                <w:rFonts w:ascii="Calibri" w:hAnsi="Calibri"/>
                <w:b w:val="0"/>
                <w:i w:val="0"/>
                <w:color w:val="5A5A5A"/>
                <w:sz w:val="18"/>
              </w:rPr>
              <w:t>#obesity  #reversible  #weightloss  #hyperinsulinaemia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diabetes / obesity / AN</w:t>
            </w:r>
          </w:p>
        </w:tc>
        <w:tc>
          <w:tcPr>
            <w:tcW w:type="dxa" w:w="4276"/>
            <w:vAlign w:val="top"/>
          </w:tcPr>
          <w:p>
            <w:pPr>
              <w:spacing w:after="60" w:line="259" w:lineRule="auto"/>
            </w:pPr>
            <w:r>
              <w:rPr>
                <w:rFonts w:ascii="Calibri" w:hAnsi="Calibri"/>
                <w:b w:val="0"/>
                <w:i w:val="0"/>
                <w:color w:val="212121"/>
                <w:sz w:val="19"/>
              </w:rPr>
              <w:t>A strong family history of type 2 diabetes and obesity reflects inherited insulin resistance; hereditary (FGFR3-associated) AN can also run in families and appear in childhood independent of metabolic disease.</w:t>
            </w:r>
          </w:p>
          <w:p>
            <w:pPr>
              <w:spacing w:after="40" w:before="60" w:line="259" w:lineRule="auto"/>
            </w:pPr>
            <w:r>
              <w:rPr>
                <w:rFonts w:ascii="Calibri" w:hAnsi="Calibri"/>
                <w:b w:val="0"/>
                <w:i w:val="0"/>
                <w:color w:val="212121"/>
                <w:sz w:val="19"/>
              </w:rPr>
              <w:t>In an Indian PCOS cohort, all patients who had AN also had a family history of diabetes, highlighting familial clustering of the underlying insulin-resistance trait.</w:t>
            </w:r>
          </w:p>
          <w:p>
            <w:pPr>
              <w:spacing w:after="40" w:line="252" w:lineRule="auto"/>
            </w:pPr>
            <w:hyperlink r:id="rId14">
              <w:r>
                <w:rPr>
                  <w:rFonts w:ascii="Calibri" w:hAnsi="Calibri" w:cs="Calibri"/>
                  <w:sz w:val="18"/>
                  <w:color w:val="1155CC"/>
                  <w:u w:val="single"/>
                </w:rPr>
                <w:t xml:space="preserve">pubmed.ncbi.nlm.nih.gov/23543316 - AN in PCOS, southern India</w:t>
              </w:r>
            </w:hyperlink>
          </w:p>
          <w:p>
            <w:pPr>
              <w:spacing w:before="60" w:after="40"/>
            </w:pPr>
            <w:r>
              <w:rPr>
                <w:rFonts w:ascii="Calibri" w:hAnsi="Calibri"/>
                <w:b w:val="0"/>
                <w:i w:val="0"/>
                <w:color w:val="5A5A5A"/>
                <w:sz w:val="18"/>
              </w:rPr>
              <w:t>#familyhistory  #FGFR3  #inheritedIR  #hereditaryAN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Polycystic ovary syndrome (PCOS)</w:t>
            </w:r>
          </w:p>
        </w:tc>
        <w:tc>
          <w:tcPr>
            <w:tcW w:type="dxa" w:w="2160"/>
            <w:vAlign w:val="top"/>
          </w:tcPr>
          <w:p>
            <w:pPr>
              <w:spacing w:after="40" w:before="0" w:line="259" w:lineRule="auto"/>
            </w:pPr>
            <w:r>
              <w:rPr>
                <w:rFonts w:ascii="Calibri" w:hAnsi="Calibri"/>
                <w:b w:val="0"/>
                <w:i w:val="0"/>
                <w:color w:val="212121"/>
                <w:sz w:val="19"/>
              </w:rPr>
              <w:t>Women with PCOS / HAIR-AN</w:t>
            </w:r>
          </w:p>
        </w:tc>
        <w:tc>
          <w:tcPr>
            <w:tcW w:type="dxa" w:w="4276"/>
            <w:vAlign w:val="top"/>
          </w:tcPr>
          <w:p>
            <w:pPr>
              <w:spacing w:after="60" w:line="259" w:lineRule="auto"/>
            </w:pPr>
            <w:r>
              <w:rPr>
                <w:rFonts w:ascii="Calibri" w:hAnsi="Calibri"/>
                <w:b w:val="0"/>
                <w:i w:val="0"/>
                <w:color w:val="212121"/>
                <w:sz w:val="19"/>
              </w:rPr>
              <w:t>PCOS combines hyperandrogenism with insulin resistance; AN is a core cutaneous feature (part of the HAIR-AN syndrome) and signals a higher risk of glucose intolerance in these women.</w:t>
            </w:r>
          </w:p>
          <w:p>
            <w:pPr>
              <w:spacing w:after="40" w:before="60" w:line="259" w:lineRule="auto"/>
            </w:pPr>
            <w:r>
              <w:rPr>
                <w:rFonts w:ascii="Calibri" w:hAnsi="Calibri"/>
                <w:b w:val="0"/>
                <w:i w:val="0"/>
                <w:color w:val="212121"/>
                <w:sz w:val="19"/>
              </w:rPr>
              <w:t>AN was present in 56% of Indian PCOS patients; 77% of PCOS patients with AN had type 2 diabetes versus none of those without AN.</w:t>
            </w:r>
          </w:p>
          <w:p>
            <w:pPr>
              <w:spacing w:after="40" w:line="252" w:lineRule="auto"/>
            </w:pPr>
            <w:hyperlink r:id="rId14">
              <w:r>
                <w:rPr>
                  <w:rFonts w:ascii="Calibri" w:hAnsi="Calibri" w:cs="Calibri"/>
                  <w:sz w:val="18"/>
                  <w:color w:val="1155CC"/>
                  <w:u w:val="single"/>
                </w:rPr>
                <w:t xml:space="preserve">pubmed.ncbi.nlm.nih.gov/23543316 - AN in PCOS, southern India</w:t>
              </w:r>
            </w:hyperlink>
          </w:p>
          <w:p>
            <w:pPr>
              <w:spacing w:before="60" w:after="40"/>
            </w:pPr>
            <w:r>
              <w:rPr>
                <w:rFonts w:ascii="Calibri" w:hAnsi="Calibri"/>
                <w:b w:val="0"/>
                <w:i w:val="0"/>
                <w:color w:val="5A5A5A"/>
                <w:sz w:val="18"/>
              </w:rPr>
              <w:t>#PCOS  #HAIRAN  #hyperandrogenism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prediabetes</w:t>
            </w:r>
          </w:p>
        </w:tc>
        <w:tc>
          <w:tcPr>
            <w:tcW w:type="dxa" w:w="2160"/>
            <w:vAlign w:val="top"/>
          </w:tcPr>
          <w:p>
            <w:pPr>
              <w:spacing w:after="40" w:before="0" w:line="259" w:lineRule="auto"/>
            </w:pPr>
            <w:r>
              <w:rPr>
                <w:rFonts w:ascii="Calibri" w:hAnsi="Calibri"/>
                <w:b w:val="0"/>
                <w:i w:val="0"/>
                <w:color w:val="212121"/>
                <w:sz w:val="19"/>
              </w:rPr>
              <w:t>Adults with dysglycaemia</w:t>
            </w:r>
          </w:p>
        </w:tc>
        <w:tc>
          <w:tcPr>
            <w:tcW w:type="dxa" w:w="4276"/>
            <w:vAlign w:val="top"/>
          </w:tcPr>
          <w:p>
            <w:pPr>
              <w:spacing w:after="60" w:line="259" w:lineRule="auto"/>
            </w:pPr>
            <w:r>
              <w:rPr>
                <w:rFonts w:ascii="Calibri" w:hAnsi="Calibri"/>
                <w:b w:val="0"/>
                <w:i w:val="0"/>
                <w:color w:val="212121"/>
                <w:sz w:val="19"/>
              </w:rPr>
              <w:t>AN reflects the chronic hyperinsulinaemia that precedes and accompanies type 2 diabetes; its severity on the neck correlates with measured insulin resistance, making it a bedside diabetes-risk marker.</w:t>
            </w:r>
          </w:p>
          <w:p>
            <w:pPr>
              <w:spacing w:after="40" w:before="60" w:line="259" w:lineRule="auto"/>
            </w:pPr>
            <w:r>
              <w:rPr>
                <w:rFonts w:ascii="Calibri" w:hAnsi="Calibri"/>
                <w:b w:val="0"/>
                <w:i w:val="0"/>
                <w:color w:val="212121"/>
                <w:sz w:val="19"/>
              </w:rPr>
              <w:t>People with AN are about twice as likely to have type 2 diabetes (35.4% vs 17.6%); in newly diagnosed Indian diabetics, neck AN severity correlated significantly with fasting glucose, fasting insulin and HOMA-IR.</w:t>
            </w:r>
          </w:p>
          <w:p>
            <w:pPr>
              <w:spacing w:after="40" w:line="252" w:lineRule="auto"/>
            </w:pPr>
            <w:hyperlink r:id="rId15">
              <w:r>
                <w:rPr>
                  <w:rFonts w:ascii="Calibri" w:hAnsi="Calibri" w:cs="Calibri"/>
                  <w:sz w:val="18"/>
                  <w:color w:val="1155CC"/>
                  <w:u w:val="single"/>
                </w:rPr>
                <w:t xml:space="preserve">pubmed.ncbi.nlm.nih.gov/23565457 - AN and insulin resistance in diabetic Indians</w:t>
              </w:r>
            </w:hyperlink>
          </w:p>
          <w:p>
            <w:pPr>
              <w:spacing w:before="60" w:after="40"/>
            </w:pPr>
            <w:r>
              <w:rPr>
                <w:rFonts w:ascii="Calibri" w:hAnsi="Calibri"/>
                <w:b w:val="0"/>
                <w:i w:val="0"/>
                <w:color w:val="5A5A5A"/>
                <w:sz w:val="18"/>
              </w:rPr>
              <w:t>#type2diabetes  #prediabetes  #HOMAIR  #dysglycaemia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NAFLD / metabolic syndrome</w:t>
            </w:r>
          </w:p>
        </w:tc>
        <w:tc>
          <w:tcPr>
            <w:tcW w:type="dxa" w:w="2160"/>
            <w:vAlign w:val="top"/>
          </w:tcPr>
          <w:p>
            <w:pPr>
              <w:spacing w:after="40" w:before="0" w:line="259" w:lineRule="auto"/>
            </w:pPr>
            <w:r>
              <w:rPr>
                <w:rFonts w:ascii="Calibri" w:hAnsi="Calibri"/>
                <w:b w:val="0"/>
                <w:i w:val="0"/>
                <w:color w:val="212121"/>
                <w:sz w:val="19"/>
              </w:rPr>
              <w:t>Adults with fatty liver and metabolic syndrome</w:t>
            </w:r>
          </w:p>
        </w:tc>
        <w:tc>
          <w:tcPr>
            <w:tcW w:type="dxa" w:w="4276"/>
            <w:vAlign w:val="top"/>
          </w:tcPr>
          <w:p>
            <w:pPr>
              <w:spacing w:after="60" w:line="259" w:lineRule="auto"/>
            </w:pPr>
            <w:r>
              <w:rPr>
                <w:rFonts w:ascii="Calibri" w:hAnsi="Calibri"/>
                <w:b w:val="0"/>
                <w:i w:val="0"/>
                <w:color w:val="212121"/>
                <w:sz w:val="19"/>
              </w:rPr>
              <w:t>AN clusters with the metabolic syndrome and non-alcoholic fatty liver disease through shared insulin resistance, and in diabetics it independently signals more advanced liver disease.</w:t>
            </w:r>
          </w:p>
          <w:p>
            <w:pPr>
              <w:spacing w:after="40" w:before="60" w:line="259" w:lineRule="auto"/>
            </w:pPr>
            <w:r>
              <w:rPr>
                <w:rFonts w:ascii="Calibri" w:hAnsi="Calibri"/>
                <w:b w:val="0"/>
                <w:i w:val="0"/>
                <w:color w:val="212121"/>
                <w:sz w:val="19"/>
              </w:rPr>
              <w:t>In North Indian type 2 diabetics, AN independently predicted hepatic fibrosis (adjusted odds ratio 2.47; 95% CI 1.50-4.06; p=0.001).</w:t>
            </w:r>
          </w:p>
          <w:p>
            <w:pPr>
              <w:spacing w:after="40" w:line="252" w:lineRule="auto"/>
            </w:pPr>
            <w:hyperlink r:id="rId16">
              <w:r>
                <w:rPr>
                  <w:rFonts w:ascii="Calibri" w:hAnsi="Calibri" w:cs="Calibri"/>
                  <w:sz w:val="18"/>
                  <w:color w:val="1155CC"/>
                  <w:u w:val="single"/>
                </w:rPr>
                <w:t xml:space="preserve">pubmed.ncbi.nlm.nih.gov/38245384 - AN predicts hepatic fibrosis in T2D, North India</w:t>
              </w:r>
            </w:hyperlink>
          </w:p>
          <w:p>
            <w:pPr>
              <w:spacing w:before="60" w:after="40"/>
            </w:pPr>
            <w:r>
              <w:rPr>
                <w:rFonts w:ascii="Calibri" w:hAnsi="Calibri"/>
                <w:b w:val="0"/>
                <w:i w:val="0"/>
                <w:color w:val="5A5A5A"/>
                <w:sz w:val="18"/>
              </w:rPr>
              <w:t>#NAFLD  #hepaticfibrosis  #metabolicsyndrome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Internal malignancy</w:t>
            </w:r>
          </w:p>
        </w:tc>
        <w:tc>
          <w:tcPr>
            <w:tcW w:type="dxa" w:w="2160"/>
            <w:vAlign w:val="top"/>
          </w:tcPr>
          <w:p>
            <w:pPr>
              <w:spacing w:after="40" w:before="0" w:line="259" w:lineRule="auto"/>
            </w:pPr>
            <w:r>
              <w:rPr>
                <w:rFonts w:ascii="Calibri" w:hAnsi="Calibri"/>
                <w:b w:val="0"/>
                <w:i w:val="0"/>
                <w:color w:val="212121"/>
                <w:sz w:val="19"/>
              </w:rPr>
              <w:t>Adults with gastrointestinal (gastric) adenocarcinoma</w:t>
            </w:r>
          </w:p>
        </w:tc>
        <w:tc>
          <w:tcPr>
            <w:tcW w:type="dxa" w:w="4276"/>
            <w:vAlign w:val="top"/>
          </w:tcPr>
          <w:p>
            <w:pPr>
              <w:spacing w:after="60" w:line="259" w:lineRule="auto"/>
            </w:pPr>
            <w:r>
              <w:rPr>
                <w:rFonts w:ascii="Calibri" w:hAnsi="Calibri"/>
                <w:b w:val="0"/>
                <w:i w:val="0"/>
                <w:color w:val="212121"/>
                <w:sz w:val="19"/>
              </w:rPr>
              <w:t>Malignant AN is a paraneoplastic phenomenon in which tumour-derived growth factors drive rapid, extensive skin change, frequently preceding the cancer diagnosis and warranting urgent GI evaluation.</w:t>
            </w:r>
          </w:p>
          <w:p>
            <w:pPr>
              <w:spacing w:after="40" w:before="60" w:line="259" w:lineRule="auto"/>
            </w:pPr>
            <w:r>
              <w:rPr>
                <w:rFonts w:ascii="Calibri" w:hAnsi="Calibri"/>
                <w:b w:val="0"/>
                <w:i w:val="0"/>
                <w:color w:val="212121"/>
                <w:sz w:val="19"/>
              </w:rPr>
              <w:t>Gastric adenocarcinoma accounts for roughly 60% of malignant AN cases; abrupt, widespread AN with mucosal or 'tripe palm' involvement should trigger malignancy work-up.</w:t>
            </w:r>
          </w:p>
          <w:p>
            <w:pPr>
              <w:spacing w:after="40" w:line="252" w:lineRule="auto"/>
            </w:pPr>
            <w:hyperlink r:id="rId13">
              <w:r>
                <w:rPr>
                  <w:rFonts w:ascii="Calibri" w:hAnsi="Calibri" w:cs="Calibri"/>
                  <w:sz w:val="18"/>
                  <w:color w:val="1155CC"/>
                  <w:u w:val="single"/>
                </w:rPr>
                <w:t xml:space="preserve">dermnetnz.org - Acanthosis nigricans</w:t>
              </w:r>
            </w:hyperlink>
          </w:p>
          <w:p>
            <w:pPr>
              <w:spacing w:before="60" w:after="40"/>
            </w:pPr>
            <w:r>
              <w:rPr>
                <w:rFonts w:ascii="Calibri" w:hAnsi="Calibri"/>
                <w:b w:val="0"/>
                <w:i w:val="0"/>
                <w:color w:val="5A5A5A"/>
                <w:sz w:val="18"/>
              </w:rPr>
              <w:t>#malignantAN  #gastricadenocarcinoma  #paraneoplastic  #tripepalms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drives insulin resistance and central obesity, the substrate for AN; in Indian adolescents AN was significantly and inversely associated with physical activity (p=0.0001), and regular exercise improves insulin sensitivity and can lighten lesions.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High-glycaemic, energy-dense, ultra-processed diets cause repeated insulin spikes and weight gain, sustaining the hyperinsulinaemia that produces AN; a lower-glycaemic, fibre-rich diet with weight loss frequently improves the skin.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and obstructive sleep apnoea, common in obese individuals, worsen insulin resistance and glucose handling, indirectly promoting and perpetuating AN.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aggravates insulin resistance, visceral adiposity and the metabolic syndrome, the physiological background against which obesity-associated AN develops.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intake contributes to central obesity, dyslipidaemia and fatty liver, worsening the metabolic milieu of insulin resistance, but has only a weak direct relationship with AN.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 itself causes cosmetic and psychosocial distress and lowered self-esteem; depression and obesity/insulin resistance are bidirectionally linked, indirectly influencing the condition.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relationship between hydration and AN; adequate hydration supports general metabolic health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or consistent relationship between caffeine intake and AN.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AN, but thickened, macerated flexural plaques can retain moisture and odour and predispose to secondary bacterial or fungal (intertrigo) infection if neglected.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Identifiable provokers include drugs (nicotinic acid, systemic corticosteroids, oestrogens/oral contraceptives, exogenous insulin, protease inhibitors, aripiprazole), rapid weight gain, endocrinopathies (PCOS, Cushing, acromegaly, hypothyroidism) and, rarely, an underlying internal malignancy.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adolescents, overweight/obese</w:t>
            </w:r>
          </w:p>
        </w:tc>
        <w:tc>
          <w:tcPr>
            <w:tcW w:type="dxa" w:w="1512"/>
            <w:vAlign w:val="top"/>
          </w:tcPr>
          <w:p>
            <w:pPr>
              <w:spacing w:after="40" w:before="0" w:line="259" w:lineRule="auto"/>
            </w:pPr>
            <w:r>
              <w:rPr>
                <w:rFonts w:ascii="Calibri" w:hAnsi="Calibri"/>
                <w:b w:val="0"/>
                <w:i w:val="0"/>
                <w:color w:val="212121"/>
                <w:sz w:val="19"/>
              </w:rPr>
              <w:t>18.5-22.9 kg/m^2 (Asian-Indian cut-off)</w:t>
            </w:r>
          </w:p>
        </w:tc>
        <w:tc>
          <w:tcPr>
            <w:tcW w:type="dxa" w:w="1512"/>
            <w:vAlign w:val="top"/>
          </w:tcPr>
          <w:p>
            <w:pPr>
              <w:spacing w:after="40" w:before="0" w:line="259" w:lineRule="auto"/>
            </w:pPr>
            <w:r>
              <w:rPr>
                <w:rFonts w:ascii="Calibri" w:hAnsi="Calibri"/>
                <w:b w:val="0"/>
                <w:i w:val="0"/>
                <w:color w:val="212121"/>
                <w:sz w:val="19"/>
              </w:rPr>
              <w:t>&gt;= 23 overweight; &gt;= 25 obese (Asian-Indian)</w:t>
            </w:r>
          </w:p>
        </w:tc>
        <w:tc>
          <w:tcPr>
            <w:tcW w:type="dxa" w:w="1468"/>
            <w:vAlign w:val="top"/>
          </w:tcPr>
          <w:p>
            <w:pPr>
              <w:spacing w:after="60" w:line="259" w:lineRule="auto"/>
            </w:pPr>
            <w:r>
              <w:rPr>
                <w:rFonts w:ascii="Calibri" w:hAnsi="Calibri"/>
                <w:b w:val="0"/>
                <w:i w:val="0"/>
                <w:color w:val="212121"/>
                <w:sz w:val="19"/>
              </w:rPr>
              <w:t>Rising BMI is the strongest driver of AN severity; weight loss often lightens lesions</w:t>
            </w:r>
          </w:p>
          <w:p>
            <w:pPr>
              <w:spacing w:after="40" w:line="252" w:lineRule="auto"/>
            </w:pPr>
            <w:hyperlink r:id="rId10">
              <w:r>
                <w:rPr>
                  <w:rFonts w:ascii="Calibri" w:hAnsi="Calibri" w:cs="Calibri"/>
                  <w:sz w:val="18"/>
                  <w:color w:val="1155CC"/>
                  <w:u w:val="single"/>
                </w:rPr>
                <w:t xml:space="preserve">https://pubmed.ncbi.nlm.nih.gov/35136792/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with central obesity</w:t>
            </w:r>
          </w:p>
        </w:tc>
        <w:tc>
          <w:tcPr>
            <w:tcW w:type="dxa" w:w="1512"/>
            <w:vAlign w:val="top"/>
          </w:tcPr>
          <w:p>
            <w:pPr>
              <w:spacing w:after="40" w:before="0" w:line="259" w:lineRule="auto"/>
            </w:pPr>
            <w:r>
              <w:rPr>
                <w:rFonts w:ascii="Calibri" w:hAnsi="Calibri"/>
                <w:b w:val="0"/>
                <w:i w:val="0"/>
                <w:color w:val="212121"/>
                <w:sz w:val="19"/>
              </w:rPr>
              <w:t>M &lt; 90 cm; F &lt; 80 cm (Asian-Indian)</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60" w:line="259" w:lineRule="auto"/>
            </w:pPr>
            <w:r>
              <w:rPr>
                <w:rFonts w:ascii="Calibri" w:hAnsi="Calibri"/>
                <w:b w:val="0"/>
                <w:i w:val="0"/>
                <w:color w:val="212121"/>
                <w:sz w:val="19"/>
              </w:rPr>
              <w:t>Visceral adiposity correlates with insulin resistance and AN presence/severity</w:t>
            </w:r>
          </w:p>
          <w:p>
            <w:pPr>
              <w:spacing w:after="40" w:line="252" w:lineRule="auto"/>
            </w:pPr>
            <w:hyperlink r:id="rId14">
              <w:r>
                <w:rPr>
                  <w:rFonts w:ascii="Calibri" w:hAnsi="Calibri" w:cs="Calibri"/>
                  <w:sz w:val="18"/>
                  <w:color w:val="1155CC"/>
                  <w:u w:val="single"/>
                </w:rPr>
                <w:t xml:space="preserve">https://pubmed.ncbi.nlm.nih.gov/23543316/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PCOS, overweight</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&gt;= 0.90; F &gt;= 0.85</w:t>
            </w:r>
          </w:p>
        </w:tc>
        <w:tc>
          <w:tcPr>
            <w:tcW w:type="dxa" w:w="1468"/>
            <w:vAlign w:val="top"/>
          </w:tcPr>
          <w:p>
            <w:pPr>
              <w:spacing w:after="40" w:before="0" w:line="259" w:lineRule="auto"/>
            </w:pPr>
            <w:r>
              <w:rPr>
                <w:rFonts w:ascii="Calibri" w:hAnsi="Calibri"/>
                <w:b w:val="0"/>
                <w:i w:val="0"/>
                <w:color w:val="212121"/>
                <w:sz w:val="19"/>
              </w:rPr>
              <w:t>High ratio marks central fat and insulin resistance underlying AN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&gt;= 150 min/week adults; &gt;= 60 min/day children</w:t>
            </w:r>
          </w:p>
        </w:tc>
        <w:tc>
          <w:tcPr>
            <w:tcW w:type="dxa" w:w="1512"/>
            <w:vAlign w:val="top"/>
          </w:tcPr>
          <w:p>
            <w:pPr>
              <w:spacing w:after="40" w:before="0" w:line="259" w:lineRule="auto"/>
            </w:pPr>
            <w:r>
              <w:rPr>
                <w:rFonts w:ascii="Calibri" w:hAnsi="Calibri"/>
                <w:b w:val="0"/>
                <w:i w:val="0"/>
                <w:color w:val="212121"/>
                <w:sz w:val="19"/>
              </w:rPr>
              <w:t>&lt; 150 min/week (adults); largely sedentary</w:t>
            </w:r>
          </w:p>
        </w:tc>
        <w:tc>
          <w:tcPr>
            <w:tcW w:type="dxa" w:w="1468"/>
            <w:vAlign w:val="top"/>
          </w:tcPr>
          <w:p>
            <w:pPr>
              <w:spacing w:after="60" w:line="259" w:lineRule="auto"/>
            </w:pPr>
            <w:r>
              <w:rPr>
                <w:rFonts w:ascii="Calibri" w:hAnsi="Calibri"/>
                <w:b w:val="0"/>
                <w:i w:val="0"/>
                <w:color w:val="212121"/>
                <w:sz w:val="19"/>
              </w:rPr>
              <w:t>Inactivity independently associated with AN in adolescents</w:t>
            </w:r>
          </w:p>
          <w:p>
            <w:pPr>
              <w:spacing w:after="40" w:line="252" w:lineRule="auto"/>
            </w:pPr>
            <w:hyperlink r:id="rId10">
              <w:r>
                <w:rPr>
                  <w:rFonts w:ascii="Calibri" w:hAnsi="Calibri" w:cs="Calibri"/>
                  <w:sz w:val="18"/>
                  <w:color w:val="1155CC"/>
                  <w:u w:val="single"/>
                </w:rPr>
                <w:t xml:space="preserve">https://pubmed.ncbi.nlm.nih.gov/35136792/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Adults with AN, high-risk children</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 100 mg/dL (prediabetes); &gt;= 126 mg/dL (diabetes)</w:t>
            </w:r>
          </w:p>
        </w:tc>
        <w:tc>
          <w:tcPr>
            <w:tcW w:type="dxa" w:w="1468"/>
            <w:vAlign w:val="top"/>
          </w:tcPr>
          <w:p>
            <w:pPr>
              <w:spacing w:after="60" w:line="259" w:lineRule="auto"/>
            </w:pPr>
            <w:r>
              <w:rPr>
                <w:rFonts w:ascii="Calibri" w:hAnsi="Calibri"/>
                <w:b w:val="0"/>
                <w:i w:val="0"/>
                <w:color w:val="212121"/>
                <w:sz w:val="19"/>
              </w:rPr>
              <w:t>AN warrants dysglycaemia screening; neck AN severity correlates with fasting glucose</w:t>
            </w:r>
          </w:p>
          <w:p>
            <w:pPr>
              <w:spacing w:after="40" w:line="252" w:lineRule="auto"/>
            </w:pPr>
            <w:hyperlink r:id="rId15">
              <w:r>
                <w:rPr>
                  <w:rFonts w:ascii="Calibri" w:hAnsi="Calibri" w:cs="Calibri"/>
                  <w:sz w:val="18"/>
                  <w:color w:val="1155CC"/>
                  <w:u w:val="single"/>
                </w:rPr>
                <w:t xml:space="preserve">https://pubmed.ncbi.nlm.nih.gov/23565457/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Glycated haemoglobin (HbA1c, %)</w:t>
            </w:r>
          </w:p>
        </w:tc>
        <w:tc>
          <w:tcPr>
            <w:tcW w:type="dxa" w:w="1655"/>
            <w:vAlign w:val="top"/>
          </w:tcPr>
          <w:p>
            <w:pPr>
              <w:spacing w:after="40" w:before="0" w:line="259" w:lineRule="auto"/>
            </w:pPr>
            <w:r>
              <w:rPr>
                <w:rFonts w:ascii="Calibri" w:hAnsi="Calibri"/>
                <w:b w:val="0"/>
                <w:i w:val="0"/>
                <w:color w:val="212121"/>
                <w:sz w:val="19"/>
              </w:rPr>
              <w:t>Adults with AN</w:t>
            </w:r>
          </w:p>
        </w:tc>
        <w:tc>
          <w:tcPr>
            <w:tcW w:type="dxa" w:w="1512"/>
            <w:vAlign w:val="top"/>
          </w:tcPr>
          <w:p>
            <w:pPr>
              <w:spacing w:after="40" w:before="0" w:line="259" w:lineRule="auto"/>
            </w:pPr>
            <w:r>
              <w:rPr>
                <w:rFonts w:ascii="Calibri" w:hAnsi="Calibri"/>
                <w:b w:val="0"/>
                <w:i w:val="0"/>
                <w:color w:val="212121"/>
                <w:sz w:val="19"/>
              </w:rPr>
              <w:t>4.0-5.6 %</w:t>
            </w:r>
          </w:p>
        </w:tc>
        <w:tc>
          <w:tcPr>
            <w:tcW w:type="dxa" w:w="1512"/>
            <w:vAlign w:val="top"/>
          </w:tcPr>
          <w:p>
            <w:pPr>
              <w:spacing w:after="40" w:before="0" w:line="259" w:lineRule="auto"/>
            </w:pPr>
            <w:r>
              <w:rPr>
                <w:rFonts w:ascii="Calibri" w:hAnsi="Calibri"/>
                <w:b w:val="0"/>
                <w:i w:val="0"/>
                <w:color w:val="212121"/>
                <w:sz w:val="19"/>
              </w:rPr>
              <w:t>&gt;= 5.7 % (prediabetes); &gt;= 6.5 % (diabetes)</w:t>
            </w:r>
          </w:p>
        </w:tc>
        <w:tc>
          <w:tcPr>
            <w:tcW w:type="dxa" w:w="1468"/>
            <w:vAlign w:val="top"/>
          </w:tcPr>
          <w:p>
            <w:pPr>
              <w:spacing w:after="40" w:before="0" w:line="259" w:lineRule="auto"/>
            </w:pPr>
            <w:r>
              <w:rPr>
                <w:rFonts w:ascii="Calibri" w:hAnsi="Calibri"/>
                <w:b w:val="0"/>
                <w:i w:val="0"/>
                <w:color w:val="212121"/>
                <w:sz w:val="19"/>
              </w:rPr>
              <w:t>Screens for the diabetes/prediabetes commonly underlying AN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insulin / HOMA-IR</w:t>
            </w:r>
          </w:p>
        </w:tc>
        <w:tc>
          <w:tcPr>
            <w:tcW w:type="dxa" w:w="1655"/>
            <w:vAlign w:val="top"/>
          </w:tcPr>
          <w:p>
            <w:pPr>
              <w:spacing w:after="40" w:before="0" w:line="259" w:lineRule="auto"/>
            </w:pPr>
            <w:r>
              <w:rPr>
                <w:rFonts w:ascii="Calibri" w:hAnsi="Calibri"/>
                <w:b w:val="0"/>
                <w:i w:val="0"/>
                <w:color w:val="212121"/>
                <w:sz w:val="19"/>
              </w:rPr>
              <w:t>AN patients, PCOS</w:t>
            </w:r>
          </w:p>
        </w:tc>
        <w:tc>
          <w:tcPr>
            <w:tcW w:type="dxa" w:w="1512"/>
            <w:vAlign w:val="top"/>
          </w:tcPr>
          <w:p>
            <w:pPr>
              <w:spacing w:after="40" w:before="0" w:line="259" w:lineRule="auto"/>
            </w:pPr>
            <w:r>
              <w:rPr>
                <w:rFonts w:ascii="Calibri" w:hAnsi="Calibri"/>
                <w:b w:val="0"/>
                <w:i w:val="0"/>
                <w:color w:val="212121"/>
                <w:sz w:val="19"/>
              </w:rPr>
              <w:t>HOMA-IR &lt; ~2.0</w:t>
            </w:r>
          </w:p>
        </w:tc>
        <w:tc>
          <w:tcPr>
            <w:tcW w:type="dxa" w:w="1512"/>
            <w:vAlign w:val="top"/>
          </w:tcPr>
          <w:p>
            <w:pPr>
              <w:spacing w:after="40" w:before="0" w:line="259" w:lineRule="auto"/>
            </w:pPr>
            <w:r>
              <w:rPr>
                <w:rFonts w:ascii="Calibri" w:hAnsi="Calibri"/>
                <w:b w:val="0"/>
                <w:i w:val="0"/>
                <w:color w:val="212121"/>
                <w:sz w:val="19"/>
              </w:rPr>
              <w:t>HOMA-IR &gt;= ~2.5 (insulin resistance)</w:t>
            </w:r>
          </w:p>
        </w:tc>
        <w:tc>
          <w:tcPr>
            <w:tcW w:type="dxa" w:w="1468"/>
            <w:vAlign w:val="top"/>
          </w:tcPr>
          <w:p>
            <w:pPr>
              <w:spacing w:after="60" w:line="259" w:lineRule="auto"/>
            </w:pPr>
            <w:r>
              <w:rPr>
                <w:rFonts w:ascii="Calibri" w:hAnsi="Calibri"/>
                <w:b w:val="0"/>
                <w:i w:val="0"/>
                <w:color w:val="212121"/>
                <w:sz w:val="19"/>
              </w:rPr>
              <w:t>Quantifies the hyperinsulinaemia that drives AN; neck AN severity correlates with fasting insulin and HOMA-IR</w:t>
            </w:r>
          </w:p>
          <w:p>
            <w:pPr>
              <w:spacing w:after="40" w:line="252" w:lineRule="auto"/>
            </w:pPr>
            <w:hyperlink r:id="rId15">
              <w:r>
                <w:rPr>
                  <w:rFonts w:ascii="Calibri" w:hAnsi="Calibri" w:cs="Calibri"/>
                  <w:sz w:val="18"/>
                  <w:color w:val="1155CC"/>
                  <w:u w:val="single"/>
                </w:rPr>
                <w:t xml:space="preserve">https://pubmed.ncbi.nlm.nih.gov/23565457/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triglycerides (mg/dL)</w:t>
            </w:r>
          </w:p>
        </w:tc>
        <w:tc>
          <w:tcPr>
            <w:tcW w:type="dxa" w:w="1655"/>
            <w:vAlign w:val="top"/>
          </w:tcPr>
          <w:p>
            <w:pPr>
              <w:spacing w:after="40" w:before="0" w:line="259" w:lineRule="auto"/>
            </w:pPr>
            <w:r>
              <w:rPr>
                <w:rFonts w:ascii="Calibri" w:hAnsi="Calibri"/>
                <w:b w:val="0"/>
                <w:i w:val="0"/>
                <w:color w:val="212121"/>
                <w:sz w:val="19"/>
              </w:rPr>
              <w:t>Adults with AN, metabolic syndrome</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&gt;= 150 mg/dL</w:t>
            </w:r>
          </w:p>
        </w:tc>
        <w:tc>
          <w:tcPr>
            <w:tcW w:type="dxa" w:w="1468"/>
            <w:vAlign w:val="top"/>
          </w:tcPr>
          <w:p>
            <w:pPr>
              <w:spacing w:after="60" w:line="259" w:lineRule="auto"/>
            </w:pPr>
            <w:r>
              <w:rPr>
                <w:rFonts w:ascii="Calibri" w:hAnsi="Calibri"/>
                <w:b w:val="0"/>
                <w:i w:val="0"/>
                <w:color w:val="212121"/>
                <w:sz w:val="19"/>
              </w:rPr>
              <w:t>High triglycerides cluster with AN as part of insulin resistance</w:t>
            </w:r>
          </w:p>
          <w:p>
            <w:pPr>
              <w:spacing w:after="40" w:line="252" w:lineRule="auto"/>
            </w:pPr>
            <w:hyperlink r:id="rId9">
              <w:r>
                <w:rPr>
                  <w:rFonts w:ascii="Calibri" w:hAnsi="Calibri" w:cs="Calibri"/>
                  <w:sz w:val="18"/>
                  <w:color w:val="1155CC"/>
                  <w:u w:val="single"/>
                </w:rPr>
                <w:t xml:space="preserve">https://pubmed.ncbi.nlm.nih.gov/24351677/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obese individuals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h/night or untreated OSA</w:t>
            </w:r>
          </w:p>
        </w:tc>
        <w:tc>
          <w:tcPr>
            <w:tcW w:type="dxa" w:w="1468"/>
            <w:vAlign w:val="top"/>
          </w:tcPr>
          <w:p>
            <w:pPr>
              <w:spacing w:after="40" w:before="0" w:line="259" w:lineRule="auto"/>
            </w:pPr>
            <w:r>
              <w:rPr>
                <w:rFonts w:ascii="Calibri" w:hAnsi="Calibri"/>
                <w:b w:val="0"/>
                <w:i w:val="0"/>
                <w:color w:val="212121"/>
                <w:sz w:val="19"/>
              </w:rPr>
              <w:t>Short sleep and sleep apnoea worsen insulin resistance underlying AN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aggravates insulin resistance and metabolic syndrome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Neck AN severity (Burke scale, 0-4)</w:t>
            </w:r>
          </w:p>
        </w:tc>
        <w:tc>
          <w:tcPr>
            <w:tcW w:type="dxa" w:w="1655"/>
            <w:vAlign w:val="top"/>
          </w:tcPr>
          <w:p>
            <w:pPr>
              <w:spacing w:after="40" w:before="0" w:line="259" w:lineRule="auto"/>
            </w:pPr>
            <w:r>
              <w:rPr>
                <w:rFonts w:ascii="Calibri" w:hAnsi="Calibri"/>
                <w:b w:val="0"/>
                <w:i w:val="0"/>
                <w:color w:val="212121"/>
                <w:sz w:val="19"/>
              </w:rPr>
              <w:t>All patients with AN</w:t>
            </w:r>
          </w:p>
        </w:tc>
        <w:tc>
          <w:tcPr>
            <w:tcW w:type="dxa" w:w="1512"/>
            <w:vAlign w:val="top"/>
          </w:tcPr>
          <w:p>
            <w:pPr>
              <w:spacing w:after="40" w:before="0" w:line="259" w:lineRule="auto"/>
            </w:pPr>
            <w:r>
              <w:rPr>
                <w:rFonts w:ascii="Calibri" w:hAnsi="Calibri"/>
                <w:b w:val="0"/>
                <w:i w:val="0"/>
                <w:color w:val="212121"/>
                <w:sz w:val="19"/>
              </w:rPr>
              <w:t>Grade 0 (absent)</w:t>
            </w:r>
          </w:p>
        </w:tc>
        <w:tc>
          <w:tcPr>
            <w:tcW w:type="dxa" w:w="1512"/>
            <w:vAlign w:val="top"/>
          </w:tcPr>
          <w:p>
            <w:pPr>
              <w:spacing w:after="40" w:before="0" w:line="259" w:lineRule="auto"/>
            </w:pPr>
            <w:r>
              <w:rPr>
                <w:rFonts w:ascii="Calibri" w:hAnsi="Calibri"/>
                <w:b w:val="0"/>
                <w:i w:val="0"/>
                <w:color w:val="212121"/>
                <w:sz w:val="19"/>
              </w:rPr>
              <w:t>&gt;= Grade 1 (present, visible on close inspection)</w:t>
            </w:r>
          </w:p>
        </w:tc>
        <w:tc>
          <w:tcPr>
            <w:tcW w:type="dxa" w:w="1468"/>
            <w:vAlign w:val="top"/>
          </w:tcPr>
          <w:p>
            <w:pPr>
              <w:spacing w:after="60" w:line="259" w:lineRule="auto"/>
            </w:pPr>
            <w:r>
              <w:rPr>
                <w:rFonts w:ascii="Calibri" w:hAnsi="Calibri"/>
                <w:b w:val="0"/>
                <w:i w:val="0"/>
                <w:color w:val="212121"/>
                <w:sz w:val="19"/>
              </w:rPr>
              <w:t>Standardised grading tracks severity and correlates with insulin resistance</w:t>
            </w:r>
          </w:p>
          <w:p>
            <w:pPr>
              <w:spacing w:after="40" w:line="252" w:lineRule="auto"/>
            </w:pPr>
            <w:hyperlink r:id="rId15">
              <w:r>
                <w:rPr>
                  <w:rFonts w:ascii="Calibri" w:hAnsi="Calibri" w:cs="Calibri"/>
                  <w:sz w:val="18"/>
                  <w:color w:val="1155CC"/>
                  <w:u w:val="single"/>
                </w:rPr>
                <w:t xml:space="preserve">https://pubmed.ncbi.nlm.nih.gov/23565457/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&gt;= 100 mg/dL (impaired); &gt;= 126 mg/dL (diabetes)</w:t>
            </w:r>
          </w:p>
        </w:tc>
        <w:tc>
          <w:tcPr>
            <w:tcW w:type="dxa" w:w="1036"/>
            <w:vAlign w:val="top"/>
          </w:tcPr>
          <w:p>
            <w:pPr>
              <w:spacing w:after="40" w:before="0" w:line="259" w:lineRule="auto"/>
            </w:pPr>
            <w:r>
              <w:rPr>
                <w:rFonts w:ascii="Calibri" w:hAnsi="Calibri"/>
                <w:b w:val="0"/>
                <w:i w:val="0"/>
                <w:color w:val="212121"/>
                <w:sz w:val="16"/>
              </w:rPr>
              <w:t>Screens for the prediabetes/diabetes that commonly underlies AN</w:t>
            </w:r>
          </w:p>
        </w:tc>
        <w:tc>
          <w:tcPr>
            <w:tcW w:type="dxa" w:w="1036"/>
            <w:vAlign w:val="top"/>
          </w:tcPr>
          <w:p>
            <w:pPr>
              <w:spacing w:after="40" w:before="0" w:line="259" w:lineRule="auto"/>
            </w:pPr>
            <w:r>
              <w:rPr>
                <w:rFonts w:ascii="Calibri" w:hAnsi="Calibri"/>
                <w:b w:val="0"/>
                <w:i w:val="0"/>
                <w:color w:val="212121"/>
                <w:sz w:val="16"/>
              </w:rPr>
              <w:t>Adults with AN, obese children/adolescents, PCOS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First-line screening</w:t>
            </w:r>
          </w:p>
        </w:tc>
        <w:tc>
          <w:tcPr>
            <w:tcW w:type="dxa" w:w="720"/>
            <w:vAlign w:val="top"/>
          </w:tcPr>
          <w:p>
            <w:pPr>
              <w:spacing w:after="40" w:before="0" w:line="259" w:lineRule="auto"/>
            </w:pPr>
            <w:r>
              <w:rPr>
                <w:rFonts w:ascii="Calibri" w:hAnsi="Calibri"/>
                <w:b w:val="0"/>
                <w:i w:val="0"/>
                <w:color w:val="212121"/>
                <w:sz w:val="16"/>
              </w:rPr>
              <w:t>8-hour fast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&gt;= 5.7 % (prediabetes); &gt;= 6.5 % (diabetes)</w:t>
            </w:r>
          </w:p>
        </w:tc>
        <w:tc>
          <w:tcPr>
            <w:tcW w:type="dxa" w:w="1036"/>
            <w:vAlign w:val="top"/>
          </w:tcPr>
          <w:p>
            <w:pPr>
              <w:spacing w:after="40" w:before="0" w:line="259" w:lineRule="auto"/>
            </w:pPr>
            <w:r>
              <w:rPr>
                <w:rFonts w:ascii="Calibri" w:hAnsi="Calibri"/>
                <w:b w:val="0"/>
                <w:i w:val="0"/>
                <w:color w:val="212121"/>
                <w:sz w:val="16"/>
              </w:rPr>
              <w:t>Reflects 2-3 month glycaemia; confirms dysglycaemia in AN patients</w:t>
            </w:r>
          </w:p>
        </w:tc>
        <w:tc>
          <w:tcPr>
            <w:tcW w:type="dxa" w:w="1036"/>
            <w:vAlign w:val="top"/>
          </w:tcPr>
          <w:p>
            <w:pPr>
              <w:spacing w:after="40" w:before="0" w:line="259" w:lineRule="auto"/>
            </w:pPr>
            <w:r>
              <w:rPr>
                <w:rFonts w:ascii="Calibri" w:hAnsi="Calibri"/>
                <w:b w:val="0"/>
                <w:i w:val="0"/>
                <w:color w:val="212121"/>
                <w:sz w:val="16"/>
              </w:rPr>
              <w:t>Adults with AN, high-risk adolescents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Affected by haemoglobinopathies and 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Oral glucose tolerance test (2-h)</w:t>
            </w:r>
          </w:p>
        </w:tc>
        <w:tc>
          <w:tcPr>
            <w:tcW w:type="dxa" w:w="892"/>
            <w:vAlign w:val="top"/>
          </w:tcPr>
          <w:p>
            <w:pPr>
              <w:spacing w:after="40" w:before="0" w:line="259" w:lineRule="auto"/>
            </w:pPr>
            <w:r>
              <w:rPr>
                <w:rFonts w:ascii="Calibri" w:hAnsi="Calibri"/>
                <w:b w:val="0"/>
                <w:i w:val="0"/>
                <w:color w:val="212121"/>
                <w:sz w:val="16"/>
              </w:rPr>
              <w:t>75 g OGTT</w:t>
            </w:r>
          </w:p>
        </w:tc>
        <w:tc>
          <w:tcPr>
            <w:tcW w:type="dxa" w:w="950"/>
            <w:vAlign w:val="top"/>
          </w:tcPr>
          <w:p>
            <w:pPr>
              <w:spacing w:after="40" w:before="0" w:line="259" w:lineRule="auto"/>
            </w:pPr>
            <w:r>
              <w:rPr>
                <w:rFonts w:ascii="Calibri" w:hAnsi="Calibri"/>
                <w:b w:val="0"/>
                <w:i w:val="0"/>
                <w:color w:val="212121"/>
                <w:sz w:val="16"/>
              </w:rPr>
              <w:t>&lt; 140 mg/dL at 2 h</w:t>
            </w:r>
          </w:p>
        </w:tc>
        <w:tc>
          <w:tcPr>
            <w:tcW w:type="dxa" w:w="950"/>
            <w:vAlign w:val="top"/>
          </w:tcPr>
          <w:p>
            <w:pPr>
              <w:spacing w:after="40" w:before="0" w:line="259" w:lineRule="auto"/>
            </w:pPr>
            <w:r>
              <w:rPr>
                <w:rFonts w:ascii="Calibri" w:hAnsi="Calibri"/>
                <w:b w:val="0"/>
                <w:i w:val="0"/>
                <w:color w:val="212121"/>
                <w:sz w:val="16"/>
              </w:rPr>
              <w:t>140-199 mg/dL (IGT); &gt;= 200 mg/dL (diabetes)</w:t>
            </w:r>
          </w:p>
        </w:tc>
        <w:tc>
          <w:tcPr>
            <w:tcW w:type="dxa" w:w="1036"/>
            <w:vAlign w:val="top"/>
          </w:tcPr>
          <w:p>
            <w:pPr>
              <w:spacing w:after="40" w:before="0" w:line="259" w:lineRule="auto"/>
            </w:pPr>
            <w:r>
              <w:rPr>
                <w:rFonts w:ascii="Calibri" w:hAnsi="Calibri"/>
                <w:b w:val="0"/>
                <w:i w:val="0"/>
                <w:color w:val="212121"/>
                <w:sz w:val="16"/>
              </w:rPr>
              <w:t>Detects impaired glucose tolerance in AN, often earlier than fasting glucose</w:t>
            </w:r>
          </w:p>
        </w:tc>
        <w:tc>
          <w:tcPr>
            <w:tcW w:type="dxa" w:w="1036"/>
            <w:vAlign w:val="top"/>
          </w:tcPr>
          <w:p>
            <w:pPr>
              <w:spacing w:after="40" w:before="0" w:line="259" w:lineRule="auto"/>
            </w:pPr>
            <w:r>
              <w:rPr>
                <w:rFonts w:ascii="Calibri" w:hAnsi="Calibri"/>
                <w:b w:val="0"/>
                <w:i w:val="0"/>
                <w:color w:val="212121"/>
                <w:sz w:val="16"/>
              </w:rPr>
              <w:t>Obese children, PCOS, borderline fasting glucose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Sensitive screening</w:t>
            </w:r>
          </w:p>
        </w:tc>
        <w:tc>
          <w:tcPr>
            <w:tcW w:type="dxa" w:w="720"/>
            <w:vAlign w:val="top"/>
          </w:tcPr>
          <w:p>
            <w:pPr>
              <w:spacing w:after="40" w:before="0" w:line="259" w:lineRule="auto"/>
            </w:pPr>
            <w:r>
              <w:rPr>
                <w:rFonts w:ascii="Calibri" w:hAnsi="Calibri"/>
                <w:b w:val="0"/>
                <w:i w:val="0"/>
                <w:color w:val="212121"/>
                <w:sz w:val="16"/>
              </w:rPr>
              <w:t>AN associated with glucose intolerance in Indian children (OR 2.35)</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insulin and HOMA-IR</w:t>
            </w:r>
          </w:p>
        </w:tc>
        <w:tc>
          <w:tcPr>
            <w:tcW w:type="dxa" w:w="892"/>
            <w:vAlign w:val="top"/>
          </w:tcPr>
          <w:p>
            <w:pPr>
              <w:spacing w:after="40" w:before="0" w:line="259" w:lineRule="auto"/>
            </w:pPr>
            <w:r>
              <w:rPr>
                <w:rFonts w:ascii="Calibri" w:hAnsi="Calibri"/>
                <w:b w:val="0"/>
                <w:i w:val="0"/>
                <w:color w:val="212121"/>
                <w:sz w:val="16"/>
              </w:rPr>
              <w:t>Insulin assay</w:t>
            </w:r>
          </w:p>
        </w:tc>
        <w:tc>
          <w:tcPr>
            <w:tcW w:type="dxa" w:w="950"/>
            <w:vAlign w:val="top"/>
          </w:tcPr>
          <w:p>
            <w:pPr>
              <w:spacing w:after="40" w:before="0" w:line="259" w:lineRule="auto"/>
            </w:pPr>
            <w:r>
              <w:rPr>
                <w:rFonts w:ascii="Calibri" w:hAnsi="Calibri"/>
                <w:b w:val="0"/>
                <w:i w:val="0"/>
                <w:color w:val="212121"/>
                <w:sz w:val="16"/>
              </w:rPr>
              <w:t>HOMA-IR &lt; ~2.0</w:t>
            </w:r>
          </w:p>
        </w:tc>
        <w:tc>
          <w:tcPr>
            <w:tcW w:type="dxa" w:w="950"/>
            <w:vAlign w:val="top"/>
          </w:tcPr>
          <w:p>
            <w:pPr>
              <w:spacing w:after="40" w:before="0" w:line="259" w:lineRule="auto"/>
            </w:pPr>
            <w:r>
              <w:rPr>
                <w:rFonts w:ascii="Calibri" w:hAnsi="Calibri"/>
                <w:b w:val="0"/>
                <w:i w:val="0"/>
                <w:color w:val="212121"/>
                <w:sz w:val="16"/>
              </w:rPr>
              <w:t>HOMA-IR &gt;= ~2.5</w:t>
            </w:r>
          </w:p>
        </w:tc>
        <w:tc>
          <w:tcPr>
            <w:tcW w:type="dxa" w:w="1036"/>
            <w:vAlign w:val="top"/>
          </w:tcPr>
          <w:p>
            <w:pPr>
              <w:spacing w:after="40" w:before="0" w:line="259" w:lineRule="auto"/>
            </w:pPr>
            <w:r>
              <w:rPr>
                <w:rFonts w:ascii="Calibri" w:hAnsi="Calibri"/>
                <w:b w:val="0"/>
                <w:i w:val="0"/>
                <w:color w:val="212121"/>
                <w:sz w:val="16"/>
              </w:rPr>
              <w:t>Quantifies the hyperinsulinaemia central to AN; neck AN severity correlates with these values</w:t>
            </w:r>
          </w:p>
        </w:tc>
        <w:tc>
          <w:tcPr>
            <w:tcW w:type="dxa" w:w="1036"/>
            <w:vAlign w:val="top"/>
          </w:tcPr>
          <w:p>
            <w:pPr>
              <w:spacing w:after="40" w:before="0" w:line="259" w:lineRule="auto"/>
            </w:pPr>
            <w:r>
              <w:rPr>
                <w:rFonts w:ascii="Calibri" w:hAnsi="Calibri"/>
                <w:b w:val="0"/>
                <w:i w:val="0"/>
                <w:color w:val="212121"/>
                <w:sz w:val="16"/>
              </w:rPr>
              <w:t>AN patients, PCOS, lean insulin-resistant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Confirms mechanism</w:t>
            </w:r>
          </w:p>
        </w:tc>
        <w:tc>
          <w:tcPr>
            <w:tcW w:type="dxa" w:w="720"/>
            <w:vAlign w:val="top"/>
          </w:tcPr>
          <w:p>
            <w:pPr>
              <w:spacing w:after="40" w:before="0" w:line="259" w:lineRule="auto"/>
            </w:pPr>
            <w:r>
              <w:rPr>
                <w:rFonts w:ascii="Calibri" w:hAnsi="Calibri"/>
                <w:b w:val="0"/>
                <w:i w:val="0"/>
                <w:color w:val="212121"/>
                <w:sz w:val="16"/>
              </w:rPr>
              <w:t>Interpret with glucose; assay methods vary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HDL M &gt; 40 / F &gt; 50 mg/dL</w:t>
            </w:r>
          </w:p>
        </w:tc>
        <w:tc>
          <w:tcPr>
            <w:tcW w:type="dxa" w:w="950"/>
            <w:vAlign w:val="top"/>
          </w:tcPr>
          <w:p>
            <w:pPr>
              <w:spacing w:after="40" w:before="0" w:line="259" w:lineRule="auto"/>
            </w:pPr>
            <w:r>
              <w:rPr>
                <w:rFonts w:ascii="Calibri" w:hAnsi="Calibri"/>
                <w:b w:val="0"/>
                <w:i w:val="0"/>
                <w:color w:val="212121"/>
                <w:sz w:val="16"/>
              </w:rPr>
              <w:t>TG &gt;= 150; low HDL</w:t>
            </w:r>
          </w:p>
        </w:tc>
        <w:tc>
          <w:tcPr>
            <w:tcW w:type="dxa" w:w="1036"/>
            <w:vAlign w:val="top"/>
          </w:tcPr>
          <w:p>
            <w:pPr>
              <w:spacing w:after="40" w:before="0" w:line="259" w:lineRule="auto"/>
            </w:pPr>
            <w:r>
              <w:rPr>
                <w:rFonts w:ascii="Calibri" w:hAnsi="Calibri"/>
                <w:b w:val="0"/>
                <w:i w:val="0"/>
                <w:color w:val="212121"/>
                <w:sz w:val="16"/>
              </w:rPr>
              <w:t>Detects atherogenic dyslipidaemia clustering with AN and insulin resistance</w:t>
            </w:r>
          </w:p>
        </w:tc>
        <w:tc>
          <w:tcPr>
            <w:tcW w:type="dxa" w:w="1036"/>
            <w:vAlign w:val="top"/>
          </w:tcPr>
          <w:p>
            <w:pPr>
              <w:spacing w:after="40" w:before="0" w:line="259" w:lineRule="auto"/>
            </w:pPr>
            <w:r>
              <w:rPr>
                <w:rFonts w:ascii="Calibri" w:hAnsi="Calibri"/>
                <w:b w:val="0"/>
                <w:i w:val="0"/>
                <w:color w:val="212121"/>
                <w:sz w:val="16"/>
              </w:rPr>
              <w:t>Adults with AN,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Cardiometabolic risk</w:t>
            </w:r>
          </w:p>
        </w:tc>
        <w:tc>
          <w:tcPr>
            <w:tcW w:type="dxa" w:w="720"/>
            <w:vAlign w:val="top"/>
          </w:tcPr>
          <w:p>
            <w:pPr>
              <w:spacing w:after="40" w:before="0" w:line="259" w:lineRule="auto"/>
            </w:pPr>
            <w:r>
              <w:rPr>
                <w:rFonts w:ascii="Calibri" w:hAnsi="Calibri"/>
                <w:b w:val="0"/>
                <w:i w:val="0"/>
                <w:color w:val="212121"/>
                <w:sz w:val="16"/>
              </w:rPr>
              <w:t>High triglycerides correlate with AN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Androgens (testosterone, free androgen index), LH:FSH, TSH</w:t>
            </w:r>
          </w:p>
        </w:tc>
        <w:tc>
          <w:tcPr>
            <w:tcW w:type="dxa" w:w="892"/>
            <w:vAlign w:val="top"/>
          </w:tcPr>
          <w:p>
            <w:pPr>
              <w:spacing w:after="40" w:before="0" w:line="259" w:lineRule="auto"/>
            </w:pPr>
            <w:r>
              <w:rPr>
                <w:rFonts w:ascii="Calibri" w:hAnsi="Calibri"/>
                <w:b w:val="0"/>
                <w:i w:val="0"/>
                <w:color w:val="212121"/>
                <w:sz w:val="16"/>
              </w:rPr>
              <w:t>Hormone panel</w:t>
            </w:r>
          </w:p>
        </w:tc>
        <w:tc>
          <w:tcPr>
            <w:tcW w:type="dxa" w:w="950"/>
            <w:vAlign w:val="top"/>
          </w:tcPr>
          <w:p>
            <w:pPr>
              <w:spacing w:after="40" w:before="0" w:line="259" w:lineRule="auto"/>
            </w:pPr>
            <w:r>
              <w:rPr>
                <w:rFonts w:ascii="Calibri" w:hAnsi="Calibri"/>
                <w:b w:val="0"/>
                <w:i w:val="0"/>
                <w:color w:val="212121"/>
                <w:sz w:val="16"/>
              </w:rPr>
              <w:t>Age/sex reference ranges</w:t>
            </w:r>
          </w:p>
        </w:tc>
        <w:tc>
          <w:tcPr>
            <w:tcW w:type="dxa" w:w="950"/>
            <w:vAlign w:val="top"/>
          </w:tcPr>
          <w:p>
            <w:pPr>
              <w:spacing w:after="40" w:before="0" w:line="259" w:lineRule="auto"/>
            </w:pPr>
            <w:r>
              <w:rPr>
                <w:rFonts w:ascii="Calibri" w:hAnsi="Calibri"/>
                <w:b w:val="0"/>
                <w:i w:val="0"/>
                <w:color w:val="212121"/>
                <w:sz w:val="16"/>
              </w:rPr>
              <w:t>Raised androgens / high LH:FSH (PCOS); abnormal TSH</w:t>
            </w:r>
          </w:p>
        </w:tc>
        <w:tc>
          <w:tcPr>
            <w:tcW w:type="dxa" w:w="1036"/>
            <w:vAlign w:val="top"/>
          </w:tcPr>
          <w:p>
            <w:pPr>
              <w:spacing w:after="40" w:before="0" w:line="259" w:lineRule="auto"/>
            </w:pPr>
            <w:r>
              <w:rPr>
                <w:rFonts w:ascii="Calibri" w:hAnsi="Calibri"/>
                <w:b w:val="0"/>
                <w:i w:val="0"/>
                <w:color w:val="212121"/>
                <w:sz w:val="16"/>
              </w:rPr>
              <w:t>Identifies PCOS, hyperandrogenism, thyroid disease driving AN</w:t>
            </w:r>
          </w:p>
        </w:tc>
        <w:tc>
          <w:tcPr>
            <w:tcW w:type="dxa" w:w="1036"/>
            <w:vAlign w:val="top"/>
          </w:tcPr>
          <w:p>
            <w:pPr>
              <w:spacing w:after="40" w:before="0" w:line="259" w:lineRule="auto"/>
            </w:pPr>
            <w:r>
              <w:rPr>
                <w:rFonts w:ascii="Calibri" w:hAnsi="Calibri"/>
                <w:b w:val="0"/>
                <w:i w:val="0"/>
                <w:color w:val="212121"/>
                <w:sz w:val="16"/>
              </w:rPr>
              <w:t>Women with AN + hirsutism/menstrual irregularity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Cause-directed</w:t>
            </w:r>
          </w:p>
        </w:tc>
        <w:tc>
          <w:tcPr>
            <w:tcW w:type="dxa" w:w="720"/>
            <w:vAlign w:val="top"/>
          </w:tcPr>
          <w:p>
            <w:pPr>
              <w:spacing w:after="40" w:before="0" w:line="259" w:lineRule="auto"/>
            </w:pPr>
            <w:r>
              <w:rPr>
                <w:rFonts w:ascii="Calibri" w:hAnsi="Calibri"/>
                <w:b w:val="0"/>
                <w:i w:val="0"/>
                <w:color w:val="212121"/>
                <w:sz w:val="16"/>
              </w:rPr>
              <w:t>AN present in 56% of Indian PCOS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Hepatic</w:t>
            </w:r>
          </w:p>
        </w:tc>
        <w:tc>
          <w:tcPr>
            <w:tcW w:type="dxa" w:w="1036"/>
            <w:vAlign w:val="top"/>
          </w:tcPr>
          <w:p>
            <w:pPr>
              <w:spacing w:after="40" w:before="0" w:line="259" w:lineRule="auto"/>
            </w:pPr>
            <w:r>
              <w:rPr>
                <w:rFonts w:ascii="Calibri" w:hAnsi="Calibri"/>
                <w:b w:val="0"/>
                <w:i w:val="0"/>
                <w:color w:val="212121"/>
                <w:sz w:val="16"/>
              </w:rPr>
              <w:t>Liver enzymes and fibrosis assessment</w:t>
            </w:r>
          </w:p>
        </w:tc>
        <w:tc>
          <w:tcPr>
            <w:tcW w:type="dxa" w:w="892"/>
            <w:vAlign w:val="top"/>
          </w:tcPr>
          <w:p>
            <w:pPr>
              <w:spacing w:after="40" w:before="0" w:line="259" w:lineRule="auto"/>
            </w:pPr>
            <w:r>
              <w:rPr>
                <w:rFonts w:ascii="Calibri" w:hAnsi="Calibri"/>
                <w:b w:val="0"/>
                <w:i w:val="0"/>
                <w:color w:val="212121"/>
                <w:sz w:val="16"/>
              </w:rPr>
              <w:t>LFT / transient elastography (FibroScan)</w:t>
            </w:r>
          </w:p>
        </w:tc>
        <w:tc>
          <w:tcPr>
            <w:tcW w:type="dxa" w:w="950"/>
            <w:vAlign w:val="top"/>
          </w:tcPr>
          <w:p>
            <w:pPr>
              <w:spacing w:after="40" w:before="0" w:line="259" w:lineRule="auto"/>
            </w:pPr>
            <w:r>
              <w:rPr>
                <w:rFonts w:ascii="Calibri" w:hAnsi="Calibri"/>
                <w:b w:val="0"/>
                <w:i w:val="0"/>
                <w:color w:val="212121"/>
                <w:sz w:val="16"/>
              </w:rPr>
              <w:t>Normal transaminases; low liver stiffness</w:t>
            </w:r>
          </w:p>
        </w:tc>
        <w:tc>
          <w:tcPr>
            <w:tcW w:type="dxa" w:w="950"/>
            <w:vAlign w:val="top"/>
          </w:tcPr>
          <w:p>
            <w:pPr>
              <w:spacing w:after="40" w:before="0" w:line="259" w:lineRule="auto"/>
            </w:pPr>
            <w:r>
              <w:rPr>
                <w:rFonts w:ascii="Calibri" w:hAnsi="Calibri"/>
                <w:b w:val="0"/>
                <w:i w:val="0"/>
                <w:color w:val="212121"/>
                <w:sz w:val="16"/>
              </w:rPr>
              <w:t>Raised ALT; increased liver stiffness (kPa)</w:t>
            </w:r>
          </w:p>
        </w:tc>
        <w:tc>
          <w:tcPr>
            <w:tcW w:type="dxa" w:w="1036"/>
            <w:vAlign w:val="top"/>
          </w:tcPr>
          <w:p>
            <w:pPr>
              <w:spacing w:after="40" w:before="0" w:line="259" w:lineRule="auto"/>
            </w:pPr>
            <w:r>
              <w:rPr>
                <w:rFonts w:ascii="Calibri" w:hAnsi="Calibri"/>
                <w:b w:val="0"/>
                <w:i w:val="0"/>
                <w:color w:val="212121"/>
                <w:sz w:val="16"/>
              </w:rPr>
              <w:t>Screens for NAFLD and fibrosis, which AN independently predicts in diabetics</w:t>
            </w:r>
          </w:p>
        </w:tc>
        <w:tc>
          <w:tcPr>
            <w:tcW w:type="dxa" w:w="1036"/>
            <w:vAlign w:val="top"/>
          </w:tcPr>
          <w:p>
            <w:pPr>
              <w:spacing w:after="40" w:before="0" w:line="259" w:lineRule="auto"/>
            </w:pPr>
            <w:r>
              <w:rPr>
                <w:rFonts w:ascii="Calibri" w:hAnsi="Calibri"/>
                <w:b w:val="0"/>
                <w:i w:val="0"/>
                <w:color w:val="212121"/>
                <w:sz w:val="16"/>
              </w:rPr>
              <w:t>Adults with AN and type 2 diabetes / metabolic syndrome</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Detects end-organ metabolic disease</w:t>
            </w:r>
          </w:p>
        </w:tc>
        <w:tc>
          <w:tcPr>
            <w:tcW w:type="dxa" w:w="720"/>
            <w:vAlign w:val="top"/>
          </w:tcPr>
          <w:p>
            <w:pPr>
              <w:spacing w:after="40" w:before="0" w:line="259" w:lineRule="auto"/>
            </w:pPr>
            <w:r>
              <w:rPr>
                <w:rFonts w:ascii="Calibri" w:hAnsi="Calibri"/>
                <w:b w:val="0"/>
                <w:i w:val="0"/>
                <w:color w:val="212121"/>
                <w:sz w:val="16"/>
              </w:rPr>
              <w:t>AN independently predicts hepatic fibrosis (adjusted OR 2.47)</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Malignancy work-up</w:t>
            </w:r>
          </w:p>
        </w:tc>
        <w:tc>
          <w:tcPr>
            <w:tcW w:type="dxa" w:w="1036"/>
            <w:vAlign w:val="top"/>
          </w:tcPr>
          <w:p>
            <w:pPr>
              <w:spacing w:after="40" w:before="0" w:line="259" w:lineRule="auto"/>
            </w:pPr>
            <w:r>
              <w:rPr>
                <w:rFonts w:ascii="Calibri" w:hAnsi="Calibri"/>
                <w:b w:val="0"/>
                <w:i w:val="0"/>
                <w:color w:val="212121"/>
                <w:sz w:val="16"/>
              </w:rPr>
              <w:t>Upper GI endoscopy, imaging, tumour markers</w:t>
            </w:r>
          </w:p>
        </w:tc>
        <w:tc>
          <w:tcPr>
            <w:tcW w:type="dxa" w:w="892"/>
            <w:vAlign w:val="top"/>
          </w:tcPr>
          <w:p>
            <w:pPr>
              <w:spacing w:after="40" w:before="0" w:line="259" w:lineRule="auto"/>
            </w:pPr>
            <w:r>
              <w:rPr>
                <w:rFonts w:ascii="Calibri" w:hAnsi="Calibri"/>
                <w:b w:val="0"/>
                <w:i w:val="0"/>
                <w:color w:val="212121"/>
                <w:sz w:val="16"/>
              </w:rPr>
              <w:t>Occult malignancy screen</w:t>
            </w:r>
          </w:p>
        </w:tc>
        <w:tc>
          <w:tcPr>
            <w:tcW w:type="dxa" w:w="950"/>
            <w:vAlign w:val="top"/>
          </w:tcPr>
          <w:p>
            <w:pPr>
              <w:spacing w:after="40" w:before="0" w:line="259" w:lineRule="auto"/>
            </w:pPr>
            <w:r>
              <w:rPr>
                <w:rFonts w:ascii="Calibri" w:hAnsi="Calibri"/>
                <w:b w:val="0"/>
                <w:i w:val="0"/>
                <w:color w:val="212121"/>
                <w:sz w:val="16"/>
              </w:rPr>
              <w:t>No malignancy detected</w:t>
            </w:r>
          </w:p>
        </w:tc>
        <w:tc>
          <w:tcPr>
            <w:tcW w:type="dxa" w:w="950"/>
            <w:vAlign w:val="top"/>
          </w:tcPr>
          <w:p>
            <w:pPr>
              <w:spacing w:after="40" w:before="0" w:line="259" w:lineRule="auto"/>
            </w:pPr>
            <w:r>
              <w:rPr>
                <w:rFonts w:ascii="Calibri" w:hAnsi="Calibri"/>
                <w:b w:val="0"/>
                <w:i w:val="0"/>
                <w:color w:val="212121"/>
                <w:sz w:val="16"/>
              </w:rPr>
              <w:t>Gastrointestinal (esp. gastric) adenocarcinoma</w:t>
            </w:r>
          </w:p>
        </w:tc>
        <w:tc>
          <w:tcPr>
            <w:tcW w:type="dxa" w:w="1036"/>
            <w:vAlign w:val="top"/>
          </w:tcPr>
          <w:p>
            <w:pPr>
              <w:spacing w:after="40" w:before="0" w:line="259" w:lineRule="auto"/>
            </w:pPr>
            <w:r>
              <w:rPr>
                <w:rFonts w:ascii="Calibri" w:hAnsi="Calibri"/>
                <w:b w:val="0"/>
                <w:i w:val="0"/>
                <w:color w:val="212121"/>
                <w:sz w:val="16"/>
              </w:rPr>
              <w:t>Indicated when AN is abrupt, extensive, symptomatic or mucosal/palmar (malignant AN)</w:t>
            </w:r>
          </w:p>
        </w:tc>
        <w:tc>
          <w:tcPr>
            <w:tcW w:type="dxa" w:w="1036"/>
            <w:vAlign w:val="top"/>
          </w:tcPr>
          <w:p>
            <w:pPr>
              <w:spacing w:after="40" w:before="0" w:line="259" w:lineRule="auto"/>
            </w:pPr>
            <w:r>
              <w:rPr>
                <w:rFonts w:ascii="Calibri" w:hAnsi="Calibri"/>
                <w:b w:val="0"/>
                <w:i w:val="0"/>
                <w:color w:val="212121"/>
                <w:sz w:val="16"/>
              </w:rPr>
              <w:t>Older, non-obese adults with sudden florid AN and weight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Rules out paraneoplastic cause</w:t>
            </w:r>
          </w:p>
        </w:tc>
        <w:tc>
          <w:tcPr>
            <w:tcW w:type="dxa" w:w="720"/>
            <w:vAlign w:val="top"/>
          </w:tcPr>
          <w:p>
            <w:pPr>
              <w:spacing w:after="40" w:before="0" w:line="259" w:lineRule="auto"/>
            </w:pPr>
            <w:r>
              <w:rPr>
                <w:rFonts w:ascii="Calibri" w:hAnsi="Calibri"/>
                <w:b w:val="0"/>
                <w:i w:val="0"/>
                <w:color w:val="212121"/>
                <w:sz w:val="16"/>
              </w:rPr>
              <w:t>Gastric adenocarcinoma underlies ~60% of malignant AN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Gradual velvety darkening/thickening of neck, axillae, groin</w:t>
            </w:r>
          </w:p>
        </w:tc>
        <w:tc>
          <w:tcPr>
            <w:tcW w:type="dxa" w:w="950"/>
            <w:vAlign w:val="top"/>
          </w:tcPr>
          <w:p>
            <w:pPr>
              <w:spacing w:after="40" w:before="0" w:line="259" w:lineRule="auto"/>
            </w:pPr>
            <w:r>
              <w:rPr>
                <w:rFonts w:ascii="Calibri" w:hAnsi="Calibri"/>
                <w:b w:val="0"/>
                <w:i w:val="0"/>
                <w:color w:val="212121"/>
                <w:sz w:val="16"/>
              </w:rPr>
              <w:t>No flexural skin change</w:t>
            </w:r>
          </w:p>
        </w:tc>
        <w:tc>
          <w:tcPr>
            <w:tcW w:type="dxa" w:w="950"/>
            <w:vAlign w:val="top"/>
          </w:tcPr>
          <w:p>
            <w:pPr>
              <w:spacing w:after="40" w:before="0" w:line="259" w:lineRule="auto"/>
            </w:pPr>
            <w:r>
              <w:rPr>
                <w:rFonts w:ascii="Calibri" w:hAnsi="Calibri"/>
                <w:b w:val="0"/>
                <w:i w:val="0"/>
                <w:color w:val="212121"/>
                <w:sz w:val="16"/>
              </w:rPr>
              <w:t>Progressive symmetrical hyperpigmented thickening in folds</w:t>
            </w:r>
          </w:p>
        </w:tc>
        <w:tc>
          <w:tcPr>
            <w:tcW w:type="dxa" w:w="1036"/>
            <w:vAlign w:val="top"/>
          </w:tcPr>
          <w:p>
            <w:pPr>
              <w:spacing w:after="40" w:before="0" w:line="259" w:lineRule="auto"/>
            </w:pPr>
            <w:r>
              <w:rPr>
                <w:rFonts w:ascii="Calibri" w:hAnsi="Calibri"/>
                <w:b w:val="0"/>
                <w:i w:val="0"/>
                <w:color w:val="212121"/>
                <w:sz w:val="16"/>
              </w:rPr>
              <w:t>Characteristic history strongly suggests AN</w:t>
            </w:r>
          </w:p>
        </w:tc>
        <w:tc>
          <w:tcPr>
            <w:tcW w:type="dxa" w:w="1036"/>
            <w:vAlign w:val="top"/>
          </w:tcPr>
          <w:p>
            <w:pPr>
              <w:spacing w:after="40" w:before="0" w:line="259" w:lineRule="auto"/>
            </w:pPr>
            <w:r>
              <w:rPr>
                <w:rFonts w:ascii="Calibri" w:hAnsi="Calibri"/>
                <w:b w:val="0"/>
                <w:i w:val="0"/>
                <w:color w:val="212121"/>
                <w:sz w:val="16"/>
              </w:rPr>
              <w:t>All patients with suspected 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Usually asymptomatic and cosmetic; slowly progressive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and tempo</w:t>
            </w:r>
          </w:p>
        </w:tc>
        <w:tc>
          <w:tcPr>
            <w:tcW w:type="dxa" w:w="979"/>
            <w:vAlign w:val="top"/>
          </w:tcPr>
          <w:p>
            <w:pPr>
              <w:spacing w:after="40" w:before="0" w:line="259" w:lineRule="auto"/>
            </w:pPr>
            <w:r>
              <w:rPr>
                <w:rFonts w:ascii="Calibri" w:hAnsi="Calibri"/>
                <w:b w:val="0"/>
                <w:i w:val="0"/>
                <w:color w:val="212121"/>
                <w:sz w:val="16"/>
              </w:rPr>
              <w:t>Rapid onset, extensive spread, weight loss, pruritus</w:t>
            </w:r>
          </w:p>
        </w:tc>
        <w:tc>
          <w:tcPr>
            <w:tcW w:type="dxa" w:w="950"/>
            <w:vAlign w:val="top"/>
          </w:tcPr>
          <w:p>
            <w:pPr>
              <w:spacing w:after="40" w:before="0" w:line="259" w:lineRule="auto"/>
            </w:pPr>
            <w:r>
              <w:rPr>
                <w:rFonts w:ascii="Calibri" w:hAnsi="Calibri"/>
                <w:b w:val="0"/>
                <w:i w:val="0"/>
                <w:color w:val="212121"/>
                <w:sz w:val="16"/>
              </w:rPr>
              <w:t>Slow onset in an obese person</w:t>
            </w:r>
          </w:p>
        </w:tc>
        <w:tc>
          <w:tcPr>
            <w:tcW w:type="dxa" w:w="950"/>
            <w:vAlign w:val="top"/>
          </w:tcPr>
          <w:p>
            <w:pPr>
              <w:spacing w:after="40" w:before="0" w:line="259" w:lineRule="auto"/>
            </w:pPr>
            <w:r>
              <w:rPr>
                <w:rFonts w:ascii="Calibri" w:hAnsi="Calibri"/>
                <w:b w:val="0"/>
                <w:i w:val="0"/>
                <w:color w:val="212121"/>
                <w:sz w:val="16"/>
              </w:rPr>
              <w:t>Abrupt, florid, symptomatic AN in a non-obese/older adult</w:t>
            </w:r>
          </w:p>
        </w:tc>
        <w:tc>
          <w:tcPr>
            <w:tcW w:type="dxa" w:w="1036"/>
            <w:vAlign w:val="top"/>
          </w:tcPr>
          <w:p>
            <w:pPr>
              <w:spacing w:after="40" w:before="0" w:line="259" w:lineRule="auto"/>
            </w:pPr>
            <w:r>
              <w:rPr>
                <w:rFonts w:ascii="Calibri" w:hAnsi="Calibri"/>
                <w:b w:val="0"/>
                <w:i w:val="0"/>
                <w:color w:val="212121"/>
                <w:sz w:val="16"/>
              </w:rPr>
              <w:t>Red-flag pattern suggesting malignant (paraneoplastic) AN</w:t>
            </w:r>
          </w:p>
        </w:tc>
        <w:tc>
          <w:tcPr>
            <w:tcW w:type="dxa" w:w="1036"/>
            <w:vAlign w:val="top"/>
          </w:tcPr>
          <w:p>
            <w:pPr>
              <w:spacing w:after="40" w:before="0" w:line="259" w:lineRule="auto"/>
            </w:pPr>
            <w:r>
              <w:rPr>
                <w:rFonts w:ascii="Calibri" w:hAnsi="Calibri"/>
                <w:b w:val="0"/>
                <w:i w:val="0"/>
                <w:color w:val="212121"/>
                <w:sz w:val="16"/>
              </w:rPr>
              <w:t>Older or non-obese adults with sudden 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Triage for malignancy work-up</w:t>
            </w:r>
          </w:p>
        </w:tc>
        <w:tc>
          <w:tcPr>
            <w:tcW w:type="dxa" w:w="720"/>
            <w:vAlign w:val="top"/>
          </w:tcPr>
          <w:p>
            <w:pPr>
              <w:spacing w:after="40" w:before="0" w:line="259" w:lineRule="auto"/>
            </w:pPr>
            <w:r>
              <w:rPr>
                <w:rFonts w:ascii="Calibri" w:hAnsi="Calibri"/>
                <w:b w:val="0"/>
                <w:i w:val="0"/>
                <w:color w:val="212121"/>
                <w:sz w:val="16"/>
              </w:rPr>
              <w:t>Prompts urgent internal-malignancy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Nicotinic acid, corticosteroids, oestrogens/OCP, insulin, protease inhibitors, aripiprazole</w:t>
            </w:r>
          </w:p>
        </w:tc>
        <w:tc>
          <w:tcPr>
            <w:tcW w:type="dxa" w:w="950"/>
            <w:vAlign w:val="top"/>
          </w:tcPr>
          <w:p>
            <w:pPr>
              <w:spacing w:after="40" w:before="0" w:line="259" w:lineRule="auto"/>
            </w:pPr>
            <w:r>
              <w:rPr>
                <w:rFonts w:ascii="Calibri" w:hAnsi="Calibri"/>
                <w:b w:val="0"/>
                <w:i w:val="0"/>
                <w:color w:val="212121"/>
                <w:sz w:val="16"/>
              </w:rPr>
              <w:t>No implicated drug</w:t>
            </w:r>
          </w:p>
        </w:tc>
        <w:tc>
          <w:tcPr>
            <w:tcW w:type="dxa" w:w="950"/>
            <w:vAlign w:val="top"/>
          </w:tcPr>
          <w:p>
            <w:pPr>
              <w:spacing w:after="40" w:before="0" w:line="259" w:lineRule="auto"/>
            </w:pPr>
            <w:r>
              <w:rPr>
                <w:rFonts w:ascii="Calibri" w:hAnsi="Calibri"/>
                <w:b w:val="0"/>
                <w:i w:val="0"/>
                <w:color w:val="212121"/>
                <w:sz w:val="16"/>
              </w:rPr>
              <w:t>Recent use of a known AN-inducing drug</w:t>
            </w:r>
          </w:p>
        </w:tc>
        <w:tc>
          <w:tcPr>
            <w:tcW w:type="dxa" w:w="1036"/>
            <w:vAlign w:val="top"/>
          </w:tcPr>
          <w:p>
            <w:pPr>
              <w:spacing w:after="40" w:before="0" w:line="259" w:lineRule="auto"/>
            </w:pPr>
            <w:r>
              <w:rPr>
                <w:rFonts w:ascii="Calibri" w:hAnsi="Calibri"/>
                <w:b w:val="0"/>
                <w:i w:val="0"/>
                <w:color w:val="212121"/>
                <w:sz w:val="16"/>
              </w:rPr>
              <w:t>Suggests reversible drug-induced AN</w:t>
            </w:r>
          </w:p>
        </w:tc>
        <w:tc>
          <w:tcPr>
            <w:tcW w:type="dxa" w:w="1036"/>
            <w:vAlign w:val="top"/>
          </w:tcPr>
          <w:p>
            <w:pPr>
              <w:spacing w:after="40" w:before="0" w:line="259" w:lineRule="auto"/>
            </w:pPr>
            <w:r>
              <w:rPr>
                <w:rFonts w:ascii="Calibri" w:hAnsi="Calibri"/>
                <w:b w:val="0"/>
                <w:i w:val="0"/>
                <w:color w:val="212121"/>
                <w:sz w:val="16"/>
              </w:rPr>
              <w:t>Patients on implicated medications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Reversible cause</w:t>
            </w:r>
          </w:p>
        </w:tc>
        <w:tc>
          <w:tcPr>
            <w:tcW w:type="dxa" w:w="720"/>
            <w:vAlign w:val="top"/>
          </w:tcPr>
          <w:p>
            <w:pPr>
              <w:spacing w:after="40" w:before="0" w:line="259" w:lineRule="auto"/>
            </w:pPr>
            <w:r>
              <w:rPr>
                <w:rFonts w:ascii="Calibri" w:hAnsi="Calibri"/>
                <w:b w:val="0"/>
                <w:i w:val="0"/>
                <w:color w:val="212121"/>
                <w:sz w:val="16"/>
              </w:rPr>
              <w:t>AN often regresses after stopping the drug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reproductive history</w:t>
            </w:r>
          </w:p>
        </w:tc>
        <w:tc>
          <w:tcPr>
            <w:tcW w:type="dxa" w:w="979"/>
            <w:vAlign w:val="top"/>
          </w:tcPr>
          <w:p>
            <w:pPr>
              <w:spacing w:after="40" w:before="0" w:line="259" w:lineRule="auto"/>
            </w:pPr>
            <w:r>
              <w:rPr>
                <w:rFonts w:ascii="Calibri" w:hAnsi="Calibri"/>
                <w:b w:val="0"/>
                <w:i w:val="0"/>
                <w:color w:val="212121"/>
                <w:sz w:val="16"/>
              </w:rPr>
              <w:t>Family history of diabetes/obesity; menstrual irregularity, hirsutism</w:t>
            </w:r>
          </w:p>
        </w:tc>
        <w:tc>
          <w:tcPr>
            <w:tcW w:type="dxa" w:w="950"/>
            <w:vAlign w:val="top"/>
          </w:tcPr>
          <w:p>
            <w:pPr>
              <w:spacing w:after="40" w:before="0" w:line="259" w:lineRule="auto"/>
            </w:pPr>
            <w:r>
              <w:rPr>
                <w:rFonts w:ascii="Calibri" w:hAnsi="Calibri"/>
                <w:b w:val="0"/>
                <w:i w:val="0"/>
                <w:color w:val="212121"/>
                <w:sz w:val="16"/>
              </w:rPr>
              <w:t>No family history; regular menses</w:t>
            </w:r>
          </w:p>
        </w:tc>
        <w:tc>
          <w:tcPr>
            <w:tcW w:type="dxa" w:w="950"/>
            <w:vAlign w:val="top"/>
          </w:tcPr>
          <w:p>
            <w:pPr>
              <w:spacing w:after="40" w:before="0" w:line="259" w:lineRule="auto"/>
            </w:pPr>
            <w:r>
              <w:rPr>
                <w:rFonts w:ascii="Calibri" w:hAnsi="Calibri"/>
                <w:b w:val="0"/>
                <w:i w:val="0"/>
                <w:color w:val="212121"/>
                <w:sz w:val="16"/>
              </w:rPr>
              <w:t>Strong family history of diabetes; oligomenorrhoea/hirsutism</w:t>
            </w:r>
          </w:p>
        </w:tc>
        <w:tc>
          <w:tcPr>
            <w:tcW w:type="dxa" w:w="1036"/>
            <w:vAlign w:val="top"/>
          </w:tcPr>
          <w:p>
            <w:pPr>
              <w:spacing w:after="40" w:before="0" w:line="259" w:lineRule="auto"/>
            </w:pPr>
            <w:r>
              <w:rPr>
                <w:rFonts w:ascii="Calibri" w:hAnsi="Calibri"/>
                <w:b w:val="0"/>
                <w:i w:val="0"/>
                <w:color w:val="212121"/>
                <w:sz w:val="16"/>
              </w:rPr>
              <w:t>Points to inherited insulin resistance and PCOS</w:t>
            </w:r>
          </w:p>
        </w:tc>
        <w:tc>
          <w:tcPr>
            <w:tcW w:type="dxa" w:w="1036"/>
            <w:vAlign w:val="top"/>
          </w:tcPr>
          <w:p>
            <w:pPr>
              <w:spacing w:after="40" w:before="0" w:line="259" w:lineRule="auto"/>
            </w:pPr>
            <w:r>
              <w:rPr>
                <w:rFonts w:ascii="Calibri" w:hAnsi="Calibri"/>
                <w:b w:val="0"/>
                <w:i w:val="0"/>
                <w:color w:val="212121"/>
                <w:sz w:val="16"/>
              </w:rPr>
              <w:t>Women with AN; those with familial diabetes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Cause-directed</w:t>
            </w:r>
          </w:p>
        </w:tc>
        <w:tc>
          <w:tcPr>
            <w:tcW w:type="dxa" w:w="720"/>
            <w:vAlign w:val="top"/>
          </w:tcPr>
          <w:p>
            <w:pPr>
              <w:spacing w:after="40" w:before="0" w:line="259" w:lineRule="auto"/>
            </w:pPr>
            <w:r>
              <w:rPr>
                <w:rFonts w:ascii="Calibri" w:hAnsi="Calibri"/>
                <w:b w:val="0"/>
                <w:i w:val="0"/>
                <w:color w:val="212121"/>
                <w:sz w:val="16"/>
              </w:rPr>
              <w:t>All Indian PCOS patients with AN had a family history of diabetes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inspection and grading</w:t>
            </w:r>
          </w:p>
        </w:tc>
        <w:tc>
          <w:tcPr>
            <w:tcW w:type="dxa" w:w="979"/>
            <w:vAlign w:val="top"/>
          </w:tcPr>
          <w:p>
            <w:pPr>
              <w:spacing w:after="40" w:before="0" w:line="259" w:lineRule="auto"/>
            </w:pPr>
            <w:r>
              <w:rPr>
                <w:rFonts w:ascii="Calibri" w:hAnsi="Calibri"/>
                <w:b w:val="0"/>
                <w:i w:val="0"/>
                <w:color w:val="212121"/>
                <w:sz w:val="16"/>
              </w:rPr>
              <w:t>Distribution/morphology of plaques; Burke neck grade (0-4); skin tags</w:t>
            </w:r>
          </w:p>
        </w:tc>
        <w:tc>
          <w:tcPr>
            <w:tcW w:type="dxa" w:w="950"/>
            <w:vAlign w:val="top"/>
          </w:tcPr>
          <w:p>
            <w:pPr>
              <w:spacing w:after="40" w:before="0" w:line="259" w:lineRule="auto"/>
            </w:pPr>
            <w:r>
              <w:rPr>
                <w:rFonts w:ascii="Calibri" w:hAnsi="Calibri"/>
                <w:b w:val="0"/>
                <w:i w:val="0"/>
                <w:color w:val="212121"/>
                <w:sz w:val="16"/>
              </w:rPr>
              <w:t>No AN; grade 0</w:t>
            </w:r>
          </w:p>
        </w:tc>
        <w:tc>
          <w:tcPr>
            <w:tcW w:type="dxa" w:w="950"/>
            <w:vAlign w:val="top"/>
          </w:tcPr>
          <w:p>
            <w:pPr>
              <w:spacing w:after="40" w:before="0" w:line="259" w:lineRule="auto"/>
            </w:pPr>
            <w:r>
              <w:rPr>
                <w:rFonts w:ascii="Calibri" w:hAnsi="Calibri"/>
                <w:b w:val="0"/>
                <w:i w:val="0"/>
                <w:color w:val="212121"/>
                <w:sz w:val="16"/>
              </w:rPr>
              <w:t>Velvety plaques in flexures; grade &gt;= 1; multiple acrochordons</w:t>
            </w:r>
          </w:p>
        </w:tc>
        <w:tc>
          <w:tcPr>
            <w:tcW w:type="dxa" w:w="1036"/>
            <w:vAlign w:val="top"/>
          </w:tcPr>
          <w:p>
            <w:pPr>
              <w:spacing w:after="40" w:before="0" w:line="259" w:lineRule="auto"/>
            </w:pPr>
            <w:r>
              <w:rPr>
                <w:rFonts w:ascii="Calibri" w:hAnsi="Calibri"/>
                <w:b w:val="0"/>
                <w:i w:val="0"/>
                <w:color w:val="212121"/>
                <w:sz w:val="16"/>
              </w:rPr>
              <w:t>Confirms diagnosis and quantifies severity for monitoring</w:t>
            </w:r>
          </w:p>
        </w:tc>
        <w:tc>
          <w:tcPr>
            <w:tcW w:type="dxa" w:w="1036"/>
            <w:vAlign w:val="top"/>
          </w:tcPr>
          <w:p>
            <w:pPr>
              <w:spacing w:after="40" w:before="0" w:line="259" w:lineRule="auto"/>
            </w:pPr>
            <w:r>
              <w:rPr>
                <w:rFonts w:ascii="Calibri" w:hAnsi="Calibri"/>
                <w:b w:val="0"/>
                <w:i w:val="0"/>
                <w:color w:val="212121"/>
                <w:sz w:val="16"/>
              </w:rPr>
              <w:t>All patients with suspected 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severity grading</w:t>
            </w:r>
          </w:p>
        </w:tc>
        <w:tc>
          <w:tcPr>
            <w:tcW w:type="dxa" w:w="720"/>
            <w:vAlign w:val="top"/>
          </w:tcPr>
          <w:p>
            <w:pPr>
              <w:spacing w:after="40" w:before="0" w:line="259" w:lineRule="auto"/>
            </w:pPr>
            <w:r>
              <w:rPr>
                <w:rFonts w:ascii="Calibri" w:hAnsi="Calibri"/>
                <w:b w:val="0"/>
                <w:i w:val="0"/>
                <w:color w:val="212121"/>
                <w:sz w:val="16"/>
              </w:rPr>
              <w:t>Nape of neck is the most easily identified site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waist circumference, waist-hip ratio</w:t>
            </w:r>
          </w:p>
        </w:tc>
        <w:tc>
          <w:tcPr>
            <w:tcW w:type="dxa" w:w="950"/>
            <w:vAlign w:val="top"/>
          </w:tcPr>
          <w:p>
            <w:pPr>
              <w:spacing w:after="40" w:before="0" w:line="259" w:lineRule="auto"/>
            </w:pPr>
            <w:r>
              <w:rPr>
                <w:rFonts w:ascii="Calibri" w:hAnsi="Calibri"/>
                <w:b w:val="0"/>
                <w:i w:val="0"/>
                <w:color w:val="212121"/>
                <w:sz w:val="16"/>
              </w:rPr>
              <w:t>BMI 18.5-22.9; waist M&lt;90/F&lt;80 cm</w:t>
            </w:r>
          </w:p>
        </w:tc>
        <w:tc>
          <w:tcPr>
            <w:tcW w:type="dxa" w:w="950"/>
            <w:vAlign w:val="top"/>
          </w:tcPr>
          <w:p>
            <w:pPr>
              <w:spacing w:after="40" w:before="0" w:line="259" w:lineRule="auto"/>
            </w:pPr>
            <w:r>
              <w:rPr>
                <w:rFonts w:ascii="Calibri" w:hAnsi="Calibri"/>
                <w:b w:val="0"/>
                <w:i w:val="0"/>
                <w:color w:val="212121"/>
                <w:sz w:val="16"/>
              </w:rPr>
              <w:t>BMI &gt;= 23; high waist circumference</w:t>
            </w:r>
          </w:p>
        </w:tc>
        <w:tc>
          <w:tcPr>
            <w:tcW w:type="dxa" w:w="1036"/>
            <w:vAlign w:val="top"/>
          </w:tcPr>
          <w:p>
            <w:pPr>
              <w:spacing w:after="40" w:before="0" w:line="259" w:lineRule="auto"/>
            </w:pPr>
            <w:r>
              <w:rPr>
                <w:rFonts w:ascii="Calibri" w:hAnsi="Calibri"/>
                <w:b w:val="0"/>
                <w:i w:val="0"/>
                <w:color w:val="212121"/>
                <w:sz w:val="16"/>
              </w:rPr>
              <w:t>Documents central obesity driving obesity-associated AN</w:t>
            </w:r>
          </w:p>
        </w:tc>
        <w:tc>
          <w:tcPr>
            <w:tcW w:type="dxa" w:w="1036"/>
            <w:vAlign w:val="top"/>
          </w:tcPr>
          <w:p>
            <w:pPr>
              <w:spacing w:after="40" w:before="0" w:line="259" w:lineRule="auto"/>
            </w:pPr>
            <w:r>
              <w:rPr>
                <w:rFonts w:ascii="Calibri" w:hAnsi="Calibri"/>
                <w:b w:val="0"/>
                <w:i w:val="0"/>
                <w:color w:val="212121"/>
                <w:sz w:val="16"/>
              </w:rPr>
              <w:t>Overweight/obese adults and children with AN</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AN patients have significantly higher BMI and waist circumference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Red-flag / systemic signs</w:t>
            </w:r>
          </w:p>
        </w:tc>
        <w:tc>
          <w:tcPr>
            <w:tcW w:type="dxa" w:w="979"/>
            <w:vAlign w:val="top"/>
          </w:tcPr>
          <w:p>
            <w:pPr>
              <w:spacing w:after="40" w:before="0" w:line="259" w:lineRule="auto"/>
            </w:pPr>
            <w:r>
              <w:rPr>
                <w:rFonts w:ascii="Calibri" w:hAnsi="Calibri"/>
                <w:b w:val="0"/>
                <w:i w:val="0"/>
                <w:color w:val="212121"/>
                <w:sz w:val="16"/>
              </w:rPr>
              <w:t>Tripe palms, mucosal/oral papillomatosis, weight loss, lymphadenopathy, features of endocrinopathy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Signal malignant AN or an underlying endocrine disorder</w:t>
            </w:r>
          </w:p>
        </w:tc>
        <w:tc>
          <w:tcPr>
            <w:tcW w:type="dxa" w:w="1036"/>
            <w:vAlign w:val="top"/>
          </w:tcPr>
          <w:p>
            <w:pPr>
              <w:spacing w:after="40" w:before="0" w:line="259" w:lineRule="auto"/>
            </w:pPr>
            <w:r>
              <w:rPr>
                <w:rFonts w:ascii="Calibri" w:hAnsi="Calibri"/>
                <w:b w:val="0"/>
                <w:i w:val="0"/>
                <w:color w:val="212121"/>
                <w:sz w:val="16"/>
              </w:rPr>
              <w:t>Atypical or florid 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Detects serious underlying cause</w:t>
            </w:r>
          </w:p>
        </w:tc>
        <w:tc>
          <w:tcPr>
            <w:tcW w:type="dxa" w:w="720"/>
            <w:vAlign w:val="top"/>
          </w:tcPr>
          <w:p>
            <w:pPr>
              <w:spacing w:after="40" w:before="0" w:line="259" w:lineRule="auto"/>
            </w:pPr>
            <w:r>
              <w:rPr>
                <w:rFonts w:ascii="Calibri" w:hAnsi="Calibri"/>
                <w:b w:val="0"/>
                <w:i w:val="0"/>
                <w:color w:val="212121"/>
                <w:sz w:val="16"/>
              </w:rPr>
              <w:t>Oral involvement occurs in 25-50% of malignant AN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Darkening of skin in body folds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Gradual light-brown to black discoloration of the nape/sides of neck, axillae and groin - usually the presenting complaint.</w:t>
            </w:r>
          </w:p>
        </w:tc>
      </w:tr>
      <w:tr>
        <w:trPr>
          <w:cantSplit/>
        </w:trPr>
        <w:tc>
          <w:tcPr>
            <w:tcW w:type="dxa" w:w="2304"/>
            <w:vAlign w:val="top"/>
          </w:tcPr>
          <w:p>
            <w:pPr>
              <w:spacing w:after="40" w:before="0" w:line="259" w:lineRule="auto"/>
            </w:pPr>
            <w:r>
              <w:rPr>
                <w:rFonts w:ascii="Calibri" w:hAnsi="Calibri"/>
                <w:b/>
                <w:i w:val="0"/>
                <w:color w:val="212121"/>
                <w:sz w:val="19"/>
              </w:rPr>
              <w:t>Velvety thickening / rough texture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Affected skin feels thickened, velvety and leathery rather than simply pigmented.</w:t>
            </w:r>
          </w:p>
        </w:tc>
      </w:tr>
      <w:tr>
        <w:trPr>
          <w:cantSplit/>
        </w:trPr>
        <w:tc>
          <w:tcPr>
            <w:tcW w:type="dxa" w:w="2304"/>
            <w:vAlign w:val="top"/>
          </w:tcPr>
          <w:p>
            <w:pPr>
              <w:spacing w:after="40" w:before="0" w:line="259" w:lineRule="auto"/>
            </w:pPr>
            <w:r>
              <w:rPr>
                <w:rFonts w:ascii="Calibri" w:hAnsi="Calibri"/>
                <w:b/>
                <w:i w:val="0"/>
                <w:color w:val="212121"/>
                <w:sz w:val="19"/>
              </w:rPr>
              <w:t>Skin tags (acrochordons) in the same areas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Multiple small skin tags frequently accompany AN around the neck and axillae.</w:t>
            </w:r>
          </w:p>
        </w:tc>
      </w:tr>
      <w:tr>
        <w:trPr>
          <w:cantSplit/>
        </w:trPr>
        <w:tc>
          <w:tcPr>
            <w:tcW w:type="dxa" w:w="2304"/>
            <w:vAlign w:val="top"/>
          </w:tcPr>
          <w:p>
            <w:pPr>
              <w:spacing w:after="40" w:before="0" w:line="259" w:lineRule="auto"/>
            </w:pPr>
            <w:r>
              <w:rPr>
                <w:rFonts w:ascii="Calibri" w:hAnsi="Calibri"/>
                <w:b/>
                <w:i w:val="0"/>
                <w:color w:val="212121"/>
                <w:sz w:val="19"/>
              </w:rPr>
              <w:t>Cosmetic concern / psychosocial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neck and axillary pigmentation is a common source of embarrassment and reduced self-esteem, often prompting the consultation.</w:t>
            </w:r>
          </w:p>
        </w:tc>
      </w:tr>
      <w:tr>
        <w:trPr>
          <w:cantSplit/>
        </w:trPr>
        <w:tc>
          <w:tcPr>
            <w:tcW w:type="dxa" w:w="2304"/>
            <w:vAlign w:val="top"/>
          </w:tcPr>
          <w:p>
            <w:pPr>
              <w:spacing w:after="40" w:before="0" w:line="259" w:lineRule="auto"/>
            </w:pPr>
            <w:r>
              <w:rPr>
                <w:rFonts w:ascii="Calibri" w:hAnsi="Calibri"/>
                <w:b/>
                <w:i w:val="0"/>
                <w:color w:val="212121"/>
                <w:sz w:val="19"/>
              </w:rPr>
              <w:t>Dryness and leathery feel of 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Surface may become dry, rough and accentuated by skin lines.</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itch may occur; prominent or new-onset itch is more typical of malignant AN.</w:t>
            </w:r>
          </w:p>
        </w:tc>
      </w:tr>
      <w:tr>
        <w:trPr>
          <w:cantSplit/>
        </w:trPr>
        <w:tc>
          <w:tcPr>
            <w:tcW w:type="dxa" w:w="2304"/>
            <w:vAlign w:val="top"/>
          </w:tcPr>
          <w:p>
            <w:pPr>
              <w:spacing w:after="40" w:before="0" w:line="259" w:lineRule="auto"/>
            </w:pPr>
            <w:r>
              <w:rPr>
                <w:rFonts w:ascii="Calibri" w:hAnsi="Calibri"/>
                <w:b/>
                <w:i w:val="0"/>
                <w:color w:val="212121"/>
                <w:sz w:val="19"/>
              </w:rPr>
              <w:t>Malodour from affected folds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Thickened, macerated flexural skin can retain moisture and develop odour, sometimes with secondary intertrigo.</w:t>
            </w:r>
          </w:p>
        </w:tc>
      </w:tr>
      <w:tr>
        <w:trPr>
          <w:cantSplit/>
        </w:trPr>
        <w:tc>
          <w:tcPr>
            <w:tcW w:type="dxa" w:w="2304"/>
            <w:vAlign w:val="top"/>
          </w:tcPr>
          <w:p>
            <w:pPr>
              <w:spacing w:after="40" w:before="0" w:line="259" w:lineRule="auto"/>
            </w:pPr>
            <w:r>
              <w:rPr>
                <w:rFonts w:ascii="Calibri" w:hAnsi="Calibri"/>
                <w:b/>
                <w:i w:val="0"/>
                <w:color w:val="212121"/>
                <w:sz w:val="19"/>
              </w:rPr>
              <w:t>Symptoms of the underlying cause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thirst/urination and fatigue (insulin resistance/diabetes), or menstrual irregularity, acne and excess hair (PCOS).</w:t>
            </w:r>
          </w:p>
        </w:tc>
      </w:tr>
      <w:tr>
        <w:trPr>
          <w:cantSplit/>
        </w:trPr>
        <w:tc>
          <w:tcPr>
            <w:tcW w:type="dxa" w:w="2304"/>
            <w:vAlign w:val="top"/>
          </w:tcPr>
          <w:p>
            <w:pPr>
              <w:spacing w:after="40" w:before="0" w:line="259" w:lineRule="auto"/>
            </w:pPr>
            <w:r>
              <w:rPr>
                <w:rFonts w:ascii="Calibri" w:hAnsi="Calibri"/>
                <w:b/>
                <w:i w:val="0"/>
                <w:color w:val="212121"/>
                <w:sz w:val="19"/>
              </w:rPr>
              <w:t>Rapid, extensive spread with weight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Sudden florid AN with unintentional weight loss is a red flag for paraneoplastic (malignant) AN.</w:t>
            </w:r>
          </w:p>
        </w:tc>
      </w:tr>
      <w:tr>
        <w:trPr>
          <w:cantSplit/>
        </w:trPr>
        <w:tc>
          <w:tcPr>
            <w:tcW w:type="dxa" w:w="2304"/>
            <w:vAlign w:val="top"/>
          </w:tcPr>
          <w:p>
            <w:pPr>
              <w:spacing w:after="40" w:before="0" w:line="259" w:lineRule="auto"/>
            </w:pPr>
            <w:r>
              <w:rPr>
                <w:rFonts w:ascii="Calibri" w:hAnsi="Calibri"/>
                <w:b/>
                <w:i w:val="0"/>
                <w:color w:val="212121"/>
                <w:sz w:val="19"/>
              </w:rPr>
              <w:t>Palmar ('tripe palm') or mucosal involvement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Velvety thickening of the palms or oral/lip mucosa strongly suggests an internal malignancy.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Symmetrical velvety hyperpigmented plaques in flexures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Brown-black, poorly demarcated, thickened plaques on the nape/sides of neck, axillae, groin and inframammary folds - the diagnostic hallmark.</w:t>
            </w:r>
          </w:p>
        </w:tc>
      </w:tr>
      <w:tr>
        <w:trPr>
          <w:cantSplit/>
        </w:trPr>
        <w:tc>
          <w:tcPr>
            <w:tcW w:type="dxa" w:w="3456"/>
            <w:vAlign w:val="top"/>
          </w:tcPr>
          <w:p>
            <w:pPr>
              <w:spacing w:after="40" w:before="0" w:line="259" w:lineRule="auto"/>
            </w:pPr>
            <w:r>
              <w:rPr>
                <w:rFonts w:ascii="Calibri" w:hAnsi="Calibri"/>
                <w:b/>
                <w:i w:val="0"/>
                <w:color w:val="212121"/>
                <w:sz w:val="19"/>
              </w:rPr>
              <w:t>Multiple skin tags (acrochordons)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pedunculated papules clustered around the neck and axillae, reflecting the same insulin/IGF-driven proliferation.</w:t>
            </w:r>
          </w:p>
        </w:tc>
      </w:tr>
      <w:tr>
        <w:trPr>
          <w:cantSplit/>
        </w:trPr>
        <w:tc>
          <w:tcPr>
            <w:tcW w:type="dxa" w:w="3456"/>
            <w:vAlign w:val="top"/>
          </w:tcPr>
          <w:p>
            <w:pPr>
              <w:spacing w:after="40" w:before="0" w:line="259" w:lineRule="auto"/>
            </w:pPr>
            <w:r>
              <w:rPr>
                <w:rFonts w:ascii="Calibri" w:hAnsi="Calibri"/>
                <w:b/>
                <w:i w:val="0"/>
                <w:color w:val="212121"/>
                <w:sz w:val="19"/>
              </w:rPr>
              <w:t>Papillomatous / warty surface change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Close inspection shows a mammillated, papillomatous surface rather than flat pigmentation.</w:t>
            </w:r>
          </w:p>
        </w:tc>
      </w:tr>
      <w:tr>
        <w:trPr>
          <w:cantSplit/>
        </w:trPr>
        <w:tc>
          <w:tcPr>
            <w:tcW w:type="dxa" w:w="3456"/>
            <w:vAlign w:val="top"/>
          </w:tcPr>
          <w:p>
            <w:pPr>
              <w:spacing w:after="40" w:before="0" w:line="259" w:lineRule="auto"/>
            </w:pPr>
            <w:r>
              <w:rPr>
                <w:rFonts w:ascii="Calibri" w:hAnsi="Calibri"/>
                <w:b/>
                <w:i w:val="0"/>
                <w:color w:val="212121"/>
                <w:sz w:val="19"/>
              </w:rPr>
              <w:t>Central obesity /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patients show abdominal adiposity, the driver of the underlying insulin resistance.</w:t>
            </w:r>
          </w:p>
        </w:tc>
      </w:tr>
      <w:tr>
        <w:trPr>
          <w:cantSplit/>
        </w:trPr>
        <w:tc>
          <w:tcPr>
            <w:tcW w:type="dxa" w:w="3456"/>
            <w:vAlign w:val="top"/>
          </w:tcPr>
          <w:p>
            <w:pPr>
              <w:spacing w:after="40" w:before="0" w:line="259" w:lineRule="auto"/>
            </w:pPr>
            <w:r>
              <w:rPr>
                <w:rFonts w:ascii="Calibri" w:hAnsi="Calibri"/>
                <w:b/>
                <w:i w:val="0"/>
                <w:color w:val="212121"/>
                <w:sz w:val="19"/>
              </w:rPr>
              <w:t>Knuckle and dorsal-hand hyperpigmentation (acral AN)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Velvety thickening over the knuckles and dorsa of the hands, a useful additional sign.</w:t>
            </w:r>
          </w:p>
        </w:tc>
      </w:tr>
      <w:tr>
        <w:trPr>
          <w:cantSplit/>
        </w:trPr>
        <w:tc>
          <w:tcPr>
            <w:tcW w:type="dxa" w:w="3456"/>
            <w:vAlign w:val="top"/>
          </w:tcPr>
          <w:p>
            <w:pPr>
              <w:spacing w:after="40" w:before="0" w:line="259" w:lineRule="auto"/>
            </w:pPr>
            <w:r>
              <w:rPr>
                <w:rFonts w:ascii="Calibri" w:hAnsi="Calibri"/>
                <w:b/>
                <w:i w:val="0"/>
                <w:color w:val="212121"/>
                <w:sz w:val="19"/>
              </w:rPr>
              <w:t>Features of hyperandrogenism (hirsutism, acne)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women, AN often accompanies the hirsutism and acne of PCOS; AN was found in 37.5% of Indian hirsutism patients.</w:t>
            </w:r>
          </w:p>
        </w:tc>
      </w:tr>
      <w:tr>
        <w:trPr>
          <w:cantSplit/>
        </w:trPr>
        <w:tc>
          <w:tcPr>
            <w:tcW w:type="dxa" w:w="3456"/>
            <w:vAlign w:val="top"/>
          </w:tcPr>
          <w:p>
            <w:pPr>
              <w:spacing w:after="40" w:before="0" w:line="259" w:lineRule="auto"/>
            </w:pPr>
            <w:r>
              <w:rPr>
                <w:rFonts w:ascii="Calibri" w:hAnsi="Calibri"/>
                <w:b/>
                <w:i w:val="0"/>
                <w:color w:val="212121"/>
                <w:sz w:val="19"/>
              </w:rPr>
              <w:t>Positive Burke neck severity grade (&gt;= 1)</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Standardised bedside grading (0-4) confirms and quantifies AN and tracks response.</w:t>
            </w:r>
          </w:p>
        </w:tc>
      </w:tr>
      <w:tr>
        <w:trPr>
          <w:cantSplit/>
        </w:trPr>
        <w:tc>
          <w:tcPr>
            <w:tcW w:type="dxa" w:w="3456"/>
            <w:vAlign w:val="top"/>
          </w:tcPr>
          <w:p>
            <w:pPr>
              <w:spacing w:after="40" w:before="0" w:line="259" w:lineRule="auto"/>
            </w:pPr>
            <w:r>
              <w:rPr>
                <w:rFonts w:ascii="Calibri" w:hAnsi="Calibri"/>
                <w:b/>
                <w:i w:val="0"/>
                <w:color w:val="212121"/>
                <w:sz w:val="19"/>
              </w:rPr>
              <w:t>Tripe palms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Thickened, velvety, ridged palms with exaggerated dermatoglyphics; ~90% associated with underlying malignancy.</w:t>
            </w:r>
          </w:p>
        </w:tc>
      </w:tr>
      <w:tr>
        <w:trPr>
          <w:cantSplit/>
        </w:trPr>
        <w:tc>
          <w:tcPr>
            <w:tcW w:type="dxa" w:w="3456"/>
            <w:vAlign w:val="top"/>
          </w:tcPr>
          <w:p>
            <w:pPr>
              <w:spacing w:after="40" w:before="0" w:line="259" w:lineRule="auto"/>
            </w:pPr>
            <w:r>
              <w:rPr>
                <w:rFonts w:ascii="Calibri" w:hAnsi="Calibri"/>
                <w:b/>
                <w:i w:val="0"/>
                <w:color w:val="212121"/>
                <w:sz w:val="19"/>
              </w:rPr>
              <w:t>Mucosal (oral/lip) papillomatosis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Velvety papillomatous change of oral mucosa or lips, seen in malignant AN (oral involvement in 25-50% of malignant cases).</w:t>
            </w:r>
          </w:p>
        </w:tc>
      </w:tr>
      <w:tr>
        <w:trPr>
          <w:cantSplit/>
        </w:trPr>
        <w:tc>
          <w:tcPr>
            <w:tcW w:type="dxa" w:w="3456"/>
            <w:vAlign w:val="top"/>
          </w:tcPr>
          <w:p>
            <w:pPr>
              <w:spacing w:after="40" w:before="0" w:line="259" w:lineRule="auto"/>
            </w:pPr>
            <w:r>
              <w:rPr>
                <w:rFonts w:ascii="Calibri" w:hAnsi="Calibri"/>
                <w:b/>
                <w:i w:val="0"/>
                <w:color w:val="212121"/>
                <w:sz w:val="19"/>
              </w:rPr>
              <w:t>Signs of endocrinopathy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Moon facies/striae (Cushing), coarse features and acral enlargement (acromegaly), or features of hypothyroidism when these are the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persistent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distress, low self-esteem and social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Pruritus and local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Maceration, malodour and secondary bacterial/fungal (intertrigo) infection of thickened folds</w:t>
            </w:r>
          </w:p>
        </w:tc>
        <w:tc>
          <w:tcPr>
            <w:tcW w:type="dxa" w:w="2980"/>
            <w:vAlign w:val="top"/>
          </w:tcPr>
          <w:p>
            <w:pPr>
              <w:spacing w:after="40" w:before="0" w:line="259" w:lineRule="auto"/>
            </w:pPr>
            <w:r>
              <w:rPr>
                <w:rFonts w:ascii="Calibri" w:hAnsi="Calibri"/>
                <w:b w:val="0"/>
                <w:i w:val="0"/>
                <w:color w:val="212121"/>
                <w:sz w:val="19"/>
              </w:rPr>
              <w:t>Direct local and cosmetic consequences of the thickened, hyperpigmented flexural skin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Underlying hyperinsulinaemia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Prediabetes and type 2 diabetes mellitus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Polycystic ovary syndrome, hyperandrogenism and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atherogenic dyslipidaemia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 / hepatic fibrosis</w:t>
            </w:r>
          </w:p>
        </w:tc>
        <w:tc>
          <w:tcPr>
            <w:tcW w:type="dxa" w:w="2980"/>
            <w:vAlign w:val="top"/>
          </w:tcPr>
          <w:p>
            <w:pPr>
              <w:spacing w:after="40" w:before="0" w:line="259" w:lineRule="auto"/>
            </w:pPr>
            <w:r>
              <w:rPr>
                <w:rFonts w:ascii="Calibri" w:hAnsi="Calibri"/>
                <w:b w:val="0"/>
                <w:i w:val="0"/>
                <w:color w:val="212121"/>
                <w:sz w:val="19"/>
              </w:rPr>
              <w:t>AN is chiefly important as a visible marker of these systemic metabolic disorders it signposts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micro- and macrovascular end-organ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NAFLD to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malignant AN: advanced internal (commonly gastric) adenocarcinoma with poor prognosis (median survival often &lt; 2 years)</w:t>
            </w:r>
          </w:p>
        </w:tc>
        <w:tc>
          <w:tcPr>
            <w:tcW w:type="dxa" w:w="2980"/>
            <w:vAlign w:val="top"/>
          </w:tcPr>
          <w:p>
            <w:pPr>
              <w:spacing w:after="40" w:before="0" w:line="259" w:lineRule="auto"/>
            </w:pPr>
            <w:r>
              <w:rPr>
                <w:rFonts w:ascii="Calibri" w:hAnsi="Calibri"/>
                <w:b w:val="0"/>
                <w:i w:val="0"/>
                <w:color w:val="212121"/>
                <w:sz w:val="19"/>
              </w:rPr>
              <w:t>Long-term, potentially disabling or life-threatening outcomes of the untreated underlying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Insulin resistance / hyperinsulinaemia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central pathogenic driver of AN; excess insulin activates keratinocyte IGF-1 receptors. AN is a validated, non-invasive bedside marker of insulin resistance.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strongest modifiable cause; obesity-associated AN is the commonest form and typically regresses with weight loss.</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roughly doubles the likelihood of type 2 diabetes and its neck severity correlates with HOMA-IR, making it a strong screening indicator.</w:t>
            </w:r>
          </w:p>
          <w:p>
            <w:pPr>
              <w:spacing w:after="40" w:before="0" w:line="259" w:lineRule="auto"/>
            </w:pPr>
            <w:r>
              <w:rPr>
                <w:rFonts w:ascii="Calibri" w:hAnsi="Calibri"/>
                <w:b/>
                <w:i w:val="0"/>
                <w:color w:val="212121"/>
                <w:sz w:val="19"/>
              </w:rPr>
              <w:t>~35% (vs ~18% without AN)</w:t>
            </w:r>
          </w:p>
        </w:tc>
      </w:tr>
      <w:tr>
        <w:trPr>
          <w:cantSplit/>
        </w:trPr>
        <w:tc>
          <w:tcPr>
            <w:tcW w:type="dxa" w:w="2232"/>
            <w:vAlign w:val="top"/>
          </w:tcPr>
          <w:p>
            <w:pPr>
              <w:spacing w:after="40" w:before="0" w:line="259" w:lineRule="auto"/>
            </w:pPr>
            <w:r>
              <w:rPr>
                <w:rFonts w:ascii="Calibri" w:hAnsi="Calibri"/>
                <w:b/>
                <w:i w:val="0"/>
                <w:color w:val="212121"/>
                <w:sz w:val="19"/>
              </w:rPr>
              <w:t>Prediabetes / impaired glucose tolerance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AN reflects the hyperinsulinaemia that precedes overt diabetes; associated with glucose intolerance (OR 2.35) in Indian children.</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Core cutaneous feature of PCOS/HAIR-AN; signals higher diabetes risk in affected women.</w:t>
            </w:r>
          </w:p>
          <w:p>
            <w:pPr>
              <w:spacing w:after="40" w:before="0" w:line="259" w:lineRule="auto"/>
            </w:pPr>
            <w:r>
              <w:rPr>
                <w:rFonts w:ascii="Calibri" w:hAnsi="Calibri"/>
                <w:b/>
                <w:i w:val="0"/>
                <w:color w:val="212121"/>
                <w:sz w:val="19"/>
              </w:rPr>
              <w:t>Up to 56%</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AN clusters with central obesity, dysglycaemia, dyslipidaemia and hypertension through shared insulin resistance.</w:t>
            </w:r>
          </w:p>
        </w:tc>
      </w:tr>
      <w:tr>
        <w:trPr>
          <w:cantSplit/>
        </w:trPr>
        <w:tc>
          <w:tcPr>
            <w:tcW w:type="dxa" w:w="2232"/>
            <w:vAlign w:val="top"/>
          </w:tcPr>
          <w:p>
            <w:pPr>
              <w:spacing w:after="40" w:before="0" w:line="259" w:lineRule="auto"/>
            </w:pPr>
            <w:r>
              <w:rPr>
                <w:rFonts w:ascii="Calibri" w:hAnsi="Calibri"/>
                <w:b/>
                <w:i w:val="0"/>
                <w:color w:val="212121"/>
                <w:sz w:val="19"/>
              </w:rPr>
              <w:t>Atherogenic dyslipidaemia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High triglycerides and low HDL accompany AN as part of the insulin-resistance phenotype.</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 hepatic fibrosis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insulin resistance with AN; in North Indian diabetics AN independently predicted hepatic fibrosis (adjusted OR 2.47).</w:t>
            </w:r>
          </w:p>
        </w:tc>
      </w:tr>
      <w:tr>
        <w:trPr>
          <w:cantSplit/>
        </w:trPr>
        <w:tc>
          <w:tcPr>
            <w:tcW w:type="dxa" w:w="2232"/>
            <w:vAlign w:val="top"/>
          </w:tcPr>
          <w:p>
            <w:pPr>
              <w:spacing w:after="40" w:before="0" w:line="259" w:lineRule="auto"/>
            </w:pPr>
            <w:r>
              <w:rPr>
                <w:rFonts w:ascii="Calibri" w:hAnsi="Calibri"/>
                <w:b/>
                <w:i w:val="0"/>
                <w:color w:val="212121"/>
                <w:sz w:val="19"/>
              </w:rPr>
              <w:t>Hirsutism / hyperandrogenism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Frequently coexists with AN via hyperandrogenism and insulin resistance; AN found in 37.5% of Indian hirsutism patients.</w:t>
            </w:r>
          </w:p>
          <w:p>
            <w:pPr>
              <w:spacing w:after="40" w:before="0" w:line="259" w:lineRule="auto"/>
            </w:pPr>
            <w:r>
              <w:rPr>
                <w:rFonts w:ascii="Calibri" w:hAnsi="Calibri"/>
                <w:b/>
                <w:i w:val="0"/>
                <w:color w:val="212121"/>
                <w:sz w:val="19"/>
              </w:rPr>
              <w:t>Up to 37.5%</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insulin-resistance and endothelial-dysfunction pathway; family history of hypertension is associated with adolescent AN.</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 in obese AN patients; intermittent hypoxia worsens insulin resistance, reinforcing the metabolic state that produces AN.</w:t>
            </w:r>
          </w:p>
        </w:tc>
      </w:tr>
      <w:tr>
        <w:trPr>
          <w:cantSplit/>
        </w:trPr>
        <w:tc>
          <w:tcPr>
            <w:tcW w:type="dxa" w:w="2232"/>
            <w:vAlign w:val="top"/>
          </w:tcPr>
          <w:p>
            <w:pPr>
              <w:spacing w:after="40" w:before="0" w:line="259" w:lineRule="auto"/>
            </w:pPr>
            <w:r>
              <w:rPr>
                <w:rFonts w:ascii="Calibri" w:hAnsi="Calibri"/>
                <w:b/>
                <w:i w:val="0"/>
                <w:color w:val="212121"/>
                <w:sz w:val="19"/>
              </w:rPr>
              <w:t>Internal malignancy (gastric adenocarcinoma)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Tumour-derived growth factors cause paraneoplastic malignant AN; gastric adenocarcinoma underlies ~60% of malignant AN and its detection changes prognosis and management.</w:t>
            </w:r>
          </w:p>
          <w:p>
            <w:pPr>
              <w:spacing w:after="40" w:before="0" w:line="259" w:lineRule="auto"/>
            </w:pPr>
            <w:r>
              <w:rPr>
                <w:rFonts w:ascii="Calibri" w:hAnsi="Calibri"/>
                <w:b/>
                <w:i w:val="0"/>
                <w:color w:val="212121"/>
                <w:sz w:val="19"/>
              </w:rPr>
              <w:t>~60% (of malignant AN)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acanthosis nigricans is usually a harmless skin change but a visible warning sign of insulin resistance, and that it should prompt screening for prediabetes, diabetes and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the obesity-associated form often fades when the underlying weight and insulin problem is treated - it is largely 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sites to self-check (nape of neck, armpits, groin, knuckles) and seek review if the darkening spreads.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need urgent medical attention: sudden, rapidly spreading darkening, involvement of the palms or mouth, itching, or unexplained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any medications (high-dose niacin, steroids, oral contraceptives, insulin) with a doctor, as some drugs can cause reversible 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central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PCOS/hirsutism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children should aim for 60 minutes of activity daily.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build muscle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continuous sitting and screen time, which are independently linked to AN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as part of a plan for gradual 5-10% weight loss, focusing on reducing waist circumference - this often lightens the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post-meal walking (10-15 minutes) to blunt glucose and insulin spikes.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children and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individuals with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PCOS or prediabetes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low-glycaemic whole grains and millets (ragi, jowar, bajra, brown rice, oats) over refined white rice and maida.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sugar-sweetened beverages, sweets, bakery items and deep-fried/ultra-processed foods that cause glucose and insulin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Fill half the plate with non-starchy vegetables and include pulses, nuts and adequate fibre (25-35 g/day).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whole fruit in controlled portions rather than fruit juices, and distribute carbohydrate evenly across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portion control and avoid late-night and irregular eating to support weight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and children with obesity-associated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calorie-controlled, lower-glycaemic diet aimed at gradual weight and waist reduction, ideally with a dietitian.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diabetes/prediabetes, coordinate diet with prescribed metformin or other therapy, which by improving insulin resistance can also improve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saturated and trans fats to address the dyslipidaemia that clusters with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the dietary changes long term, as AN tends to return if weight and insulin resistance recur.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type 2 diabetes and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and AN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healthy glucose and insulin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daytime sleepiness), which is common in obese AN patients and worsens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sleep-wake timings and limit late-night screen use and heavy meals before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 with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starting tobacco in any form; smoking aggravates insulin resistance and the metabolic syndrome that underlie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current smokers, use structured quit support (counselling, nicotine replacement) to quit completely.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particularly for children and adolescents at 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and 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type 2 diabetes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adds calories and worsens central obesity, dyslipidaemia and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intake low (no more than ~14 units/week, spread out) and have alcohol-free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anyone with AN and abnormal liver tests, minimise alcohol to protect against progression of fatty liver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AN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cosmetic and psychosocial impact of visible neck/axillary pigmentation and offer reassurance about its usually benign nature and reversibility.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motivation and adherence to lifestyle change with realistic, gradual goals to avoid discouragement.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depression and low self-esteem, which interact bidirectionally with obesity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counselling or peer/family support for adolescents distressed by the skin changes.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distressed by 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obesity and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4351677/" TargetMode="External"/><Relationship Id="rId10" Type="http://schemas.openxmlformats.org/officeDocument/2006/relationships/hyperlink" Target="https://pubmed.ncbi.nlm.nih.gov/35136792/" TargetMode="External"/><Relationship Id="rId11" Type="http://schemas.openxmlformats.org/officeDocument/2006/relationships/hyperlink" Target="https://www.ncbi.nlm.nih.gov/books/NBK431057/" TargetMode="External"/><Relationship Id="rId12" Type="http://schemas.openxmlformats.org/officeDocument/2006/relationships/hyperlink" Target="https://pubmed.ncbi.nlm.nih.gov/38881139/" TargetMode="External"/><Relationship Id="rId13" Type="http://schemas.openxmlformats.org/officeDocument/2006/relationships/hyperlink" Target="https://dermnetnz.org/topics/acanthosis-nigricans" TargetMode="External"/><Relationship Id="rId14" Type="http://schemas.openxmlformats.org/officeDocument/2006/relationships/hyperlink" Target="https://pubmed.ncbi.nlm.nih.gov/23543316/" TargetMode="External"/><Relationship Id="rId15" Type="http://schemas.openxmlformats.org/officeDocument/2006/relationships/hyperlink" Target="https://pubmed.ncbi.nlm.nih.gov/23565457/" TargetMode="External"/><Relationship Id="rId16" Type="http://schemas.openxmlformats.org/officeDocument/2006/relationships/hyperlink" Target="https://pubmed.ncbi.nlm.nih.gov/38245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