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Miliaria / Prickly Heat</w:t>
      </w:r>
    </w:p>
    <w:p>
      <w:pPr>
        <w:spacing w:before="0" w:after="160"/>
      </w:pPr>
      <w:r>
        <w:rPr>
          <w:rFonts w:ascii="Calibri" w:hAnsi="Calibri"/>
          <w:b/>
          <w:i w:val="0"/>
          <w:color w:val="212121"/>
          <w:sz w:val="22"/>
        </w:rPr>
        <w:t xml:space="preserve">AKA </w:t>
      </w:r>
      <w:r>
        <w:rPr>
          <w:rFonts w:ascii="Calibri" w:hAnsi="Calibri"/>
          <w:b w:val="0"/>
          <w:i w:val="0"/>
          <w:color w:val="212121"/>
          <w:sz w:val="22"/>
        </w:rPr>
        <w:t>i.e., Prickly heat, Heat rash, Sweat rash, Ghamori (Hindi), Sweat retention syndrome; clinical variants: miliaria crystallina, miliaria rubra, miliaria pustulosa, miliaria profunda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Miliaria (prickly heat) is a common, usually self-limiting disorder of the eccrine sweat glands in which the sweat duct is obstructed, causing sweat to leak and become trapped within the epidermis or dermis rather than reaching the skin surface. The retained sweat provokes a vesicular or inflammatory papular eruption over covered, occluded and friction-prone skin. It is strongly climate-driven and is especially frequent in hot, humid tropical settings such as the Indian summer and monsoon. The depth at which the duct is blocked determines the clinical type - crystallina (very superficial), rubra (mid-epidermal, the classic 'prickly heat'), pustulosa and profunda (deepest).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Miliaria is one of the commonest heat-related skin complaints in India, where prolonged hot and humid summers and monsoons, occlusive clothing and limited access to cooling make it near-ubiquitous at community level; true population figures are unknown because most episodes are mild, transient and never reach medical care. In neonates, miliaria crystallina is a common transient eruption, reported in roughly 4.5% to 9% of newborns and clustering in the first two weeks of life, and it features regularly in Indian newborn skin surveys. Miliaria rubra - the classic prickly heat - affects up to 30% of adults exposed to hot, humid conditions or newly arrived in a tropical climate. Heat- and summer-associated dermatoses are a well-recognised seasonal burden in Indian dermatology outpatient practice.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Miliaria is essentially a clinical diagnosis based on the characteristic morphology and distribution of lesions arising in a hot, humid or occlusive setting, with onset related to sweating.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Compatible history - onset during hot/humid weather, fever, strenuous exertion, occlusive clothing/dressings, bed rest or recent arrival in a tropical climate, with lesions appearing over covered or sweat-prone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Miliaria crystallina - crops of 1 to 2 mm clear, thin-walled, non-inflammatory superficial vesicles ('dewdrops') that rupture easily, typically on the head, neck and upper trunk, with no surrounding redness;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Miliaria rubra ('prickly heat') - erythematous 2 to 4 mm non-follicular papules and papulovesicles with prickling, stinging and itch, over occluded/covered skin (trunk, neck folds, flexures, waistline), with the face usually spared;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Miliaria profunda - firm, flesh-coloured 1 to 3 mm deep papules on the trunk and extremities appearing within minutes to hours of sweating, usually after recurrent miliaria rubra;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Miliaria pustulosa - superimposed pustules on a background of miliaria rubra, indicating secondary bacterial (usually staphylococcal)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(optional) - non-follicular vesicles/papules with a peripheral white halo, helping distinguish miliaria from folliculitis;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(rarely required) - reserved for atypical/persistent cases; shows an intraepidermal spongiotic vesicle at the level of the obstructed eccrine duct with a PAS-positive keratotic plug, the depth of the vesicle defining the 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Gram stain and bacterial culture of pustules where miliaria pustulosa or secondary infection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 folliculitis, cutaneous candidiasis, cholinergic urticaria, viral exanthem, drug eruption and neonatal erythema toxicum.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Miliaria is classified by the depth of eccrine duct obstruction, which determines the clinical appearance, symptoms and prognosis:</w:t>
      </w:r>
    </w:p>
    <w:p>
      <w:pPr>
        <w:spacing w:before="0" w:after="80"/>
      </w:pPr>
      <w:r>
        <w:rPr>
          <w:rFonts w:ascii="Calibri" w:hAnsi="Calibri"/>
          <w:b w:val="0"/>
          <w:i w:val="0"/>
          <w:color w:val="212121"/>
          <w:sz w:val="21"/>
        </w:rPr>
        <w:t>(1) Miliaria crystallina (sudamina) - the most superficial form, with obstruction within the stratum corneum. It produces tiny 1 to 2 mm clear, non-inflammatory vesicles resembling dew drops that rupture within hours; it is asymptomatic, commonest in neonates (mean age about one week) and in febrile or bedridden adults, and resolves rapidly on cooling;</w:t>
      </w:r>
    </w:p>
    <w:p>
      <w:pPr>
        <w:spacing w:before="0" w:after="80"/>
      </w:pPr>
      <w:r>
        <w:rPr>
          <w:rFonts w:ascii="Calibri" w:hAnsi="Calibri"/>
          <w:b w:val="0"/>
          <w:i w:val="0"/>
          <w:color w:val="212121"/>
          <w:sz w:val="21"/>
        </w:rPr>
        <w:t>(2) Miliaria rubra (prickly heat) - the commonest symptomatic form, with obstruction in the deeper mid-epidermis. It produces erythematous non-follicular papules and papulovesicles with a characteristic prickling, stinging and itch that worsens with sweating; it affects up to 30% of adults in hot, humid conditions and occurs over covered, friction-prone skin;</w:t>
      </w:r>
    </w:p>
    <w:p>
      <w:pPr>
        <w:spacing w:before="0" w:after="80"/>
      </w:pPr>
      <w:r>
        <w:rPr>
          <w:rFonts w:ascii="Calibri" w:hAnsi="Calibri"/>
          <w:b w:val="0"/>
          <w:i w:val="0"/>
          <w:color w:val="212121"/>
          <w:sz w:val="21"/>
        </w:rPr>
        <w:t>(3) Miliaria pustulosa - a variant of miliaria rubra in which the vesicles become pustular owing to secondary bacterial (commonly Staphylococcus aureus) infection; severe cases can progress to periporitis staphylogenes with abscesses;</w:t>
      </w:r>
    </w:p>
    <w:p>
      <w:pPr>
        <w:spacing w:before="0" w:after="80"/>
      </w:pPr>
      <w:r>
        <w:rPr>
          <w:rFonts w:ascii="Calibri" w:hAnsi="Calibri"/>
          <w:b w:val="0"/>
          <w:i w:val="0"/>
          <w:color w:val="212121"/>
          <w:sz w:val="21"/>
        </w:rPr>
        <w:t>(4) Miliaria profunda - the rarest and deepest form, with obstruction at the dermo-epidermal junction. It follows repeated episodes of miliaria rubra, producing firm, flesh-coloured, often asymptomatic papules; widespread involvement can impair sweating (anhidrosis) and predispose to heat exhaustion ('tropical anhidrotic asthenia').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Eccrine duct obstruction: Keratinous plugging of the sweat duct, aided by cutaneous debris and a Staphylococcus epidermidis biofilm, traps sweat that then leaks into the epidermis or dermis - the central mechanism of all forms of miliaria.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Heat and high humidity: Hot, humid environments (as in Indian summers and the monsoon) drive profuse sweating and impair sweat evaporation, the fundamental precipitant of the disease.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Occlusion of the skin: Tight or synthetic non-breathable clothing, occlusive dressings and transdermal patches, and prolonged bed rest on non-porous surfaces trap sweat against the skin.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Fever and febrile illness: High fever increases sweating and is a common trigger, particularly in hospitalised, bedridden and critically ill patients.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Immature eccrine ducts (neonates): Not-yet-fully-patent sweat ducts in newborns predispose to crystallina and rubra, aggravated by over-wrapping, swaddling and warm nurseries.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Strenuous physical activity: Exertional sweating, especially under occlusive clothing, protective gear or in hot conditions, overloads and blocks the ducts.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Sudden exposure to a hot/tropical climate: Non-acclimatised individuals moving to or working in hot, humid regions are highly susceptible, particularly to miliaria rubra.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and young infants</w:t>
            </w:r>
          </w:p>
        </w:tc>
        <w:tc>
          <w:tcPr>
            <w:tcW w:type="dxa" w:w="4276"/>
            <w:vAlign w:val="top"/>
          </w:tcPr>
          <w:p>
            <w:pPr>
              <w:spacing w:after="60" w:line="259" w:lineRule="auto"/>
            </w:pPr>
            <w:r>
              <w:rPr>
                <w:rFonts w:ascii="Calibri" w:hAnsi="Calibri"/>
                <w:b w:val="0"/>
                <w:i w:val="0"/>
                <w:color w:val="212121"/>
                <w:sz w:val="19"/>
              </w:rPr>
              <w:t>Newborns have relatively immature, not-yet-fully-patent eccrine ducts that block easily, and the common Indian practice of over-wrapping, swaddling and keeping infants in warm rooms adds heat and occlusion, so miliaria (crystallina and rubra) is a frequent transient neonatal eruption.</w:t>
            </w:r>
          </w:p>
          <w:p>
            <w:pPr>
              <w:spacing w:after="40" w:before="60" w:line="259" w:lineRule="auto"/>
            </w:pPr>
            <w:r>
              <w:rPr>
                <w:rFonts w:ascii="Calibri" w:hAnsi="Calibri"/>
                <w:b w:val="0"/>
                <w:i w:val="0"/>
                <w:color w:val="212121"/>
                <w:sz w:val="19"/>
              </w:rPr>
              <w:t>In an Indian neonatal skin study, miliaria crystallina was among the transient lesions recorded (about 9% of cases), converging with global estimates of roughly 4.5% to 9% of neonates.</w:t>
            </w:r>
          </w:p>
          <w:p>
            <w:pPr>
              <w:spacing w:after="40" w:line="252" w:lineRule="auto"/>
            </w:pPr>
            <w:hyperlink r:id="rId9">
              <w:r>
                <w:rPr>
                  <w:rFonts w:ascii="Calibri" w:hAnsi="Calibri" w:cs="Calibri"/>
                  <w:sz w:val="18"/>
                  <w:color w:val="1155CC"/>
                  <w:u w:val="single"/>
                </w:rPr>
                <w:t xml:space="preserve">pubmed.ncbi.nlm.nih.gov/22037857 - Goyal et al, Indian J Pediatr</w:t>
              </w:r>
            </w:hyperlink>
          </w:p>
          <w:p>
            <w:pPr>
              <w:spacing w:before="60" w:after="40"/>
            </w:pPr>
            <w:r>
              <w:rPr>
                <w:rFonts w:ascii="Calibri" w:hAnsi="Calibri"/>
                <w:b w:val="0"/>
                <w:i w:val="0"/>
                <w:color w:val="5A5A5A"/>
                <w:sz w:val="18"/>
              </w:rPr>
              <w:t>#miliaria  #pricklyheat  #neonates  #immatureducts  #overwrapping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Working-age adults accumulate the classic triggers - outdoor and heat-exposed work, exertional sweating, occlusive clothing and, for many, non-acclimatised exposure to hot, humid conditions - making miliaria rubra especially common in this group.</w:t>
            </w:r>
          </w:p>
          <w:p>
            <w:pPr>
              <w:spacing w:after="40" w:before="60" w:line="259" w:lineRule="auto"/>
            </w:pPr>
            <w:r>
              <w:rPr>
                <w:rFonts w:ascii="Calibri" w:hAnsi="Calibri"/>
                <w:b w:val="0"/>
                <w:i w:val="0"/>
                <w:color w:val="212121"/>
                <w:sz w:val="19"/>
              </w:rPr>
              <w:t>Miliaria rubra affects up to 30% of adults living or working in hot and humid conditions.</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#adults  #pricklyheat  #miliariarubra  #heatexposure  #occlusion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and bedridden</w:t>
            </w:r>
          </w:p>
        </w:tc>
        <w:tc>
          <w:tcPr>
            <w:tcW w:type="dxa" w:w="4276"/>
            <w:vAlign w:val="top"/>
          </w:tcPr>
          <w:p>
            <w:pPr>
              <w:spacing w:after="60" w:line="259" w:lineRule="auto"/>
            </w:pPr>
            <w:r>
              <w:rPr>
                <w:rFonts w:ascii="Calibri" w:hAnsi="Calibri"/>
                <w:b w:val="0"/>
                <w:i w:val="0"/>
                <w:color w:val="212121"/>
                <w:sz w:val="19"/>
              </w:rPr>
              <w:t>Reduced mobility, prolonged lying on non-breathable/waterproof surfaces, incontinence, warm bedding and febrile illness cause retained sweat and occlusion over the back and dependent areas, so debilitated and hospitalised elderly patients readily develop miliaria.</w:t>
            </w:r>
          </w:p>
          <w:p>
            <w:pPr>
              <w:spacing w:after="40" w:before="60" w:line="259" w:lineRule="auto"/>
            </w:pPr>
            <w:r>
              <w:rPr>
                <w:rFonts w:ascii="Calibri" w:hAnsi="Calibri"/>
                <w:b w:val="0"/>
                <w:i w:val="0"/>
                <w:color w:val="212121"/>
                <w:sz w:val="19"/>
              </w:rPr>
              <w:t>Hospitalisation and bed rest on waterproofed surfaces are recognised precipitants of miliaria.</w:t>
            </w:r>
          </w:p>
          <w:p>
            <w:pPr>
              <w:spacing w:after="40" w:line="252" w:lineRule="auto"/>
            </w:pPr>
            <w:hyperlink r:id="rId11">
              <w:r>
                <w:rPr>
                  <w:rFonts w:ascii="Calibri" w:hAnsi="Calibri" w:cs="Calibri"/>
                  <w:sz w:val="18"/>
                  <w:color w:val="1155CC"/>
                  <w:u w:val="single"/>
                </w:rPr>
                <w:t xml:space="preserve">dermnetnz.org/topics/miliaria - DermNet</w:t>
              </w:r>
            </w:hyperlink>
          </w:p>
          <w:p>
            <w:pPr>
              <w:spacing w:before="60" w:after="40"/>
            </w:pPr>
            <w:r>
              <w:rPr>
                <w:rFonts w:ascii="Calibri" w:hAnsi="Calibri"/>
                <w:b w:val="0"/>
                <w:i w:val="0"/>
                <w:color w:val="5A5A5A"/>
                <w:sz w:val="18"/>
              </w:rPr>
              <w:t>#elderly  #bedridden  #occlusion  #hospitalised  #dependentareas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Miliaria profunda, the deep recurrent form, presents mainly in adult men - often those with heavy occupational heat exposure and repeated episodes of miliaria rubra - reflecting greater sweat output and heat/occlusive exposure.</w:t>
            </w:r>
          </w:p>
          <w:p>
            <w:pPr>
              <w:spacing w:after="40" w:before="60" w:line="259" w:lineRule="auto"/>
            </w:pPr>
            <w:r>
              <w:rPr>
                <w:rFonts w:ascii="Calibri" w:hAnsi="Calibri"/>
                <w:b w:val="0"/>
                <w:i w:val="0"/>
                <w:color w:val="212121"/>
                <w:sz w:val="19"/>
              </w:rPr>
              <w:t>Miliaria profunda is rare and is seen predominantly in adult males, typically following recurrent miliaria rubra.</w:t>
            </w:r>
          </w:p>
          <w:p>
            <w:pPr>
              <w:spacing w:after="40" w:line="252" w:lineRule="auto"/>
            </w:pPr>
            <w:hyperlink r:id="rId11">
              <w:r>
                <w:rPr>
                  <w:rFonts w:ascii="Calibri" w:hAnsi="Calibri" w:cs="Calibri"/>
                  <w:sz w:val="18"/>
                  <w:color w:val="1155CC"/>
                  <w:u w:val="single"/>
                </w:rPr>
                <w:t xml:space="preserve">dermnetnz.org/topics/miliaria - DermNet</w:t>
              </w:r>
            </w:hyperlink>
          </w:p>
          <w:p>
            <w:pPr>
              <w:spacing w:before="60" w:after="40"/>
            </w:pPr>
            <w:r>
              <w:rPr>
                <w:rFonts w:ascii="Calibri" w:hAnsi="Calibri"/>
                <w:b w:val="0"/>
                <w:i w:val="0"/>
                <w:color w:val="5A5A5A"/>
                <w:sz w:val="18"/>
              </w:rPr>
              <w:t>#male  #miliariaprofunda  #recurrent  #heatworkers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limited cooling</w:t>
            </w:r>
          </w:p>
        </w:tc>
        <w:tc>
          <w:tcPr>
            <w:tcW w:type="dxa" w:w="4276"/>
            <w:vAlign w:val="top"/>
          </w:tcPr>
          <w:p>
            <w:pPr>
              <w:spacing w:after="60" w:line="259" w:lineRule="auto"/>
            </w:pPr>
            <w:r>
              <w:rPr>
                <w:rFonts w:ascii="Calibri" w:hAnsi="Calibri"/>
                <w:b w:val="0"/>
                <w:i w:val="0"/>
                <w:color w:val="212121"/>
                <w:sz w:val="19"/>
              </w:rPr>
              <w:t>Households without fans, coolers or air-conditioning, crowded and poorly ventilated housing, outdoor manual work and reliance on cheaper synthetic occlusive clothing all increase heat and sweat retention, raising miliaria risk; the burden of neonatal heat rash is likewise higher where cooling is limited.</w:t>
            </w:r>
          </w:p>
          <w:p>
            <w:pPr>
              <w:spacing w:after="40" w:before="60" w:line="259" w:lineRule="auto"/>
            </w:pPr>
            <w:r>
              <w:rPr>
                <w:rFonts w:ascii="Calibri" w:hAnsi="Calibri"/>
                <w:b w:val="0"/>
                <w:i w:val="0"/>
                <w:color w:val="212121"/>
                <w:sz w:val="19"/>
              </w:rPr>
              <w:t>Neonatal dermatoses are highly prevalent in Indian newborn surveys (e.g., a cross-sectional study of 474 neonates), with transient heat-related eruptions among the common findings.</w:t>
            </w:r>
          </w:p>
          <w:p>
            <w:pPr>
              <w:spacing w:after="40" w:line="252" w:lineRule="auto"/>
            </w:pPr>
            <w:hyperlink r:id="rId12">
              <w:r>
                <w:rPr>
                  <w:rFonts w:ascii="Calibri" w:hAnsi="Calibri" w:cs="Calibri"/>
                  <w:sz w:val="18"/>
                  <w:color w:val="1155CC"/>
                  <w:u w:val="single"/>
                </w:rPr>
                <w:t xml:space="preserve">pubmed.ncbi.nlm.nih.gov/38186839 - Quazi et al, J Family Med Prim Care</w:t>
              </w:r>
            </w:hyperlink>
          </w:p>
          <w:p>
            <w:pPr>
              <w:spacing w:before="60" w:after="40"/>
            </w:pPr>
            <w:r>
              <w:rPr>
                <w:rFonts w:ascii="Calibri" w:hAnsi="Calibri"/>
                <w:b w:val="0"/>
                <w:i w:val="0"/>
                <w:color w:val="5A5A5A"/>
                <w:sz w:val="18"/>
              </w:rPr>
              <w:t>#lowincome  #poorventilation  #nocooling  #syntheticclothing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tropical &amp; coastal populations</w:t>
            </w:r>
          </w:p>
        </w:tc>
        <w:tc>
          <w:tcPr>
            <w:tcW w:type="dxa" w:w="4276"/>
            <w:vAlign w:val="top"/>
          </w:tcPr>
          <w:p>
            <w:pPr>
              <w:spacing w:after="60" w:line="259" w:lineRule="auto"/>
            </w:pPr>
            <w:r>
              <w:rPr>
                <w:rFonts w:ascii="Calibri" w:hAnsi="Calibri"/>
                <w:b w:val="0"/>
                <w:i w:val="0"/>
                <w:color w:val="212121"/>
                <w:sz w:val="19"/>
              </w:rPr>
              <w:t>People living in India's hot, humid plains and humid coastal belts (e.g., along the eastern and western coasts) experience prolonged high temperature and humidity that drive continuous sweating with poor evaporation, giving a very high background rate of prickly heat.</w:t>
            </w:r>
          </w:p>
          <w:p>
            <w:pPr>
              <w:spacing w:after="40" w:before="60" w:line="259" w:lineRule="auto"/>
            </w:pPr>
            <w:r>
              <w:rPr>
                <w:rFonts w:ascii="Calibri" w:hAnsi="Calibri"/>
                <w:b w:val="0"/>
                <w:i w:val="0"/>
                <w:color w:val="212121"/>
                <w:sz w:val="19"/>
              </w:rPr>
              <w:t>Miliaria rubra affects up to 30% of adults exposed to hot and humid conditions - conditions typical of much of India for several months each year.</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#india  #tropical  #humidity  #coastal  #climatedriven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Seasonality</w:t>
            </w:r>
          </w:p>
        </w:tc>
        <w:tc>
          <w:tcPr>
            <w:tcW w:type="dxa" w:w="2160"/>
            <w:vAlign w:val="top"/>
          </w:tcPr>
          <w:p>
            <w:pPr>
              <w:spacing w:after="40" w:before="0" w:line="259" w:lineRule="auto"/>
            </w:pPr>
            <w:r>
              <w:rPr>
                <w:rFonts w:ascii="Calibri" w:hAnsi="Calibri"/>
                <w:b w:val="0"/>
                <w:i w:val="0"/>
                <w:color w:val="212121"/>
                <w:sz w:val="19"/>
              </w:rPr>
              <w:t>Summer &amp; pre-monsoon/monsoon exposure</w:t>
            </w:r>
          </w:p>
        </w:tc>
        <w:tc>
          <w:tcPr>
            <w:tcW w:type="dxa" w:w="4276"/>
            <w:vAlign w:val="top"/>
          </w:tcPr>
          <w:p>
            <w:pPr>
              <w:spacing w:after="60" w:line="259" w:lineRule="auto"/>
            </w:pPr>
            <w:r>
              <w:rPr>
                <w:rFonts w:ascii="Calibri" w:hAnsi="Calibri"/>
                <w:b w:val="0"/>
                <w:i w:val="0"/>
                <w:color w:val="212121"/>
                <w:sz w:val="19"/>
              </w:rPr>
              <w:t>Incidence peaks in the hot pre-monsoon months and the humid monsoon, when high temperature combined with high humidity maximises sweating and minimises evaporation; complaints of prickly heat cluster in these months across India.</w:t>
            </w:r>
          </w:p>
          <w:p>
            <w:pPr>
              <w:spacing w:after="40" w:before="60" w:line="259" w:lineRule="auto"/>
            </w:pPr>
            <w:r>
              <w:rPr>
                <w:rFonts w:ascii="Calibri" w:hAnsi="Calibri"/>
                <w:b w:val="0"/>
                <w:i w:val="0"/>
                <w:color w:val="212121"/>
                <w:sz w:val="19"/>
              </w:rPr>
              <w:t>Heat- and summer-associated dermatoses are a well-recognised seasonal burden in South Indian dermatology practice.</w:t>
            </w:r>
          </w:p>
          <w:p>
            <w:pPr>
              <w:spacing w:after="40" w:line="252" w:lineRule="auto"/>
            </w:pPr>
            <w:hyperlink r:id="rId13">
              <w:r>
                <w:rPr>
                  <w:rFonts w:ascii="Calibri" w:hAnsi="Calibri" w:cs="Calibri"/>
                  <w:sz w:val="18"/>
                  <w:color w:val="1155CC"/>
                  <w:u w:val="single"/>
                </w:rPr>
                <w:t xml:space="preserve">pubmed.ncbi.nlm.nih.gov/30983610 - Rajesh et al, Indian J Dermatol</w:t>
              </w:r>
            </w:hyperlink>
          </w:p>
          <w:p>
            <w:pPr>
              <w:spacing w:before="60" w:after="40"/>
            </w:pPr>
            <w:r>
              <w:rPr>
                <w:rFonts w:ascii="Calibri" w:hAnsi="Calibri"/>
                <w:b w:val="0"/>
                <w:i w:val="0"/>
                <w:color w:val="5A5A5A"/>
                <w:sz w:val="18"/>
              </w:rPr>
              <w:t>#summer  #monsoon  #seasonal  #humidity  #heatwave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 / acclimatisation</w:t>
            </w:r>
          </w:p>
        </w:tc>
        <w:tc>
          <w:tcPr>
            <w:tcW w:type="dxa" w:w="2160"/>
            <w:vAlign w:val="top"/>
          </w:tcPr>
          <w:p>
            <w:pPr>
              <w:spacing w:after="40" w:before="0" w:line="259" w:lineRule="auto"/>
            </w:pPr>
            <w:r>
              <w:rPr>
                <w:rFonts w:ascii="Calibri" w:hAnsi="Calibri"/>
                <w:b w:val="0"/>
                <w:i w:val="0"/>
                <w:color w:val="212121"/>
                <w:sz w:val="19"/>
              </w:rPr>
              <w:t>Non-acclimatised new arrivals to the tropics</w:t>
            </w:r>
          </w:p>
        </w:tc>
        <w:tc>
          <w:tcPr>
            <w:tcW w:type="dxa" w:w="4276"/>
            <w:vAlign w:val="top"/>
          </w:tcPr>
          <w:p>
            <w:pPr>
              <w:spacing w:after="60" w:line="259" w:lineRule="auto"/>
            </w:pPr>
            <w:r>
              <w:rPr>
                <w:rFonts w:ascii="Calibri" w:hAnsi="Calibri"/>
                <w:b w:val="0"/>
                <w:i w:val="0"/>
                <w:color w:val="212121"/>
                <w:sz w:val="19"/>
              </w:rPr>
              <w:t>People who move from temperate to hot, humid regions - travellers, migrant workers, soldiers and expatriates - have not adapted their sweating response and are highly prone to miliaria rubra until acclimatisation occurs over a few weeks.</w:t>
            </w:r>
          </w:p>
          <w:p>
            <w:pPr>
              <w:spacing w:after="40" w:before="60" w:line="259" w:lineRule="auto"/>
            </w:pPr>
            <w:r>
              <w:rPr>
                <w:rFonts w:ascii="Calibri" w:hAnsi="Calibri"/>
                <w:b w:val="0"/>
                <w:i w:val="0"/>
                <w:color w:val="212121"/>
                <w:sz w:val="19"/>
              </w:rPr>
              <w:t>Miliaria rubra occurs in up to 30% of adults who move to a tropical environment.</w:t>
            </w:r>
          </w:p>
          <w:p>
            <w:pPr>
              <w:spacing w:after="40" w:line="252" w:lineRule="auto"/>
            </w:pPr>
            <w:hyperlink r:id="rId11">
              <w:r>
                <w:rPr>
                  <w:rFonts w:ascii="Calibri" w:hAnsi="Calibri" w:cs="Calibri"/>
                  <w:sz w:val="18"/>
                  <w:color w:val="1155CC"/>
                  <w:u w:val="single"/>
                </w:rPr>
                <w:t xml:space="preserve">dermnetnz.org/topics/miliaria - DermNet</w:t>
              </w:r>
            </w:hyperlink>
          </w:p>
          <w:p>
            <w:pPr>
              <w:spacing w:before="60" w:after="40"/>
            </w:pPr>
            <w:r>
              <w:rPr>
                <w:rFonts w:ascii="Calibri" w:hAnsi="Calibri"/>
                <w:b w:val="0"/>
                <w:i w:val="0"/>
                <w:color w:val="5A5A5A"/>
                <w:sz w:val="18"/>
              </w:rPr>
              <w:t>#migrants  #travellers  #acclimatisation  #tropicalposting  #military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heat exertion</w:t>
            </w:r>
          </w:p>
        </w:tc>
        <w:tc>
          <w:tcPr>
            <w:tcW w:type="dxa" w:w="2160"/>
            <w:vAlign w:val="top"/>
          </w:tcPr>
          <w:p>
            <w:pPr>
              <w:spacing w:after="40" w:before="0" w:line="259" w:lineRule="auto"/>
            </w:pPr>
            <w:r>
              <w:rPr>
                <w:rFonts w:ascii="Calibri" w:hAnsi="Calibri"/>
                <w:b w:val="0"/>
                <w:i w:val="0"/>
                <w:color w:val="212121"/>
                <w:sz w:val="19"/>
              </w:rPr>
              <w:t>Outdoor &amp; heat-exposed workers</w:t>
            </w:r>
          </w:p>
        </w:tc>
        <w:tc>
          <w:tcPr>
            <w:tcW w:type="dxa" w:w="4276"/>
            <w:vAlign w:val="top"/>
          </w:tcPr>
          <w:p>
            <w:pPr>
              <w:spacing w:after="60" w:line="259" w:lineRule="auto"/>
            </w:pPr>
            <w:r>
              <w:rPr>
                <w:rFonts w:ascii="Calibri" w:hAnsi="Calibri"/>
                <w:b w:val="0"/>
                <w:i w:val="0"/>
                <w:color w:val="212121"/>
                <w:sz w:val="19"/>
              </w:rPr>
              <w:t>Farmers, construction and road workers, foundry, glass and boiler operators, kitchen and laundry staff, miners and soldiers sweat profusely, often under occlusive uniforms or protective gear, and are among the most affected by prickly heat.</w:t>
            </w:r>
          </w:p>
          <w:p>
            <w:pPr>
              <w:spacing w:after="40" w:before="60" w:line="259" w:lineRule="auto"/>
            </w:pPr>
            <w:r>
              <w:rPr>
                <w:rFonts w:ascii="Calibri" w:hAnsi="Calibri"/>
                <w:b w:val="0"/>
                <w:i w:val="0"/>
                <w:color w:val="212121"/>
                <w:sz w:val="19"/>
              </w:rPr>
              <w:t>Strenuous physical activity, hot environments and skin occlusion (tight clothing, patches, dressings) are established precipitants of miliaria.</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#outdoorworkers  #heatexposure  #exertion  #PPE  #foundry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Clothing / occlusion</w:t>
            </w:r>
          </w:p>
        </w:tc>
        <w:tc>
          <w:tcPr>
            <w:tcW w:type="dxa" w:w="2160"/>
            <w:vAlign w:val="top"/>
          </w:tcPr>
          <w:p>
            <w:pPr>
              <w:spacing w:after="40" w:before="0" w:line="259" w:lineRule="auto"/>
            </w:pPr>
            <w:r>
              <w:rPr>
                <w:rFonts w:ascii="Calibri" w:hAnsi="Calibri"/>
                <w:b w:val="0"/>
                <w:i w:val="0"/>
                <w:color w:val="212121"/>
                <w:sz w:val="19"/>
              </w:rPr>
              <w:t>Tight/synthetic occlusive clothing wearers</w:t>
            </w:r>
          </w:p>
        </w:tc>
        <w:tc>
          <w:tcPr>
            <w:tcW w:type="dxa" w:w="4276"/>
            <w:vAlign w:val="top"/>
          </w:tcPr>
          <w:p>
            <w:pPr>
              <w:spacing w:after="60" w:line="259" w:lineRule="auto"/>
            </w:pPr>
            <w:r>
              <w:rPr>
                <w:rFonts w:ascii="Calibri" w:hAnsi="Calibri"/>
                <w:b w:val="0"/>
                <w:i w:val="0"/>
                <w:color w:val="212121"/>
                <w:sz w:val="19"/>
              </w:rPr>
              <w:t>Tight, layered or synthetic non-breathable clothing, waist bands, straps and occlusive dressings or transdermal patches trap sweat against the skin and are a key modifiable trigger of miliaria over the covered area.</w:t>
            </w:r>
          </w:p>
          <w:p>
            <w:pPr>
              <w:spacing w:after="40" w:before="60" w:line="259" w:lineRule="auto"/>
            </w:pPr>
            <w:r>
              <w:rPr>
                <w:rFonts w:ascii="Calibri" w:hAnsi="Calibri"/>
                <w:b w:val="0"/>
                <w:i w:val="0"/>
                <w:color w:val="212121"/>
                <w:sz w:val="19"/>
              </w:rPr>
              <w:t>Skin occlusion from transdermal patches and tight clothing is a recognised cause of eccrine duct obstruction and miliaria.</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#occlusion  #syntheticfabric  #tightclothing  #patches  #sweattrap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Infrequent bathing / prolonged sweaty clothing</w:t>
            </w:r>
          </w:p>
        </w:tc>
        <w:tc>
          <w:tcPr>
            <w:tcW w:type="dxa" w:w="4276"/>
            <w:vAlign w:val="top"/>
          </w:tcPr>
          <w:p>
            <w:pPr>
              <w:spacing w:after="60" w:line="259" w:lineRule="auto"/>
            </w:pPr>
            <w:r>
              <w:rPr>
                <w:rFonts w:ascii="Calibri" w:hAnsi="Calibri"/>
                <w:b w:val="0"/>
                <w:i w:val="0"/>
                <w:color w:val="212121"/>
                <w:sz w:val="19"/>
              </w:rPr>
              <w:t>Remaining in sweat-soaked clothes and infrequent washing allow sweat, sebum, cutaneous debris and Staphylococcus epidermidis biofilm to accumulate and plug the sweat ducts, precipitating miliaria and predisposing to secondary infection.</w:t>
            </w:r>
          </w:p>
          <w:p>
            <w:pPr>
              <w:spacing w:after="40" w:before="60" w:line="259" w:lineRule="auto"/>
            </w:pPr>
            <w:r>
              <w:rPr>
                <w:rFonts w:ascii="Calibri" w:hAnsi="Calibri"/>
                <w:b w:val="0"/>
                <w:i w:val="0"/>
                <w:color w:val="212121"/>
                <w:sz w:val="19"/>
              </w:rPr>
              <w:t>Cutaneous debris and biofilm-forming bacteria such as Staphylococcus epidermidis contribute to eccrine duct obstruction in miliaria.</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#hygiene  #biofilm  #staphepidermidis  #ductplugging  #sweatyclothes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has no established direct role in miliaria; any contribution is indirect through general effects on cutaneous microcirculation and skin health, and is far outweighed by heat, humidity and occlusion.</w:t>
            </w:r>
          </w:p>
          <w:p>
            <w:pPr>
              <w:spacing w:after="40" w:before="60" w:line="259" w:lineRule="auto"/>
            </w:pPr>
            <w:r>
              <w:rPr>
                <w:rFonts w:ascii="Calibri" w:hAnsi="Calibri"/>
                <w:b w:val="0"/>
                <w:i w:val="0"/>
                <w:color w:val="212121"/>
                <w:sz w:val="19"/>
              </w:rPr>
              <w:t>No established direct causal link between smoking and miliaria; heat, humidity and occlusion are the dominant drivers.</w:t>
            </w:r>
          </w:p>
          <w:p>
            <w:pPr>
              <w:spacing w:before="60" w:after="40"/>
            </w:pPr>
            <w:r>
              <w:rPr>
                <w:rFonts w:ascii="Calibri" w:hAnsi="Calibri"/>
                <w:b w:val="0"/>
                <w:i w:val="0"/>
                <w:color w:val="5A5A5A"/>
                <w:sz w:val="18"/>
              </w:rPr>
              <w:t>#smoking  #indirect  #skinhealth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in hot weather</w:t>
            </w:r>
          </w:p>
        </w:tc>
        <w:tc>
          <w:tcPr>
            <w:tcW w:type="dxa" w:w="4276"/>
            <w:vAlign w:val="top"/>
          </w:tcPr>
          <w:p>
            <w:pPr>
              <w:spacing w:after="60" w:line="259" w:lineRule="auto"/>
            </w:pPr>
            <w:r>
              <w:rPr>
                <w:rFonts w:ascii="Calibri" w:hAnsi="Calibri"/>
                <w:b w:val="0"/>
                <w:i w:val="0"/>
                <w:color w:val="212121"/>
                <w:sz w:val="19"/>
              </w:rPr>
              <w:t>Alcohol causes cutaneous vasodilation and increased sweating and impairs thermoregulation, so heavy drinking in hot conditions can aggravate sweating and heat illness, though it is not a direct cause of duct obstruction.</w:t>
            </w:r>
          </w:p>
          <w:p>
            <w:pPr>
              <w:spacing w:after="40" w:before="60" w:line="259" w:lineRule="auto"/>
            </w:pPr>
            <w:r>
              <w:rPr>
                <w:rFonts w:ascii="Calibri" w:hAnsi="Calibri"/>
                <w:b w:val="0"/>
                <w:i w:val="0"/>
                <w:color w:val="212121"/>
                <w:sz w:val="19"/>
              </w:rPr>
              <w:t>No direct causal link to miliaria; alcohol-related vasodilation and impaired thermoregulation may indirectly worsen heat stress.</w:t>
            </w:r>
          </w:p>
          <w:p>
            <w:pPr>
              <w:spacing w:before="60" w:after="40"/>
            </w:pPr>
            <w:r>
              <w:rPr>
                <w:rFonts w:ascii="Calibri" w:hAnsi="Calibri"/>
                <w:b w:val="0"/>
                <w:i w:val="0"/>
                <w:color w:val="5A5A5A"/>
                <w:sz w:val="18"/>
              </w:rPr>
              <w:t>#alcohol  #vasodilation  #thermoregulation  #heatstress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Very spicy food &amp; hot-beverage consumers</w:t>
            </w:r>
          </w:p>
        </w:tc>
        <w:tc>
          <w:tcPr>
            <w:tcW w:type="dxa" w:w="4276"/>
            <w:vAlign w:val="top"/>
          </w:tcPr>
          <w:p>
            <w:pPr>
              <w:spacing w:after="60" w:line="259" w:lineRule="auto"/>
            </w:pPr>
            <w:r>
              <w:rPr>
                <w:rFonts w:ascii="Calibri" w:hAnsi="Calibri"/>
                <w:b w:val="0"/>
                <w:i w:val="0"/>
                <w:color w:val="212121"/>
                <w:sz w:val="19"/>
              </w:rPr>
              <w:t>Highly spiced foods and very hot beverages can transiently increase sweating (gustatory/thermal sweating), which may aggravate prickly heat in already hot, humid conditions; the effect is minor and the evidence weak, and adequate fluids remain important for thermoregulation.</w:t>
            </w:r>
          </w:p>
          <w:p>
            <w:pPr>
              <w:spacing w:after="40" w:before="60" w:line="259" w:lineRule="auto"/>
            </w:pPr>
            <w:r>
              <w:rPr>
                <w:rFonts w:ascii="Calibri" w:hAnsi="Calibri"/>
                <w:b w:val="0"/>
                <w:i w:val="0"/>
                <w:color w:val="212121"/>
                <w:sz w:val="19"/>
              </w:rPr>
              <w:t>Evidence is limited; spicy/hot foods may transiently increase sweating but are not a primary cause of miliaria.</w:t>
            </w:r>
          </w:p>
          <w:p>
            <w:pPr>
              <w:spacing w:before="60" w:after="40"/>
            </w:pPr>
            <w:r>
              <w:rPr>
                <w:rFonts w:ascii="Calibri" w:hAnsi="Calibri"/>
                <w:b w:val="0"/>
                <w:i w:val="0"/>
                <w:color w:val="5A5A5A"/>
                <w:sz w:val="18"/>
              </w:rPr>
              <w:t>#spicyfood  #hotbeverages  #gustatorysweating  #minorfactor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hyperhidrosis / heavy sweaters</w:t>
            </w:r>
          </w:p>
        </w:tc>
        <w:tc>
          <w:tcPr>
            <w:tcW w:type="dxa" w:w="4276"/>
            <w:vAlign w:val="top"/>
          </w:tcPr>
          <w:p>
            <w:pPr>
              <w:spacing w:after="60" w:line="259" w:lineRule="auto"/>
            </w:pPr>
            <w:r>
              <w:rPr>
                <w:rFonts w:ascii="Calibri" w:hAnsi="Calibri"/>
                <w:b w:val="0"/>
                <w:i w:val="0"/>
                <w:color w:val="212121"/>
                <w:sz w:val="19"/>
              </w:rPr>
              <w:t>A constitutional tendency to sweat heavily (including primary/familial hyperhidrosis) increases the sweat load presented to the ducts, predisposing to duct overload and blockage under heat and occlusion.</w:t>
            </w:r>
          </w:p>
          <w:p>
            <w:pPr>
              <w:spacing w:after="40" w:before="60" w:line="259" w:lineRule="auto"/>
            </w:pPr>
            <w:r>
              <w:rPr>
                <w:rFonts w:ascii="Calibri" w:hAnsi="Calibri"/>
                <w:b w:val="0"/>
                <w:i w:val="0"/>
                <w:color w:val="212121"/>
                <w:sz w:val="19"/>
              </w:rPr>
              <w:t>Excessive sweating (hyperhidrosis) increases the risk of sweat-duct overload and miliaria; a familial predisposition to hyperhidrosis is well recognised.</w:t>
            </w:r>
          </w:p>
          <w:p>
            <w:pPr>
              <w:spacing w:before="60" w:after="40"/>
            </w:pPr>
            <w:r>
              <w:rPr>
                <w:rFonts w:ascii="Calibri" w:hAnsi="Calibri"/>
                <w:b w:val="0"/>
                <w:i w:val="0"/>
                <w:color w:val="5A5A5A"/>
                <w:sz w:val="18"/>
              </w:rPr>
              <w:t>#hyperhidrosis  #familytendency  #heavysweating  #ductoverload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 metabolic disorder</w:t>
            </w:r>
          </w:p>
        </w:tc>
        <w:tc>
          <w:tcPr>
            <w:tcW w:type="dxa" w:w="2160"/>
            <w:vAlign w:val="top"/>
          </w:tcPr>
          <w:p>
            <w:pPr>
              <w:spacing w:after="40" w:before="0" w:line="259" w:lineRule="auto"/>
            </w:pPr>
            <w:r>
              <w:rPr>
                <w:rFonts w:ascii="Calibri" w:hAnsi="Calibri"/>
                <w:b w:val="0"/>
                <w:i w:val="0"/>
                <w:color w:val="212121"/>
                <w:sz w:val="19"/>
              </w:rPr>
              <w:t>Type I pseudohypoaldosteronism (rare)</w:t>
            </w:r>
          </w:p>
        </w:tc>
        <w:tc>
          <w:tcPr>
            <w:tcW w:type="dxa" w:w="4276"/>
            <w:vAlign w:val="top"/>
          </w:tcPr>
          <w:p>
            <w:pPr>
              <w:spacing w:after="60" w:line="259" w:lineRule="auto"/>
            </w:pPr>
            <w:r>
              <w:rPr>
                <w:rFonts w:ascii="Calibri" w:hAnsi="Calibri"/>
                <w:b w:val="0"/>
                <w:i w:val="0"/>
                <w:color w:val="212121"/>
                <w:sz w:val="19"/>
              </w:rPr>
              <w:t>Rare inherited disorders that raise sweat sodium and alter eccrine function, such as type I pseudohypoaldosteronism (and Morvan syndrome), are associated with recurrent miliaria-like eruptions, illustrating the role of eccrine dysfunction.</w:t>
            </w:r>
          </w:p>
          <w:p>
            <w:pPr>
              <w:spacing w:after="40" w:before="60" w:line="259" w:lineRule="auto"/>
            </w:pPr>
            <w:r>
              <w:rPr>
                <w:rFonts w:ascii="Calibri" w:hAnsi="Calibri"/>
                <w:b w:val="0"/>
                <w:i w:val="0"/>
                <w:color w:val="212121"/>
                <w:sz w:val="19"/>
              </w:rPr>
              <w:t>Type I pseudohypoaldosteronism and Morvan syndrome are recognised rare systemic associations of miliaria.</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#pseudohypoaldosteronism  #Morvan  #eccrinedysfunction  #rare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Febrile illness</w:t>
            </w:r>
          </w:p>
        </w:tc>
        <w:tc>
          <w:tcPr>
            <w:tcW w:type="dxa" w:w="2160"/>
            <w:vAlign w:val="top"/>
          </w:tcPr>
          <w:p>
            <w:pPr>
              <w:spacing w:after="40" w:before="0" w:line="259" w:lineRule="auto"/>
            </w:pPr>
            <w:r>
              <w:rPr>
                <w:rFonts w:ascii="Calibri" w:hAnsi="Calibri"/>
                <w:b w:val="0"/>
                <w:i w:val="0"/>
                <w:color w:val="212121"/>
                <w:sz w:val="19"/>
              </w:rPr>
              <w:t>Patients with high fever</w:t>
            </w:r>
          </w:p>
        </w:tc>
        <w:tc>
          <w:tcPr>
            <w:tcW w:type="dxa" w:w="4276"/>
            <w:vAlign w:val="top"/>
          </w:tcPr>
          <w:p>
            <w:pPr>
              <w:spacing w:after="60" w:line="259" w:lineRule="auto"/>
            </w:pPr>
            <w:r>
              <w:rPr>
                <w:rFonts w:ascii="Calibri" w:hAnsi="Calibri"/>
                <w:b w:val="0"/>
                <w:i w:val="0"/>
                <w:color w:val="212121"/>
                <w:sz w:val="19"/>
              </w:rPr>
              <w:t>Fever increases sweating and, combined with bed rest, warm bedding and clothing, precipitates miliaria - classically crystallina in febrile bedridden patients and rubra with prolonged sweating.</w:t>
            </w:r>
          </w:p>
          <w:p>
            <w:pPr>
              <w:spacing w:after="40" w:before="60" w:line="259" w:lineRule="auto"/>
            </w:pPr>
            <w:r>
              <w:rPr>
                <w:rFonts w:ascii="Calibri" w:hAnsi="Calibri"/>
                <w:b w:val="0"/>
                <w:i w:val="0"/>
                <w:color w:val="212121"/>
                <w:sz w:val="19"/>
              </w:rPr>
              <w:t>High fevers are a recognised trigger of miliaria, especially the crystallina form in febrile, bedridden patients.</w:t>
            </w:r>
          </w:p>
          <w:p>
            <w:pPr>
              <w:spacing w:after="40" w:line="252" w:lineRule="auto"/>
            </w:pPr>
            <w:hyperlink r:id="rId10">
              <w:r>
                <w:rPr>
                  <w:rFonts w:ascii="Calibri" w:hAnsi="Calibri" w:cs="Calibri"/>
                  <w:sz w:val="18"/>
                  <w:color w:val="1155CC"/>
                  <w:u w:val="single"/>
                </w:rPr>
                <w:t xml:space="preserve">ncbi.nlm.nih.gov/books/NBK537176 - StatPearls, Miliaria</w:t>
              </w:r>
            </w:hyperlink>
          </w:p>
          <w:p>
            <w:pPr>
              <w:spacing w:before="60" w:after="40"/>
            </w:pPr>
            <w:r>
              <w:rPr>
                <w:rFonts w:ascii="Calibri" w:hAnsi="Calibri"/>
                <w:b w:val="0"/>
                <w:i w:val="0"/>
                <w:color w:val="5A5A5A"/>
                <w:sz w:val="18"/>
              </w:rPr>
              <w:t>#fever  #febrile  #sweating  #crystallina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Bedridden / critical illness</w:t>
            </w:r>
          </w:p>
        </w:tc>
        <w:tc>
          <w:tcPr>
            <w:tcW w:type="dxa" w:w="2160"/>
            <w:vAlign w:val="top"/>
          </w:tcPr>
          <w:p>
            <w:pPr>
              <w:spacing w:after="40" w:before="0" w:line="259" w:lineRule="auto"/>
            </w:pPr>
            <w:r>
              <w:rPr>
                <w:rFonts w:ascii="Calibri" w:hAnsi="Calibri"/>
                <w:b w:val="0"/>
                <w:i w:val="0"/>
                <w:color w:val="212121"/>
                <w:sz w:val="19"/>
              </w:rPr>
              <w:t>ICU and immobile patients</w:t>
            </w:r>
          </w:p>
        </w:tc>
        <w:tc>
          <w:tcPr>
            <w:tcW w:type="dxa" w:w="4276"/>
            <w:vAlign w:val="top"/>
          </w:tcPr>
          <w:p>
            <w:pPr>
              <w:spacing w:after="60" w:line="259" w:lineRule="auto"/>
            </w:pPr>
            <w:r>
              <w:rPr>
                <w:rFonts w:ascii="Calibri" w:hAnsi="Calibri"/>
                <w:b w:val="0"/>
                <w:i w:val="0"/>
                <w:color w:val="212121"/>
                <w:sz w:val="19"/>
              </w:rPr>
              <w:t>Critically ill, sedated and immobile patients lie for long periods on occlusive surfaces, often febrile and warm, so sweat is retained over the back and dependent areas, making miliaria common in intensive-care and bed-bound settings.</w:t>
            </w:r>
          </w:p>
          <w:p>
            <w:pPr>
              <w:spacing w:after="40" w:before="60" w:line="259" w:lineRule="auto"/>
            </w:pPr>
            <w:r>
              <w:rPr>
                <w:rFonts w:ascii="Calibri" w:hAnsi="Calibri"/>
                <w:b w:val="0"/>
                <w:i w:val="0"/>
                <w:color w:val="212121"/>
                <w:sz w:val="19"/>
              </w:rPr>
              <w:t>Hospitalisation and prolonged bed rest on waterproofed surfaces are recognised risk factors for miliaria.</w:t>
            </w:r>
          </w:p>
          <w:p>
            <w:pPr>
              <w:spacing w:after="40" w:line="252" w:lineRule="auto"/>
            </w:pPr>
            <w:hyperlink r:id="rId11">
              <w:r>
                <w:rPr>
                  <w:rFonts w:ascii="Calibri" w:hAnsi="Calibri" w:cs="Calibri"/>
                  <w:sz w:val="18"/>
                  <w:color w:val="1155CC"/>
                  <w:u w:val="single"/>
                </w:rPr>
                <w:t xml:space="preserve">dermnetnz.org/topics/miliaria - DermNet</w:t>
              </w:r>
            </w:hyperlink>
          </w:p>
          <w:p>
            <w:pPr>
              <w:spacing w:before="60" w:after="40"/>
            </w:pPr>
            <w:r>
              <w:rPr>
                <w:rFonts w:ascii="Calibri" w:hAnsi="Calibri"/>
                <w:b w:val="0"/>
                <w:i w:val="0"/>
                <w:color w:val="5A5A5A"/>
                <w:sz w:val="18"/>
              </w:rPr>
              <w:t>#ICU  #immobility  #bedrest  #occlusion  #criticalillness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overweight</w:t>
            </w:r>
          </w:p>
        </w:tc>
        <w:tc>
          <w:tcPr>
            <w:tcW w:type="dxa" w:w="2160"/>
            <w:vAlign w:val="top"/>
          </w:tcPr>
          <w:p>
            <w:pPr>
              <w:spacing w:after="40" w:before="0" w:line="259" w:lineRule="auto"/>
            </w:pPr>
            <w:r>
              <w:rPr>
                <w:rFonts w:ascii="Calibri" w:hAnsi="Calibri"/>
                <w:b w:val="0"/>
                <w:i w:val="0"/>
                <w:color w:val="212121"/>
                <w:sz w:val="19"/>
              </w:rPr>
              <w:t>Overweight and obese individuals</w:t>
            </w:r>
          </w:p>
        </w:tc>
        <w:tc>
          <w:tcPr>
            <w:tcW w:type="dxa" w:w="4276"/>
            <w:vAlign w:val="top"/>
          </w:tcPr>
          <w:p>
            <w:pPr>
              <w:spacing w:after="60" w:line="259" w:lineRule="auto"/>
            </w:pPr>
            <w:r>
              <w:rPr>
                <w:rFonts w:ascii="Calibri" w:hAnsi="Calibri"/>
                <w:b w:val="0"/>
                <w:i w:val="0"/>
                <w:color w:val="212121"/>
                <w:sz w:val="19"/>
              </w:rPr>
              <w:t>Excess adiposity increases heat retention and sweating and creates deep, moist, occluded skin folds where sweat is trapped, so overweight and obese individuals are prone to miliaria (and coexisting intertrigo) over flexures.</w:t>
            </w:r>
          </w:p>
          <w:p>
            <w:pPr>
              <w:spacing w:after="40" w:before="60" w:line="259" w:lineRule="auto"/>
            </w:pPr>
            <w:r>
              <w:rPr>
                <w:rFonts w:ascii="Calibri" w:hAnsi="Calibri"/>
                <w:b w:val="0"/>
                <w:i w:val="0"/>
                <w:color w:val="212121"/>
                <w:sz w:val="19"/>
              </w:rPr>
              <w:t>Obesity increases sweating and skin-fold occlusion, favouring sweat retention and miliaria; a common aggravating comorbidity.</w:t>
            </w:r>
          </w:p>
          <w:p>
            <w:pPr>
              <w:spacing w:before="60" w:after="40"/>
            </w:pPr>
            <w:r>
              <w:rPr>
                <w:rFonts w:ascii="Calibri" w:hAnsi="Calibri"/>
                <w:b w:val="0"/>
                <w:i w:val="0"/>
                <w:color w:val="5A5A5A"/>
                <w:sz w:val="18"/>
              </w:rPr>
              <w:t>#obesity  #overweight  #skinfolds  #intertrigo  #sweatretention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Strenuous exertion sharply increases sweat output, and when combined with heat and occlusive clothing or protective gear it overloads and blocks the eccrine ducts; exertional sweating in the heat is a well-recognised precipitant of miliaria rubra.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little direct role; very spicy foods and hot beverages can transiently increase sweating (gustatory/thermal sweating) and may mildly aggravate prickly heat, but adequate fluid intake supports normal thermoregulation.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Sleeping in hot, poorly ventilated rooms, on non-breathable bedding or plastic-covered mattresses, and over-bundling infants at night, promotes nocturnal sweating and occlusion - a common aggravator during Indian summers.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role in miliaria; effects on cutaneous microcirculation are minor compared with heat, humidity and occlusion.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causes cutaneous vasodilation and sweating and impairs thermoregulation, which can indirectly worsen heat stress in hot weather, but it does not directly cause eccrine duct obstruction.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Emotional/stress-related sweating is largely palmoplantar and axillary and contributes little to miliaria; however, intense itch, sleep disturbance and irritability (especially in infants) cause secondary distress.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normal sweating and thermoregulation and is important in heat-exposed workers, but fluid intake does not directly relieve the duct obstruction that causes miliaria.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role; caffeine is a mild stimulant and diuretic and may marginally affect sweating, but has negligible impact on miliaria.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Keeping the skin clean, cool and dry is central to prevention: accumulated sweat, sebum, cutaneous debris and Staphylococcus epidermidis biofilm plug the eccrine ducts, and good hygiene both prevents miliaria and reduces secondary bacterial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high humidity, occlusion (tight/synthetic clothing, dressings, transdermal patches, bed rest), fever and profuse sweating are the direct provoking factors; removing them and cooling the skin leads to rapid resolution.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bedridden and recumbent patients, sustained occlusion and retained sweat over dependent and pressure areas (back, occiput, buttocks) localise miliaria there; regular repositioning and airing of the skin reduce it.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temperature (degrees C)</w:t>
            </w:r>
          </w:p>
        </w:tc>
        <w:tc>
          <w:tcPr>
            <w:tcW w:type="dxa" w:w="1655"/>
            <w:vAlign w:val="top"/>
          </w:tcPr>
          <w:p>
            <w:pPr>
              <w:spacing w:after="40" w:before="0" w:line="259" w:lineRule="auto"/>
            </w:pPr>
            <w:r>
              <w:rPr>
                <w:rFonts w:ascii="Calibri" w:hAnsi="Calibri"/>
                <w:b w:val="0"/>
                <w:i w:val="0"/>
                <w:color w:val="212121"/>
                <w:sz w:val="19"/>
              </w:rPr>
              <w:t>All at-risk groups, outdoor workers</w:t>
            </w:r>
          </w:p>
        </w:tc>
        <w:tc>
          <w:tcPr>
            <w:tcW w:type="dxa" w:w="1512"/>
            <w:vAlign w:val="top"/>
          </w:tcPr>
          <w:p>
            <w:pPr>
              <w:spacing w:after="40" w:before="0" w:line="259" w:lineRule="auto"/>
            </w:pPr>
            <w:r>
              <w:rPr>
                <w:rFonts w:ascii="Calibri" w:hAnsi="Calibri"/>
                <w:b w:val="0"/>
                <w:i w:val="0"/>
                <w:color w:val="212121"/>
                <w:sz w:val="19"/>
              </w:rPr>
              <w:t>Comfortable, ventilated (roughly &lt; 30-32 degrees C)</w:t>
            </w:r>
          </w:p>
        </w:tc>
        <w:tc>
          <w:tcPr>
            <w:tcW w:type="dxa" w:w="1512"/>
            <w:vAlign w:val="top"/>
          </w:tcPr>
          <w:p>
            <w:pPr>
              <w:spacing w:after="40" w:before="0" w:line="259" w:lineRule="auto"/>
            </w:pPr>
            <w:r>
              <w:rPr>
                <w:rFonts w:ascii="Calibri" w:hAnsi="Calibri"/>
                <w:b w:val="0"/>
                <w:i w:val="0"/>
                <w:color w:val="212121"/>
                <w:sz w:val="19"/>
              </w:rPr>
              <w:t>Sustained high heat with poor evaporation</w:t>
            </w:r>
          </w:p>
        </w:tc>
        <w:tc>
          <w:tcPr>
            <w:tcW w:type="dxa" w:w="1468"/>
            <w:vAlign w:val="top"/>
          </w:tcPr>
          <w:p>
            <w:pPr>
              <w:spacing w:after="60" w:line="259" w:lineRule="auto"/>
            </w:pPr>
            <w:r>
              <w:rPr>
                <w:rFonts w:ascii="Calibri" w:hAnsi="Calibri"/>
                <w:b w:val="0"/>
                <w:i w:val="0"/>
                <w:color w:val="212121"/>
                <w:sz w:val="19"/>
              </w:rPr>
              <w:t>Hot environments drive the profuse sweating that precipitates miliaria.</w:t>
            </w:r>
          </w:p>
          <w:p>
            <w:pPr>
              <w:spacing w:after="40" w:line="252" w:lineRule="auto"/>
            </w:pPr>
            <w:hyperlink r:id="rId10">
              <w:r>
                <w:rPr>
                  <w:rFonts w:ascii="Calibri" w:hAnsi="Calibri" w:cs="Calibri"/>
                  <w:sz w:val="18"/>
                  <w:color w:val="1155CC"/>
                  <w:u w:val="single"/>
                </w:rPr>
                <w:t xml:space="preserve">https://www.ncbi.nlm.nih.gov/books/NBK537176/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Relative humidity (%)</w:t>
            </w:r>
          </w:p>
        </w:tc>
        <w:tc>
          <w:tcPr>
            <w:tcW w:type="dxa" w:w="1655"/>
            <w:vAlign w:val="top"/>
          </w:tcPr>
          <w:p>
            <w:pPr>
              <w:spacing w:after="40" w:before="0" w:line="259" w:lineRule="auto"/>
            </w:pPr>
            <w:r>
              <w:rPr>
                <w:rFonts w:ascii="Calibri" w:hAnsi="Calibri"/>
                <w:b w:val="0"/>
                <w:i w:val="0"/>
                <w:color w:val="212121"/>
                <w:sz w:val="19"/>
              </w:rPr>
              <w:t>Coastal/tropical residents, workers</w:t>
            </w:r>
          </w:p>
        </w:tc>
        <w:tc>
          <w:tcPr>
            <w:tcW w:type="dxa" w:w="1512"/>
            <w:vAlign w:val="top"/>
          </w:tcPr>
          <w:p>
            <w:pPr>
              <w:spacing w:after="40" w:before="0" w:line="259" w:lineRule="auto"/>
            </w:pPr>
            <w:r>
              <w:rPr>
                <w:rFonts w:ascii="Calibri" w:hAnsi="Calibri"/>
                <w:b w:val="0"/>
                <w:i w:val="0"/>
                <w:color w:val="212121"/>
                <w:sz w:val="19"/>
              </w:rPr>
              <w:t>Moderate humidity allowing sweat to evaporate</w:t>
            </w:r>
          </w:p>
        </w:tc>
        <w:tc>
          <w:tcPr>
            <w:tcW w:type="dxa" w:w="1512"/>
            <w:vAlign w:val="top"/>
          </w:tcPr>
          <w:p>
            <w:pPr>
              <w:spacing w:after="40" w:before="0" w:line="259" w:lineRule="auto"/>
            </w:pPr>
            <w:r>
              <w:rPr>
                <w:rFonts w:ascii="Calibri" w:hAnsi="Calibri"/>
                <w:b w:val="0"/>
                <w:i w:val="0"/>
                <w:color w:val="212121"/>
                <w:sz w:val="19"/>
              </w:rPr>
              <w:t>High humidity (roughly &gt; 60-70%)</w:t>
            </w:r>
          </w:p>
        </w:tc>
        <w:tc>
          <w:tcPr>
            <w:tcW w:type="dxa" w:w="1468"/>
            <w:vAlign w:val="top"/>
          </w:tcPr>
          <w:p>
            <w:pPr>
              <w:spacing w:after="60" w:line="259" w:lineRule="auto"/>
            </w:pPr>
            <w:r>
              <w:rPr>
                <w:rFonts w:ascii="Calibri" w:hAnsi="Calibri"/>
                <w:b w:val="0"/>
                <w:i w:val="0"/>
                <w:color w:val="212121"/>
                <w:sz w:val="19"/>
              </w:rPr>
              <w:t>High humidity blocks sweat evaporation, worsening duct blockage.</w:t>
            </w:r>
          </w:p>
          <w:p>
            <w:pPr>
              <w:spacing w:after="40" w:line="252" w:lineRule="auto"/>
            </w:pPr>
            <w:hyperlink r:id="rId10">
              <w:r>
                <w:rPr>
                  <w:rFonts w:ascii="Calibri" w:hAnsi="Calibri" w:cs="Calibri"/>
                  <w:sz w:val="18"/>
                  <w:color w:val="1155CC"/>
                  <w:u w:val="single"/>
                </w:rPr>
                <w:t xml:space="preserve">https://www.ncbi.nlm.nih.gov/books/NBK537176/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Core/body temperature (degrees C)</w:t>
            </w:r>
          </w:p>
        </w:tc>
        <w:tc>
          <w:tcPr>
            <w:tcW w:type="dxa" w:w="1655"/>
            <w:vAlign w:val="top"/>
          </w:tcPr>
          <w:p>
            <w:pPr>
              <w:spacing w:after="40" w:before="0" w:line="259" w:lineRule="auto"/>
            </w:pPr>
            <w:r>
              <w:rPr>
                <w:rFonts w:ascii="Calibri" w:hAnsi="Calibri"/>
                <w:b w:val="0"/>
                <w:i w:val="0"/>
                <w:color w:val="212121"/>
                <w:sz w:val="19"/>
              </w:rPr>
              <w:t>Febrile, bedridden, ICU patients</w:t>
            </w:r>
          </w:p>
        </w:tc>
        <w:tc>
          <w:tcPr>
            <w:tcW w:type="dxa" w:w="1512"/>
            <w:vAlign w:val="top"/>
          </w:tcPr>
          <w:p>
            <w:pPr>
              <w:spacing w:after="40" w:before="0" w:line="259" w:lineRule="auto"/>
            </w:pPr>
            <w:r>
              <w:rPr>
                <w:rFonts w:ascii="Calibri" w:hAnsi="Calibri"/>
                <w:b w:val="0"/>
                <w:i w:val="0"/>
                <w:color w:val="212121"/>
                <w:sz w:val="19"/>
              </w:rPr>
              <w:t>Afebrile (&lt; 37.5 degrees C)</w:t>
            </w:r>
          </w:p>
        </w:tc>
        <w:tc>
          <w:tcPr>
            <w:tcW w:type="dxa" w:w="1512"/>
            <w:vAlign w:val="top"/>
          </w:tcPr>
          <w:p>
            <w:pPr>
              <w:spacing w:after="40" w:before="0" w:line="259" w:lineRule="auto"/>
            </w:pPr>
            <w:r>
              <w:rPr>
                <w:rFonts w:ascii="Calibri" w:hAnsi="Calibri"/>
                <w:b w:val="0"/>
                <w:i w:val="0"/>
                <w:color w:val="212121"/>
                <w:sz w:val="19"/>
              </w:rPr>
              <w:t>Fever &gt;= 38 degrees C</w:t>
            </w:r>
          </w:p>
        </w:tc>
        <w:tc>
          <w:tcPr>
            <w:tcW w:type="dxa" w:w="1468"/>
            <w:vAlign w:val="top"/>
          </w:tcPr>
          <w:p>
            <w:pPr>
              <w:spacing w:after="60" w:line="259" w:lineRule="auto"/>
            </w:pPr>
            <w:r>
              <w:rPr>
                <w:rFonts w:ascii="Calibri" w:hAnsi="Calibri"/>
                <w:b w:val="0"/>
                <w:i w:val="0"/>
                <w:color w:val="212121"/>
                <w:sz w:val="19"/>
              </w:rPr>
              <w:t>High fever increases sweating and precipitates miliaria (often crystallina).</w:t>
            </w:r>
          </w:p>
          <w:p>
            <w:pPr>
              <w:spacing w:after="40" w:line="252" w:lineRule="auto"/>
            </w:pPr>
            <w:hyperlink r:id="rId10">
              <w:r>
                <w:rPr>
                  <w:rFonts w:ascii="Calibri" w:hAnsi="Calibri" w:cs="Calibri"/>
                  <w:sz w:val="18"/>
                  <w:color w:val="1155CC"/>
                  <w:u w:val="single"/>
                </w:rPr>
                <w:t xml:space="preserve">https://www.ncbi.nlm.nih.gov/books/NBK537176/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Clothing/occlusion (fabric type)</w:t>
            </w:r>
          </w:p>
        </w:tc>
        <w:tc>
          <w:tcPr>
            <w:tcW w:type="dxa" w:w="1655"/>
            <w:vAlign w:val="top"/>
          </w:tcPr>
          <w:p>
            <w:pPr>
              <w:spacing w:after="40" w:before="0" w:line="259" w:lineRule="auto"/>
            </w:pPr>
            <w:r>
              <w:rPr>
                <w:rFonts w:ascii="Calibri" w:hAnsi="Calibri"/>
                <w:b w:val="0"/>
                <w:i w:val="0"/>
                <w:color w:val="212121"/>
                <w:sz w:val="19"/>
              </w:rPr>
              <w:t>All at-risk groups</w:t>
            </w:r>
          </w:p>
        </w:tc>
        <w:tc>
          <w:tcPr>
            <w:tcW w:type="dxa" w:w="1512"/>
            <w:vAlign w:val="top"/>
          </w:tcPr>
          <w:p>
            <w:pPr>
              <w:spacing w:after="40" w:before="0" w:line="259" w:lineRule="auto"/>
            </w:pPr>
            <w:r>
              <w:rPr>
                <w:rFonts w:ascii="Calibri" w:hAnsi="Calibri"/>
                <w:b w:val="0"/>
                <w:i w:val="0"/>
                <w:color w:val="212121"/>
                <w:sz w:val="19"/>
              </w:rPr>
              <w:t>Loose, lightweight, breathable cotton</w:t>
            </w:r>
          </w:p>
        </w:tc>
        <w:tc>
          <w:tcPr>
            <w:tcW w:type="dxa" w:w="1512"/>
            <w:vAlign w:val="top"/>
          </w:tcPr>
          <w:p>
            <w:pPr>
              <w:spacing w:after="40" w:before="0" w:line="259" w:lineRule="auto"/>
            </w:pPr>
            <w:r>
              <w:rPr>
                <w:rFonts w:ascii="Calibri" w:hAnsi="Calibri"/>
                <w:b w:val="0"/>
                <w:i w:val="0"/>
                <w:color w:val="212121"/>
                <w:sz w:val="19"/>
              </w:rPr>
              <w:t>Tight/synthetic non-breathable or occlusive clothing/patches</w:t>
            </w:r>
          </w:p>
        </w:tc>
        <w:tc>
          <w:tcPr>
            <w:tcW w:type="dxa" w:w="1468"/>
            <w:vAlign w:val="top"/>
          </w:tcPr>
          <w:p>
            <w:pPr>
              <w:spacing w:after="60" w:line="259" w:lineRule="auto"/>
            </w:pPr>
            <w:r>
              <w:rPr>
                <w:rFonts w:ascii="Calibri" w:hAnsi="Calibri"/>
                <w:b w:val="0"/>
                <w:i w:val="0"/>
                <w:color w:val="212121"/>
                <w:sz w:val="19"/>
              </w:rPr>
              <w:t>Occlusion traps sweat; avoiding it is a core preventive measure.</w:t>
            </w:r>
          </w:p>
          <w:p>
            <w:pPr>
              <w:spacing w:after="40" w:line="252" w:lineRule="auto"/>
            </w:pPr>
            <w:hyperlink r:id="rId14">
              <w:r>
                <w:rPr>
                  <w:rFonts w:ascii="Calibri" w:hAnsi="Calibri" w:cs="Calibri"/>
                  <w:sz w:val="18"/>
                  <w:color w:val="1155CC"/>
                  <w:u w:val="single"/>
                </w:rPr>
                <w:t xml:space="preserve">https://www.merckmanuals.com/professional/dermatologic-disorders/sweating-disorders/miliaria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Prolonged bed rest on non-porous surface</w:t>
            </w:r>
          </w:p>
        </w:tc>
        <w:tc>
          <w:tcPr>
            <w:tcW w:type="dxa" w:w="1655"/>
            <w:vAlign w:val="top"/>
          </w:tcPr>
          <w:p>
            <w:pPr>
              <w:spacing w:after="40" w:before="0" w:line="259" w:lineRule="auto"/>
            </w:pPr>
            <w:r>
              <w:rPr>
                <w:rFonts w:ascii="Calibri" w:hAnsi="Calibri"/>
                <w:b w:val="0"/>
                <w:i w:val="0"/>
                <w:color w:val="212121"/>
                <w:sz w:val="19"/>
              </w:rPr>
              <w:t>Bedridden, elderly, ICU patients</w:t>
            </w:r>
          </w:p>
        </w:tc>
        <w:tc>
          <w:tcPr>
            <w:tcW w:type="dxa" w:w="1512"/>
            <w:vAlign w:val="top"/>
          </w:tcPr>
          <w:p>
            <w:pPr>
              <w:spacing w:after="40" w:before="0" w:line="259" w:lineRule="auto"/>
            </w:pPr>
            <w:r>
              <w:rPr>
                <w:rFonts w:ascii="Calibri" w:hAnsi="Calibri"/>
                <w:b w:val="0"/>
                <w:i w:val="0"/>
                <w:color w:val="212121"/>
                <w:sz w:val="19"/>
              </w:rPr>
              <w:t>Regular repositioning; breathable bedding</w:t>
            </w:r>
          </w:p>
        </w:tc>
        <w:tc>
          <w:tcPr>
            <w:tcW w:type="dxa" w:w="1512"/>
            <w:vAlign w:val="top"/>
          </w:tcPr>
          <w:p>
            <w:pPr>
              <w:spacing w:after="40" w:before="0" w:line="259" w:lineRule="auto"/>
            </w:pPr>
            <w:r>
              <w:rPr>
                <w:rFonts w:ascii="Calibri" w:hAnsi="Calibri"/>
                <w:b w:val="0"/>
                <w:i w:val="0"/>
                <w:color w:val="212121"/>
                <w:sz w:val="19"/>
              </w:rPr>
              <w:t>Prolonged lying on waterproof/plastic surface</w:t>
            </w:r>
          </w:p>
        </w:tc>
        <w:tc>
          <w:tcPr>
            <w:tcW w:type="dxa" w:w="1468"/>
            <w:vAlign w:val="top"/>
          </w:tcPr>
          <w:p>
            <w:pPr>
              <w:spacing w:after="60" w:line="259" w:lineRule="auto"/>
            </w:pPr>
            <w:r>
              <w:rPr>
                <w:rFonts w:ascii="Calibri" w:hAnsi="Calibri"/>
                <w:b w:val="0"/>
                <w:i w:val="0"/>
                <w:color w:val="212121"/>
                <w:sz w:val="19"/>
              </w:rPr>
              <w:t>Retained sweat over the back/dependent areas provokes miliaria.</w:t>
            </w:r>
          </w:p>
          <w:p>
            <w:pPr>
              <w:spacing w:after="40" w:line="252" w:lineRule="auto"/>
            </w:pPr>
            <w:hyperlink r:id="rId11">
              <w:r>
                <w:rPr>
                  <w:rFonts w:ascii="Calibri" w:hAnsi="Calibri" w:cs="Calibri"/>
                  <w:sz w:val="18"/>
                  <w:color w:val="1155CC"/>
                  <w:u w:val="single"/>
                </w:rPr>
                <w:t xml:space="preserve">https://dermnetnz.org/topics/miliaria</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Strenuous exertion in heat (sweat load)</w:t>
            </w:r>
          </w:p>
        </w:tc>
        <w:tc>
          <w:tcPr>
            <w:tcW w:type="dxa" w:w="1655"/>
            <w:vAlign w:val="top"/>
          </w:tcPr>
          <w:p>
            <w:pPr>
              <w:spacing w:after="40" w:before="0" w:line="259" w:lineRule="auto"/>
            </w:pPr>
            <w:r>
              <w:rPr>
                <w:rFonts w:ascii="Calibri" w:hAnsi="Calibri"/>
                <w:b w:val="0"/>
                <w:i w:val="0"/>
                <w:color w:val="212121"/>
                <w:sz w:val="19"/>
              </w:rPr>
              <w:t>Workers, athletes, soldiers</w:t>
            </w:r>
          </w:p>
        </w:tc>
        <w:tc>
          <w:tcPr>
            <w:tcW w:type="dxa" w:w="1512"/>
            <w:vAlign w:val="top"/>
          </w:tcPr>
          <w:p>
            <w:pPr>
              <w:spacing w:after="40" w:before="0" w:line="259" w:lineRule="auto"/>
            </w:pPr>
            <w:r>
              <w:rPr>
                <w:rFonts w:ascii="Calibri" w:hAnsi="Calibri"/>
                <w:b w:val="0"/>
                <w:i w:val="0"/>
                <w:color w:val="212121"/>
                <w:sz w:val="19"/>
              </w:rPr>
              <w:t>Exertion in cooler hours with breaks and airflow</w:t>
            </w:r>
          </w:p>
        </w:tc>
        <w:tc>
          <w:tcPr>
            <w:tcW w:type="dxa" w:w="1512"/>
            <w:vAlign w:val="top"/>
          </w:tcPr>
          <w:p>
            <w:pPr>
              <w:spacing w:after="40" w:before="0" w:line="259" w:lineRule="auto"/>
            </w:pPr>
            <w:r>
              <w:rPr>
                <w:rFonts w:ascii="Calibri" w:hAnsi="Calibri"/>
                <w:b w:val="0"/>
                <w:i w:val="0"/>
                <w:color w:val="212121"/>
                <w:sz w:val="19"/>
              </w:rPr>
              <w:t>Heavy exertion in heat under occlusive gear</w:t>
            </w:r>
          </w:p>
        </w:tc>
        <w:tc>
          <w:tcPr>
            <w:tcW w:type="dxa" w:w="1468"/>
            <w:vAlign w:val="top"/>
          </w:tcPr>
          <w:p>
            <w:pPr>
              <w:spacing w:after="60" w:line="259" w:lineRule="auto"/>
            </w:pPr>
            <w:r>
              <w:rPr>
                <w:rFonts w:ascii="Calibri" w:hAnsi="Calibri"/>
                <w:b w:val="0"/>
                <w:i w:val="0"/>
                <w:color w:val="212121"/>
                <w:sz w:val="19"/>
              </w:rPr>
              <w:t>Exertional sweating under occlusion overloads and blocks ducts.</w:t>
            </w:r>
          </w:p>
          <w:p>
            <w:pPr>
              <w:spacing w:after="40" w:line="252" w:lineRule="auto"/>
            </w:pPr>
            <w:hyperlink r:id="rId10">
              <w:r>
                <w:rPr>
                  <w:rFonts w:ascii="Calibri" w:hAnsi="Calibri" w:cs="Calibri"/>
                  <w:sz w:val="18"/>
                  <w:color w:val="1155CC"/>
                  <w:u w:val="single"/>
                </w:rPr>
                <w:t xml:space="preserve">https://www.ncbi.nlm.nih.gov/books/NBK537176/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Acclimatisation period on moving to hot climate (days)</w:t>
            </w:r>
          </w:p>
        </w:tc>
        <w:tc>
          <w:tcPr>
            <w:tcW w:type="dxa" w:w="1655"/>
            <w:vAlign w:val="top"/>
          </w:tcPr>
          <w:p>
            <w:pPr>
              <w:spacing w:after="40" w:before="0" w:line="259" w:lineRule="auto"/>
            </w:pPr>
            <w:r>
              <w:rPr>
                <w:rFonts w:ascii="Calibri" w:hAnsi="Calibri"/>
                <w:b w:val="0"/>
                <w:i w:val="0"/>
                <w:color w:val="212121"/>
                <w:sz w:val="19"/>
              </w:rPr>
              <w:t>Migrants, travellers, new postings</w:t>
            </w:r>
          </w:p>
        </w:tc>
        <w:tc>
          <w:tcPr>
            <w:tcW w:type="dxa" w:w="1512"/>
            <w:vAlign w:val="top"/>
          </w:tcPr>
          <w:p>
            <w:pPr>
              <w:spacing w:after="40" w:before="0" w:line="259" w:lineRule="auto"/>
            </w:pPr>
            <w:r>
              <w:rPr>
                <w:rFonts w:ascii="Calibri" w:hAnsi="Calibri"/>
                <w:b w:val="0"/>
                <w:i w:val="0"/>
                <w:color w:val="212121"/>
                <w:sz w:val="19"/>
              </w:rPr>
              <w:t>Gradual acclimatisation over ~10-14 days</w:t>
            </w:r>
          </w:p>
        </w:tc>
        <w:tc>
          <w:tcPr>
            <w:tcW w:type="dxa" w:w="1512"/>
            <w:vAlign w:val="top"/>
          </w:tcPr>
          <w:p>
            <w:pPr>
              <w:spacing w:after="40" w:before="0" w:line="259" w:lineRule="auto"/>
            </w:pPr>
            <w:r>
              <w:rPr>
                <w:rFonts w:ascii="Calibri" w:hAnsi="Calibri"/>
                <w:b w:val="0"/>
                <w:i w:val="0"/>
                <w:color w:val="212121"/>
                <w:sz w:val="19"/>
              </w:rPr>
              <w:t>Sudden unacclimatised heat/humidity exposure</w:t>
            </w:r>
          </w:p>
        </w:tc>
        <w:tc>
          <w:tcPr>
            <w:tcW w:type="dxa" w:w="1468"/>
            <w:vAlign w:val="top"/>
          </w:tcPr>
          <w:p>
            <w:pPr>
              <w:spacing w:after="60" w:line="259" w:lineRule="auto"/>
            </w:pPr>
            <w:r>
              <w:rPr>
                <w:rFonts w:ascii="Calibri" w:hAnsi="Calibri"/>
                <w:b w:val="0"/>
                <w:i w:val="0"/>
                <w:color w:val="212121"/>
                <w:sz w:val="19"/>
              </w:rPr>
              <w:t>Up to 30% of newcomers to the tropics develop miliaria rubra.</w:t>
            </w:r>
          </w:p>
          <w:p>
            <w:pPr>
              <w:spacing w:after="40" w:line="252" w:lineRule="auto"/>
            </w:pPr>
            <w:hyperlink r:id="rId11">
              <w:r>
                <w:rPr>
                  <w:rFonts w:ascii="Calibri" w:hAnsi="Calibri" w:cs="Calibri"/>
                  <w:sz w:val="18"/>
                  <w:color w:val="1155CC"/>
                  <w:u w:val="single"/>
                </w:rPr>
                <w:t xml:space="preserve">https://dermnetnz.org/topics/miliaria</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Time in sweat-soaked clothing / bathing after sweating</w:t>
            </w:r>
          </w:p>
        </w:tc>
        <w:tc>
          <w:tcPr>
            <w:tcW w:type="dxa" w:w="1655"/>
            <w:vAlign w:val="top"/>
          </w:tcPr>
          <w:p>
            <w:pPr>
              <w:spacing w:after="40" w:before="0" w:line="259" w:lineRule="auto"/>
            </w:pPr>
            <w:r>
              <w:rPr>
                <w:rFonts w:ascii="Calibri" w:hAnsi="Calibri"/>
                <w:b w:val="0"/>
                <w:i w:val="0"/>
                <w:color w:val="212121"/>
                <w:sz w:val="19"/>
              </w:rPr>
              <w:t>Workers, athletes, obese individuals</w:t>
            </w:r>
          </w:p>
        </w:tc>
        <w:tc>
          <w:tcPr>
            <w:tcW w:type="dxa" w:w="1512"/>
            <w:vAlign w:val="top"/>
          </w:tcPr>
          <w:p>
            <w:pPr>
              <w:spacing w:after="40" w:before="0" w:line="259" w:lineRule="auto"/>
            </w:pPr>
            <w:r>
              <w:rPr>
                <w:rFonts w:ascii="Calibri" w:hAnsi="Calibri"/>
                <w:b w:val="0"/>
                <w:i w:val="0"/>
                <w:color w:val="212121"/>
                <w:sz w:val="19"/>
              </w:rPr>
              <w:t>Prompt cool shower and change after sweating</w:t>
            </w:r>
          </w:p>
        </w:tc>
        <w:tc>
          <w:tcPr>
            <w:tcW w:type="dxa" w:w="1512"/>
            <w:vAlign w:val="top"/>
          </w:tcPr>
          <w:p>
            <w:pPr>
              <w:spacing w:after="40" w:before="0" w:line="259" w:lineRule="auto"/>
            </w:pPr>
            <w:r>
              <w:rPr>
                <w:rFonts w:ascii="Calibri" w:hAnsi="Calibri"/>
                <w:b w:val="0"/>
                <w:i w:val="0"/>
                <w:color w:val="212121"/>
                <w:sz w:val="19"/>
              </w:rPr>
              <w:t>Prolonged time in wet, occlusive, unwashed clothing</w:t>
            </w:r>
          </w:p>
        </w:tc>
        <w:tc>
          <w:tcPr>
            <w:tcW w:type="dxa" w:w="1468"/>
            <w:vAlign w:val="top"/>
          </w:tcPr>
          <w:p>
            <w:pPr>
              <w:spacing w:after="60" w:line="259" w:lineRule="auto"/>
            </w:pPr>
            <w:r>
              <w:rPr>
                <w:rFonts w:ascii="Calibri" w:hAnsi="Calibri"/>
                <w:b w:val="0"/>
                <w:i w:val="0"/>
                <w:color w:val="212121"/>
                <w:sz w:val="19"/>
              </w:rPr>
              <w:t>Sweat and biofilm accumulation plugs ducts and invites infection.</w:t>
            </w:r>
          </w:p>
          <w:p>
            <w:pPr>
              <w:spacing w:after="40" w:line="252" w:lineRule="auto"/>
            </w:pPr>
            <w:hyperlink r:id="rId10">
              <w:r>
                <w:rPr>
                  <w:rFonts w:ascii="Calibri" w:hAnsi="Calibri" w:cs="Calibri"/>
                  <w:sz w:val="18"/>
                  <w:color w:val="1155CC"/>
                  <w:u w:val="single"/>
                </w:rPr>
                <w:t xml:space="preserve">https://www.ncbi.nlm.nih.gov/books/NBK537176/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Bedroom temperature/ventilation</w:t>
            </w:r>
          </w:p>
        </w:tc>
        <w:tc>
          <w:tcPr>
            <w:tcW w:type="dxa" w:w="1655"/>
            <w:vAlign w:val="top"/>
          </w:tcPr>
          <w:p>
            <w:pPr>
              <w:spacing w:after="40" w:before="0" w:line="259" w:lineRule="auto"/>
            </w:pPr>
            <w:r>
              <w:rPr>
                <w:rFonts w:ascii="Calibri" w:hAnsi="Calibri"/>
                <w:b w:val="0"/>
                <w:i w:val="0"/>
                <w:color w:val="212121"/>
                <w:sz w:val="19"/>
              </w:rPr>
              <w:t>Infants, all in summer</w:t>
            </w:r>
          </w:p>
        </w:tc>
        <w:tc>
          <w:tcPr>
            <w:tcW w:type="dxa" w:w="1512"/>
            <w:vAlign w:val="top"/>
          </w:tcPr>
          <w:p>
            <w:pPr>
              <w:spacing w:after="40" w:before="0" w:line="259" w:lineRule="auto"/>
            </w:pPr>
            <w:r>
              <w:rPr>
                <w:rFonts w:ascii="Calibri" w:hAnsi="Calibri"/>
                <w:b w:val="0"/>
                <w:i w:val="0"/>
                <w:color w:val="212121"/>
                <w:sz w:val="19"/>
              </w:rPr>
              <w:t>Cool, well-ventilated room; light cotton bedding</w:t>
            </w:r>
          </w:p>
        </w:tc>
        <w:tc>
          <w:tcPr>
            <w:tcW w:type="dxa" w:w="1512"/>
            <w:vAlign w:val="top"/>
          </w:tcPr>
          <w:p>
            <w:pPr>
              <w:spacing w:after="40" w:before="0" w:line="259" w:lineRule="auto"/>
            </w:pPr>
            <w:r>
              <w:rPr>
                <w:rFonts w:ascii="Calibri" w:hAnsi="Calibri"/>
                <w:b w:val="0"/>
                <w:i w:val="0"/>
                <w:color w:val="212121"/>
                <w:sz w:val="19"/>
              </w:rPr>
              <w:t>Hot, unventilated room; plastic mattress; over-bundling</w:t>
            </w:r>
          </w:p>
        </w:tc>
        <w:tc>
          <w:tcPr>
            <w:tcW w:type="dxa" w:w="1468"/>
            <w:vAlign w:val="top"/>
          </w:tcPr>
          <w:p>
            <w:pPr>
              <w:spacing w:after="40" w:before="0" w:line="259" w:lineRule="auto"/>
            </w:pPr>
            <w:r>
              <w:rPr>
                <w:rFonts w:ascii="Calibri" w:hAnsi="Calibri"/>
                <w:b w:val="0"/>
                <w:i w:val="0"/>
                <w:color w:val="212121"/>
                <w:sz w:val="19"/>
              </w:rPr>
              <w:t>Nocturnal sweating and occlusion aggravate miliaria, especially in infants.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for thermoregulation</w:t>
            </w:r>
          </w:p>
        </w:tc>
        <w:tc>
          <w:tcPr>
            <w:tcW w:type="dxa" w:w="1655"/>
            <w:vAlign w:val="top"/>
          </w:tcPr>
          <w:p>
            <w:pPr>
              <w:spacing w:after="40" w:before="0" w:line="259" w:lineRule="auto"/>
            </w:pPr>
            <w:r>
              <w:rPr>
                <w:rFonts w:ascii="Calibri" w:hAnsi="Calibri"/>
                <w:b w:val="0"/>
                <w:i w:val="0"/>
                <w:color w:val="212121"/>
                <w:sz w:val="19"/>
              </w:rPr>
              <w:t>Heat-exposed workers, elderly</w:t>
            </w:r>
          </w:p>
        </w:tc>
        <w:tc>
          <w:tcPr>
            <w:tcW w:type="dxa" w:w="1512"/>
            <w:vAlign w:val="top"/>
          </w:tcPr>
          <w:p>
            <w:pPr>
              <w:spacing w:after="40" w:before="0" w:line="259" w:lineRule="auto"/>
            </w:pPr>
            <w:r>
              <w:rPr>
                <w:rFonts w:ascii="Calibri" w:hAnsi="Calibri"/>
                <w:b w:val="0"/>
                <w:i w:val="0"/>
                <w:color w:val="212121"/>
                <w:sz w:val="19"/>
              </w:rPr>
              <w:t>Adequate fluids/electrolytes to match sweat loss</w:t>
            </w:r>
          </w:p>
        </w:tc>
        <w:tc>
          <w:tcPr>
            <w:tcW w:type="dxa" w:w="1512"/>
            <w:vAlign w:val="top"/>
          </w:tcPr>
          <w:p>
            <w:pPr>
              <w:spacing w:after="40" w:before="0" w:line="259" w:lineRule="auto"/>
            </w:pPr>
            <w:r>
              <w:rPr>
                <w:rFonts w:ascii="Calibri" w:hAnsi="Calibri"/>
                <w:b w:val="0"/>
                <w:i w:val="0"/>
                <w:color w:val="212121"/>
                <w:sz w:val="19"/>
              </w:rPr>
              <w:t>Dehydration during heat exposure</w:t>
            </w:r>
          </w:p>
        </w:tc>
        <w:tc>
          <w:tcPr>
            <w:tcW w:type="dxa" w:w="1468"/>
            <w:vAlign w:val="top"/>
          </w:tcPr>
          <w:p>
            <w:pPr>
              <w:spacing w:after="40" w:before="0" w:line="259" w:lineRule="auto"/>
            </w:pPr>
            <w:r>
              <w:rPr>
                <w:rFonts w:ascii="Calibri" w:hAnsi="Calibri"/>
                <w:b w:val="0"/>
                <w:i w:val="0"/>
                <w:color w:val="212121"/>
                <w:sz w:val="19"/>
              </w:rPr>
              <w:t>Supports thermoregulation in the heat; indirect effect on miliaria itself.</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Dermatological</w:t>
            </w:r>
          </w:p>
        </w:tc>
        <w:tc>
          <w:tcPr>
            <w:tcW w:type="dxa" w:w="1036"/>
            <w:vAlign w:val="top"/>
          </w:tcPr>
          <w:p>
            <w:pPr>
              <w:spacing w:after="40" w:before="0" w:line="259" w:lineRule="auto"/>
            </w:pPr>
            <w:r>
              <w:rPr>
                <w:rFonts w:ascii="Calibri" w:hAnsi="Calibri"/>
                <w:b w:val="0"/>
                <w:i w:val="0"/>
                <w:color w:val="212121"/>
                <w:sz w:val="16"/>
              </w:rPr>
              <w:t>Dermoscopy of vesicles/papules</w:t>
            </w:r>
          </w:p>
        </w:tc>
        <w:tc>
          <w:tcPr>
            <w:tcW w:type="dxa" w:w="892"/>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Normal skin surface pattern</w:t>
            </w:r>
          </w:p>
        </w:tc>
        <w:tc>
          <w:tcPr>
            <w:tcW w:type="dxa" w:w="950"/>
            <w:vAlign w:val="top"/>
          </w:tcPr>
          <w:p>
            <w:pPr>
              <w:spacing w:after="40" w:before="0" w:line="259" w:lineRule="auto"/>
            </w:pPr>
            <w:r>
              <w:rPr>
                <w:rFonts w:ascii="Calibri" w:hAnsi="Calibri"/>
                <w:b w:val="0"/>
                <w:i w:val="0"/>
                <w:color w:val="212121"/>
                <w:sz w:val="16"/>
              </w:rPr>
              <w:t>Non-follicular vesicles/papules with peripheral white halo</w:t>
            </w:r>
          </w:p>
        </w:tc>
        <w:tc>
          <w:tcPr>
            <w:tcW w:type="dxa" w:w="1036"/>
            <w:vAlign w:val="top"/>
          </w:tcPr>
          <w:p>
            <w:pPr>
              <w:spacing w:after="40" w:before="0" w:line="259" w:lineRule="auto"/>
            </w:pPr>
            <w:r>
              <w:rPr>
                <w:rFonts w:ascii="Calibri" w:hAnsi="Calibri"/>
                <w:b w:val="0"/>
                <w:i w:val="0"/>
                <w:color w:val="212121"/>
                <w:sz w:val="16"/>
              </w:rPr>
              <w:t>Supports miliaria and helps distinguish it from folliculitis</w:t>
            </w:r>
          </w:p>
        </w:tc>
        <w:tc>
          <w:tcPr>
            <w:tcW w:type="dxa" w:w="1036"/>
            <w:vAlign w:val="top"/>
          </w:tcPr>
          <w:p>
            <w:pPr>
              <w:spacing w:after="40" w:before="0" w:line="259" w:lineRule="auto"/>
            </w:pPr>
            <w:r>
              <w:rPr>
                <w:rFonts w:ascii="Calibri" w:hAnsi="Calibri"/>
                <w:b w:val="0"/>
                <w:i w:val="0"/>
                <w:color w:val="212121"/>
                <w:sz w:val="16"/>
              </w:rPr>
              <w:t>Adults with itchy heat rash,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Non-invasive; rarely essential as diagnosis is clinical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 (H&amp;E, PAS)</w:t>
            </w:r>
          </w:p>
        </w:tc>
        <w:tc>
          <w:tcPr>
            <w:tcW w:type="dxa" w:w="892"/>
            <w:vAlign w:val="top"/>
          </w:tcPr>
          <w:p>
            <w:pPr>
              <w:spacing w:after="40" w:before="0" w:line="259" w:lineRule="auto"/>
            </w:pPr>
            <w:r>
              <w:rPr>
                <w:rFonts w:ascii="Calibri" w:hAnsi="Calibri"/>
                <w:b w:val="0"/>
                <w:i w:val="0"/>
                <w:color w:val="212121"/>
                <w:sz w:val="16"/>
              </w:rPr>
              <w:t>Skin biopsy</w:t>
            </w:r>
          </w:p>
        </w:tc>
        <w:tc>
          <w:tcPr>
            <w:tcW w:type="dxa" w:w="950"/>
            <w:vAlign w:val="top"/>
          </w:tcPr>
          <w:p>
            <w:pPr>
              <w:spacing w:after="40" w:before="0" w:line="259" w:lineRule="auto"/>
            </w:pPr>
            <w:r>
              <w:rPr>
                <w:rFonts w:ascii="Calibri" w:hAnsi="Calibri"/>
                <w:b w:val="0"/>
                <w:i w:val="0"/>
                <w:color w:val="212121"/>
                <w:sz w:val="16"/>
              </w:rPr>
              <w:t>Intact eccrine duct; no intraepidermal vesicle</w:t>
            </w:r>
          </w:p>
        </w:tc>
        <w:tc>
          <w:tcPr>
            <w:tcW w:type="dxa" w:w="950"/>
            <w:vAlign w:val="top"/>
          </w:tcPr>
          <w:p>
            <w:pPr>
              <w:spacing w:after="40" w:before="0" w:line="259" w:lineRule="auto"/>
            </w:pPr>
            <w:r>
              <w:rPr>
                <w:rFonts w:ascii="Calibri" w:hAnsi="Calibri"/>
                <w:b w:val="0"/>
                <w:i w:val="0"/>
                <w:color w:val="212121"/>
                <w:sz w:val="16"/>
              </w:rPr>
              <w:t>Intraepidermal spongiotic vesicle at obstructed duct; PAS-positive keratotic plug</w:t>
            </w:r>
          </w:p>
        </w:tc>
        <w:tc>
          <w:tcPr>
            <w:tcW w:type="dxa" w:w="1036"/>
            <w:vAlign w:val="top"/>
          </w:tcPr>
          <w:p>
            <w:pPr>
              <w:spacing w:after="40" w:before="0" w:line="259" w:lineRule="auto"/>
            </w:pPr>
            <w:r>
              <w:rPr>
                <w:rFonts w:ascii="Calibri" w:hAnsi="Calibri"/>
                <w:b w:val="0"/>
                <w:i w:val="0"/>
                <w:color w:val="212121"/>
                <w:sz w:val="16"/>
              </w:rPr>
              <w:t>Confirms diagnosis and defines type by depth of vesicle</w:t>
            </w:r>
          </w:p>
        </w:tc>
        <w:tc>
          <w:tcPr>
            <w:tcW w:type="dxa" w:w="1036"/>
            <w:vAlign w:val="top"/>
          </w:tcPr>
          <w:p>
            <w:pPr>
              <w:spacing w:after="40" w:before="0" w:line="259" w:lineRule="auto"/>
            </w:pPr>
            <w:r>
              <w:rPr>
                <w:rFonts w:ascii="Calibri" w:hAnsi="Calibri"/>
                <w:b w:val="0"/>
                <w:i w:val="0"/>
                <w:color w:val="212121"/>
                <w:sz w:val="16"/>
              </w:rPr>
              <w:t>Persistent/atypical or profunda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Reserved for diagnostic uncertainty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Gram stain of pustule contents</w:t>
            </w:r>
          </w:p>
        </w:tc>
        <w:tc>
          <w:tcPr>
            <w:tcW w:type="dxa" w:w="892"/>
            <w:vAlign w:val="top"/>
          </w:tcPr>
          <w:p>
            <w:pPr>
              <w:spacing w:after="40" w:before="0" w:line="259" w:lineRule="auto"/>
            </w:pPr>
            <w:r>
              <w:rPr>
                <w:rFonts w:ascii="Calibri" w:hAnsi="Calibri"/>
                <w:b w:val="0"/>
                <w:i w:val="0"/>
                <w:color w:val="212121"/>
                <w:sz w:val="16"/>
              </w:rPr>
              <w:t>Gram stain</w:t>
            </w:r>
          </w:p>
        </w:tc>
        <w:tc>
          <w:tcPr>
            <w:tcW w:type="dxa" w:w="950"/>
            <w:vAlign w:val="top"/>
          </w:tcPr>
          <w:p>
            <w:pPr>
              <w:spacing w:after="40" w:before="0" w:line="259" w:lineRule="auto"/>
            </w:pPr>
            <w:r>
              <w:rPr>
                <w:rFonts w:ascii="Calibri" w:hAnsi="Calibri"/>
                <w:b w:val="0"/>
                <w:i w:val="0"/>
                <w:color w:val="212121"/>
                <w:sz w:val="16"/>
              </w:rPr>
              <w:t>No organisms / few commensals</w:t>
            </w:r>
          </w:p>
        </w:tc>
        <w:tc>
          <w:tcPr>
            <w:tcW w:type="dxa" w:w="950"/>
            <w:vAlign w:val="top"/>
          </w:tcPr>
          <w:p>
            <w:pPr>
              <w:spacing w:after="40" w:before="0" w:line="259" w:lineRule="auto"/>
            </w:pPr>
            <w:r>
              <w:rPr>
                <w:rFonts w:ascii="Calibri" w:hAnsi="Calibri"/>
                <w:b w:val="0"/>
                <w:i w:val="0"/>
                <w:color w:val="212121"/>
                <w:sz w:val="16"/>
              </w:rPr>
              <w:t>Gram-positive cocci in clusters</w:t>
            </w:r>
          </w:p>
        </w:tc>
        <w:tc>
          <w:tcPr>
            <w:tcW w:type="dxa" w:w="1036"/>
            <w:vAlign w:val="top"/>
          </w:tcPr>
          <w:p>
            <w:pPr>
              <w:spacing w:after="40" w:before="0" w:line="259" w:lineRule="auto"/>
            </w:pPr>
            <w:r>
              <w:rPr>
                <w:rFonts w:ascii="Calibri" w:hAnsi="Calibri"/>
                <w:b w:val="0"/>
                <w:i w:val="0"/>
                <w:color w:val="212121"/>
                <w:sz w:val="16"/>
              </w:rPr>
              <w:t>Indicates staphylococcal secondary infection (miliaria pustulosa)</w:t>
            </w:r>
          </w:p>
        </w:tc>
        <w:tc>
          <w:tcPr>
            <w:tcW w:type="dxa" w:w="1036"/>
            <w:vAlign w:val="top"/>
          </w:tcPr>
          <w:p>
            <w:pPr>
              <w:spacing w:after="40" w:before="0" w:line="259" w:lineRule="auto"/>
            </w:pPr>
            <w:r>
              <w:rPr>
                <w:rFonts w:ascii="Calibri" w:hAnsi="Calibri"/>
                <w:b w:val="0"/>
                <w:i w:val="0"/>
                <w:color w:val="212121"/>
                <w:sz w:val="16"/>
              </w:rPr>
              <w:t>Pustular lesions, suspected periporitis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(when pustular)</w:t>
            </w:r>
          </w:p>
        </w:tc>
        <w:tc>
          <w:tcPr>
            <w:tcW w:type="dxa" w:w="720"/>
            <w:vAlign w:val="top"/>
          </w:tcPr>
          <w:p>
            <w:pPr>
              <w:spacing w:after="40" w:before="0" w:line="259" w:lineRule="auto"/>
            </w:pPr>
            <w:r>
              <w:rPr>
                <w:rFonts w:ascii="Calibri" w:hAnsi="Calibri"/>
                <w:b w:val="0"/>
                <w:i w:val="0"/>
                <w:color w:val="212121"/>
                <w:sz w:val="16"/>
              </w:rPr>
              <w:t>Guides need for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culture &amp; sensitivity</w:t>
            </w:r>
          </w:p>
        </w:tc>
        <w:tc>
          <w:tcPr>
            <w:tcW w:type="dxa" w:w="892"/>
            <w:vAlign w:val="top"/>
          </w:tcPr>
          <w:p>
            <w:pPr>
              <w:spacing w:after="40" w:before="0" w:line="259" w:lineRule="auto"/>
            </w:pPr>
            <w:r>
              <w:rPr>
                <w:rFonts w:ascii="Calibri" w:hAnsi="Calibri"/>
                <w:b w:val="0"/>
                <w:i w:val="0"/>
                <w:color w:val="212121"/>
                <w:sz w:val="16"/>
              </w:rPr>
              <w:t>Pus/skin swab culture</w:t>
            </w:r>
          </w:p>
        </w:tc>
        <w:tc>
          <w:tcPr>
            <w:tcW w:type="dxa" w:w="950"/>
            <w:vAlign w:val="top"/>
          </w:tcPr>
          <w:p>
            <w:pPr>
              <w:spacing w:after="40" w:before="0" w:line="259" w:lineRule="auto"/>
            </w:pPr>
            <w:r>
              <w:rPr>
                <w:rFonts w:ascii="Calibri" w:hAnsi="Calibri"/>
                <w:b w:val="0"/>
                <w:i w:val="0"/>
                <w:color w:val="212121"/>
                <w:sz w:val="16"/>
              </w:rPr>
              <w:t>No pathogenic growth</w:t>
            </w:r>
          </w:p>
        </w:tc>
        <w:tc>
          <w:tcPr>
            <w:tcW w:type="dxa" w:w="950"/>
            <w:vAlign w:val="top"/>
          </w:tcPr>
          <w:p>
            <w:pPr>
              <w:spacing w:after="40" w:before="0" w:line="259" w:lineRule="auto"/>
            </w:pPr>
            <w:r>
              <w:rPr>
                <w:rFonts w:ascii="Calibri" w:hAnsi="Calibri"/>
                <w:b w:val="0"/>
                <w:i w:val="0"/>
                <w:color w:val="212121"/>
                <w:sz w:val="16"/>
              </w:rPr>
              <w:t>Staphylococcus aureus (+/- resistance pattern)</w:t>
            </w:r>
          </w:p>
        </w:tc>
        <w:tc>
          <w:tcPr>
            <w:tcW w:type="dxa" w:w="1036"/>
            <w:vAlign w:val="top"/>
          </w:tcPr>
          <w:p>
            <w:pPr>
              <w:spacing w:after="40" w:before="0" w:line="259" w:lineRule="auto"/>
            </w:pPr>
            <w:r>
              <w:rPr>
                <w:rFonts w:ascii="Calibri" w:hAnsi="Calibri"/>
                <w:b w:val="0"/>
                <w:i w:val="0"/>
                <w:color w:val="212121"/>
                <w:sz w:val="16"/>
              </w:rPr>
              <w:t>Confirms secondary infection and guides antibiotic choice</w:t>
            </w:r>
          </w:p>
        </w:tc>
        <w:tc>
          <w:tcPr>
            <w:tcW w:type="dxa" w:w="1036"/>
            <w:vAlign w:val="top"/>
          </w:tcPr>
          <w:p>
            <w:pPr>
              <w:spacing w:after="40" w:before="0" w:line="259" w:lineRule="auto"/>
            </w:pPr>
            <w:r>
              <w:rPr>
                <w:rFonts w:ascii="Calibri" w:hAnsi="Calibri"/>
                <w:b w:val="0"/>
                <w:i w:val="0"/>
                <w:color w:val="212121"/>
                <w:sz w:val="16"/>
              </w:rPr>
              <w:t>Miliaria pustulosa, abscess, non-resolving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Consider MRSA in healthcare-associated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KOH mount / fungal smear</w:t>
            </w:r>
          </w:p>
        </w:tc>
        <w:tc>
          <w:tcPr>
            <w:tcW w:type="dxa" w:w="892"/>
            <w:vAlign w:val="top"/>
          </w:tcPr>
          <w:p>
            <w:pPr>
              <w:spacing w:after="40" w:before="0" w:line="259" w:lineRule="auto"/>
            </w:pPr>
            <w:r>
              <w:rPr>
                <w:rFonts w:ascii="Calibri" w:hAnsi="Calibri"/>
                <w:b w:val="0"/>
                <w:i w:val="0"/>
                <w:color w:val="212121"/>
                <w:sz w:val="16"/>
              </w:rPr>
              <w:t>KOH microscopy</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Pseudohyphae/budding yeast (candida) or hyphae (dermatophyte)</w:t>
            </w:r>
          </w:p>
        </w:tc>
        <w:tc>
          <w:tcPr>
            <w:tcW w:type="dxa" w:w="1036"/>
            <w:vAlign w:val="top"/>
          </w:tcPr>
          <w:p>
            <w:pPr>
              <w:spacing w:after="40" w:before="0" w:line="259" w:lineRule="auto"/>
            </w:pPr>
            <w:r>
              <w:rPr>
                <w:rFonts w:ascii="Calibri" w:hAnsi="Calibri"/>
                <w:b w:val="0"/>
                <w:i w:val="0"/>
                <w:color w:val="212121"/>
                <w:sz w:val="16"/>
              </w:rPr>
              <w:t>Excludes candidal intertrigo and tinea in flexural rashes</w:t>
            </w:r>
          </w:p>
        </w:tc>
        <w:tc>
          <w:tcPr>
            <w:tcW w:type="dxa" w:w="1036"/>
            <w:vAlign w:val="top"/>
          </w:tcPr>
          <w:p>
            <w:pPr>
              <w:spacing w:after="40" w:before="0" w:line="259" w:lineRule="auto"/>
            </w:pPr>
            <w:r>
              <w:rPr>
                <w:rFonts w:ascii="Calibri" w:hAnsi="Calibri"/>
                <w:b w:val="0"/>
                <w:i w:val="0"/>
                <w:color w:val="212121"/>
                <w:sz w:val="16"/>
              </w:rPr>
              <w:t>Flexural/intertriginous rash, obese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Miliaria and candidal intertrigo can coexist in folds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WBC and differential</w:t>
            </w:r>
          </w:p>
        </w:tc>
        <w:tc>
          <w:tcPr>
            <w:tcW w:type="dxa" w:w="950"/>
            <w:vAlign w:val="top"/>
          </w:tcPr>
          <w:p>
            <w:pPr>
              <w:spacing w:after="40" w:before="0" w:line="259" w:lineRule="auto"/>
            </w:pPr>
            <w:r>
              <w:rPr>
                <w:rFonts w:ascii="Calibri" w:hAnsi="Calibri"/>
                <w:b w:val="0"/>
                <w:i w:val="0"/>
                <w:color w:val="212121"/>
                <w:sz w:val="16"/>
              </w:rPr>
              <w:t>Neutrophilic leukocytosis</w:t>
            </w:r>
          </w:p>
        </w:tc>
        <w:tc>
          <w:tcPr>
            <w:tcW w:type="dxa" w:w="1036"/>
            <w:vAlign w:val="top"/>
          </w:tcPr>
          <w:p>
            <w:pPr>
              <w:spacing w:after="40" w:before="0" w:line="259" w:lineRule="auto"/>
            </w:pPr>
            <w:r>
              <w:rPr>
                <w:rFonts w:ascii="Calibri" w:hAnsi="Calibri"/>
                <w:b w:val="0"/>
                <w:i w:val="0"/>
                <w:color w:val="212121"/>
                <w:sz w:val="16"/>
              </w:rPr>
              <w:t>Suggests significant secondary bacterial infection/periporitis</w:t>
            </w:r>
          </w:p>
        </w:tc>
        <w:tc>
          <w:tcPr>
            <w:tcW w:type="dxa" w:w="1036"/>
            <w:vAlign w:val="top"/>
          </w:tcPr>
          <w:p>
            <w:pPr>
              <w:spacing w:after="40" w:before="0" w:line="259" w:lineRule="auto"/>
            </w:pPr>
            <w:r>
              <w:rPr>
                <w:rFonts w:ascii="Calibri" w:hAnsi="Calibri"/>
                <w:b w:val="0"/>
                <w:i w:val="0"/>
                <w:color w:val="212121"/>
                <w:sz w:val="16"/>
              </w:rPr>
              <w:t>Extensive pustulosa, systemic signs, neonates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Neonates with periporitis may need admission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Thermophysiology</w:t>
            </w:r>
          </w:p>
        </w:tc>
        <w:tc>
          <w:tcPr>
            <w:tcW w:type="dxa" w:w="1036"/>
            <w:vAlign w:val="top"/>
          </w:tcPr>
          <w:p>
            <w:pPr>
              <w:spacing w:after="40" w:before="0" w:line="259" w:lineRule="auto"/>
            </w:pPr>
            <w:r>
              <w:rPr>
                <w:rFonts w:ascii="Calibri" w:hAnsi="Calibri"/>
                <w:b w:val="0"/>
                <w:i w:val="0"/>
                <w:color w:val="212121"/>
                <w:sz w:val="16"/>
              </w:rPr>
              <w:t>Core body temperature</w:t>
            </w:r>
          </w:p>
        </w:tc>
        <w:tc>
          <w:tcPr>
            <w:tcW w:type="dxa" w:w="892"/>
            <w:vAlign w:val="top"/>
          </w:tcPr>
          <w:p>
            <w:pPr>
              <w:spacing w:after="40" w:before="0" w:line="259" w:lineRule="auto"/>
            </w:pPr>
            <w:r>
              <w:rPr>
                <w:rFonts w:ascii="Calibri" w:hAnsi="Calibri"/>
                <w:b w:val="0"/>
                <w:i w:val="0"/>
                <w:color w:val="212121"/>
                <w:sz w:val="16"/>
              </w:rPr>
              <w:t>Thermometry</w:t>
            </w:r>
          </w:p>
        </w:tc>
        <w:tc>
          <w:tcPr>
            <w:tcW w:type="dxa" w:w="950"/>
            <w:vAlign w:val="top"/>
          </w:tcPr>
          <w:p>
            <w:pPr>
              <w:spacing w:after="40" w:before="0" w:line="259" w:lineRule="auto"/>
            </w:pPr>
            <w:r>
              <w:rPr>
                <w:rFonts w:ascii="Calibri" w:hAnsi="Calibri"/>
                <w:b w:val="0"/>
                <w:i w:val="0"/>
                <w:color w:val="212121"/>
                <w:sz w:val="16"/>
              </w:rPr>
              <w:t>&lt; 37.5 degrees C</w:t>
            </w:r>
          </w:p>
        </w:tc>
        <w:tc>
          <w:tcPr>
            <w:tcW w:type="dxa" w:w="950"/>
            <w:vAlign w:val="top"/>
          </w:tcPr>
          <w:p>
            <w:pPr>
              <w:spacing w:after="40" w:before="0" w:line="259" w:lineRule="auto"/>
            </w:pPr>
            <w:r>
              <w:rPr>
                <w:rFonts w:ascii="Calibri" w:hAnsi="Calibri"/>
                <w:b w:val="0"/>
                <w:i w:val="0"/>
                <w:color w:val="212121"/>
                <w:sz w:val="16"/>
              </w:rPr>
              <w:t>Rising core temperature with heat intolerance</w:t>
            </w:r>
          </w:p>
        </w:tc>
        <w:tc>
          <w:tcPr>
            <w:tcW w:type="dxa" w:w="1036"/>
            <w:vAlign w:val="top"/>
          </w:tcPr>
          <w:p>
            <w:pPr>
              <w:spacing w:after="40" w:before="0" w:line="259" w:lineRule="auto"/>
            </w:pPr>
            <w:r>
              <w:rPr>
                <w:rFonts w:ascii="Calibri" w:hAnsi="Calibri"/>
                <w:b w:val="0"/>
                <w:i w:val="0"/>
                <w:color w:val="212121"/>
                <w:sz w:val="16"/>
              </w:rPr>
              <w:t>Assesses impaired thermoregulation/heat exhaustion in extensive miliaria/anhidrosis</w:t>
            </w:r>
          </w:p>
        </w:tc>
        <w:tc>
          <w:tcPr>
            <w:tcW w:type="dxa" w:w="1036"/>
            <w:vAlign w:val="top"/>
          </w:tcPr>
          <w:p>
            <w:pPr>
              <w:spacing w:after="40" w:before="0" w:line="259" w:lineRule="auto"/>
            </w:pPr>
            <w:r>
              <w:rPr>
                <w:rFonts w:ascii="Calibri" w:hAnsi="Calibri"/>
                <w:b w:val="0"/>
                <w:i w:val="0"/>
                <w:color w:val="212121"/>
                <w:sz w:val="16"/>
              </w:rPr>
              <w:t>Widespread profunda, anhidrotic patients, heat-exposed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(selective)</w:t>
            </w:r>
          </w:p>
        </w:tc>
        <w:tc>
          <w:tcPr>
            <w:tcW w:type="dxa" w:w="720"/>
            <w:vAlign w:val="top"/>
          </w:tcPr>
          <w:p>
            <w:pPr>
              <w:spacing w:after="40" w:before="0" w:line="259" w:lineRule="auto"/>
            </w:pPr>
            <w:r>
              <w:rPr>
                <w:rFonts w:ascii="Calibri" w:hAnsi="Calibri"/>
                <w:b w:val="0"/>
                <w:i w:val="0"/>
                <w:color w:val="212121"/>
                <w:sz w:val="16"/>
              </w:rPr>
              <w:t>Extensive anhidrosis can predispose to heat illness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Heat/humidity &amp; occlusion exposure</w:t>
            </w:r>
          </w:p>
        </w:tc>
        <w:tc>
          <w:tcPr>
            <w:tcW w:type="dxa" w:w="979"/>
            <w:vAlign w:val="top"/>
          </w:tcPr>
          <w:p>
            <w:pPr>
              <w:spacing w:after="40" w:before="0" w:line="259" w:lineRule="auto"/>
            </w:pPr>
            <w:r>
              <w:rPr>
                <w:rFonts w:ascii="Calibri" w:hAnsi="Calibri"/>
                <w:b w:val="0"/>
                <w:i w:val="0"/>
                <w:color w:val="212121"/>
                <w:sz w:val="16"/>
              </w:rPr>
              <w:t>Hot-humid weather, exertion, occlusive clothing, bed rest, new tropical posting</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Clear heat/occlusion trigger preceding the rash</w:t>
            </w:r>
          </w:p>
        </w:tc>
        <w:tc>
          <w:tcPr>
            <w:tcW w:type="dxa" w:w="1036"/>
            <w:vAlign w:val="top"/>
          </w:tcPr>
          <w:p>
            <w:pPr>
              <w:spacing w:after="40" w:before="0" w:line="259" w:lineRule="auto"/>
            </w:pPr>
            <w:r>
              <w:rPr>
                <w:rFonts w:ascii="Calibri" w:hAnsi="Calibri"/>
                <w:b w:val="0"/>
                <w:i w:val="0"/>
                <w:color w:val="212121"/>
                <w:sz w:val="16"/>
              </w:rPr>
              <w:t>Establishes the characteristic climate/occlusion-linked onset</w:t>
            </w:r>
          </w:p>
        </w:tc>
        <w:tc>
          <w:tcPr>
            <w:tcW w:type="dxa" w:w="1036"/>
            <w:vAlign w:val="top"/>
          </w:tcPr>
          <w:p>
            <w:pPr>
              <w:spacing w:after="40" w:before="0" w:line="259" w:lineRule="auto"/>
            </w:pPr>
            <w:r>
              <w:rPr>
                <w:rFonts w:ascii="Calibri" w:hAnsi="Calibri"/>
                <w:b w:val="0"/>
                <w:i w:val="0"/>
                <w:color w:val="212121"/>
                <w:sz w:val="16"/>
              </w:rPr>
              <w:t>Workers, migrants, bedridden, all in summer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Onset typically during sweating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and drug/patch history</w:t>
            </w:r>
          </w:p>
        </w:tc>
        <w:tc>
          <w:tcPr>
            <w:tcW w:type="dxa" w:w="979"/>
            <w:vAlign w:val="top"/>
          </w:tcPr>
          <w:p>
            <w:pPr>
              <w:spacing w:after="40" w:before="0" w:line="259" w:lineRule="auto"/>
            </w:pPr>
            <w:r>
              <w:rPr>
                <w:rFonts w:ascii="Calibri" w:hAnsi="Calibri"/>
                <w:b w:val="0"/>
                <w:i w:val="0"/>
                <w:color w:val="212121"/>
                <w:sz w:val="16"/>
              </w:rPr>
              <w:t>Recent fever; occlusive dressings or transdermal patches; sweat-inducing drugs</w:t>
            </w:r>
          </w:p>
        </w:tc>
        <w:tc>
          <w:tcPr>
            <w:tcW w:type="dxa" w:w="950"/>
            <w:vAlign w:val="top"/>
          </w:tcPr>
          <w:p>
            <w:pPr>
              <w:spacing w:after="40" w:before="0" w:line="259" w:lineRule="auto"/>
            </w:pPr>
            <w:r>
              <w:rPr>
                <w:rFonts w:ascii="Calibri" w:hAnsi="Calibri"/>
                <w:b w:val="0"/>
                <w:i w:val="0"/>
                <w:color w:val="212121"/>
                <w:sz w:val="16"/>
              </w:rPr>
              <w:t>No fever or occlusive agents</w:t>
            </w:r>
          </w:p>
        </w:tc>
        <w:tc>
          <w:tcPr>
            <w:tcW w:type="dxa" w:w="950"/>
            <w:vAlign w:val="top"/>
          </w:tcPr>
          <w:p>
            <w:pPr>
              <w:spacing w:after="40" w:before="0" w:line="259" w:lineRule="auto"/>
            </w:pPr>
            <w:r>
              <w:rPr>
                <w:rFonts w:ascii="Calibri" w:hAnsi="Calibri"/>
                <w:b w:val="0"/>
                <w:i w:val="0"/>
                <w:color w:val="212121"/>
                <w:sz w:val="16"/>
              </w:rPr>
              <w:t>Recent febrile illness or occlusion/patch use</w:t>
            </w:r>
          </w:p>
        </w:tc>
        <w:tc>
          <w:tcPr>
            <w:tcW w:type="dxa" w:w="1036"/>
            <w:vAlign w:val="top"/>
          </w:tcPr>
          <w:p>
            <w:pPr>
              <w:spacing w:after="40" w:before="0" w:line="259" w:lineRule="auto"/>
            </w:pPr>
            <w:r>
              <w:rPr>
                <w:rFonts w:ascii="Calibri" w:hAnsi="Calibri"/>
                <w:b w:val="0"/>
                <w:i w:val="0"/>
                <w:color w:val="212121"/>
                <w:sz w:val="16"/>
              </w:rPr>
              <w:t>Identifies fever- and occlusion-related precipitants</w:t>
            </w:r>
          </w:p>
        </w:tc>
        <w:tc>
          <w:tcPr>
            <w:tcW w:type="dxa" w:w="1036"/>
            <w:vAlign w:val="top"/>
          </w:tcPr>
          <w:p>
            <w:pPr>
              <w:spacing w:after="40" w:before="0" w:line="259" w:lineRule="auto"/>
            </w:pPr>
            <w:r>
              <w:rPr>
                <w:rFonts w:ascii="Calibri" w:hAnsi="Calibri"/>
                <w:b w:val="0"/>
                <w:i w:val="0"/>
                <w:color w:val="212121"/>
                <w:sz w:val="16"/>
              </w:rPr>
              <w:t>Febrile, hospitalised, patch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Bethanechol/clonidine/neostigmine can increase sweating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Lesion morphology</w:t>
            </w:r>
          </w:p>
        </w:tc>
        <w:tc>
          <w:tcPr>
            <w:tcW w:type="dxa" w:w="979"/>
            <w:vAlign w:val="top"/>
          </w:tcPr>
          <w:p>
            <w:pPr>
              <w:spacing w:after="40" w:before="0" w:line="259" w:lineRule="auto"/>
            </w:pPr>
            <w:r>
              <w:rPr>
                <w:rFonts w:ascii="Calibri" w:hAnsi="Calibri"/>
                <w:b w:val="0"/>
                <w:i w:val="0"/>
                <w:color w:val="212121"/>
                <w:sz w:val="16"/>
              </w:rPr>
              <w:t>Clear vesicles vs erythematous papules/papulovesicles vs deep firm papules vs pustules</w:t>
            </w:r>
          </w:p>
        </w:tc>
        <w:tc>
          <w:tcPr>
            <w:tcW w:type="dxa" w:w="950"/>
            <w:vAlign w:val="top"/>
          </w:tcPr>
          <w:p>
            <w:pPr>
              <w:spacing w:after="40" w:before="0" w:line="259" w:lineRule="auto"/>
            </w:pPr>
            <w:r>
              <w:rPr>
                <w:rFonts w:ascii="Calibri" w:hAnsi="Calibri"/>
                <w:b w:val="0"/>
                <w:i w:val="0"/>
                <w:color w:val="212121"/>
                <w:sz w:val="16"/>
              </w:rPr>
              <w:t>No eruption</w:t>
            </w:r>
          </w:p>
        </w:tc>
        <w:tc>
          <w:tcPr>
            <w:tcW w:type="dxa" w:w="950"/>
            <w:vAlign w:val="top"/>
          </w:tcPr>
          <w:p>
            <w:pPr>
              <w:spacing w:after="40" w:before="0" w:line="259" w:lineRule="auto"/>
            </w:pPr>
            <w:r>
              <w:rPr>
                <w:rFonts w:ascii="Calibri" w:hAnsi="Calibri"/>
                <w:b w:val="0"/>
                <w:i w:val="0"/>
                <w:color w:val="212121"/>
                <w:sz w:val="16"/>
              </w:rPr>
              <w:t>Type-specific lesions (crystallina/rubra/profunda/pustulosa)</w:t>
            </w:r>
          </w:p>
        </w:tc>
        <w:tc>
          <w:tcPr>
            <w:tcW w:type="dxa" w:w="1036"/>
            <w:vAlign w:val="top"/>
          </w:tcPr>
          <w:p>
            <w:pPr>
              <w:spacing w:after="40" w:before="0" w:line="259" w:lineRule="auto"/>
            </w:pPr>
            <w:r>
              <w:rPr>
                <w:rFonts w:ascii="Calibri" w:hAnsi="Calibri"/>
                <w:b w:val="0"/>
                <w:i w:val="0"/>
                <w:color w:val="212121"/>
                <w:sz w:val="16"/>
              </w:rPr>
              <w:t>Defines the clinical type and guides management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Face is usually spared in rubra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w:t>
            </w:r>
          </w:p>
        </w:tc>
        <w:tc>
          <w:tcPr>
            <w:tcW w:type="dxa" w:w="979"/>
            <w:vAlign w:val="top"/>
          </w:tcPr>
          <w:p>
            <w:pPr>
              <w:spacing w:after="40" w:before="0" w:line="259" w:lineRule="auto"/>
            </w:pPr>
            <w:r>
              <w:rPr>
                <w:rFonts w:ascii="Calibri" w:hAnsi="Calibri"/>
                <w:b w:val="0"/>
                <w:i w:val="0"/>
                <w:color w:val="212121"/>
                <w:sz w:val="16"/>
              </w:rPr>
              <w:t>Covered/occluded, flexural and friction-prone skin (trunk, neck, waistline, back in bedridden)</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Lesions confined to occluded/sweat-prone areas</w:t>
            </w:r>
          </w:p>
        </w:tc>
        <w:tc>
          <w:tcPr>
            <w:tcW w:type="dxa" w:w="1036"/>
            <w:vAlign w:val="top"/>
          </w:tcPr>
          <w:p>
            <w:pPr>
              <w:spacing w:after="40" w:before="0" w:line="259" w:lineRule="auto"/>
            </w:pPr>
            <w:r>
              <w:rPr>
                <w:rFonts w:ascii="Calibri" w:hAnsi="Calibri"/>
                <w:b w:val="0"/>
                <w:i w:val="0"/>
                <w:color w:val="212121"/>
                <w:sz w:val="16"/>
              </w:rPr>
              <w:t>Occlusion-linked distribution supports miliaria</w:t>
            </w:r>
          </w:p>
        </w:tc>
        <w:tc>
          <w:tcPr>
            <w:tcW w:type="dxa" w:w="1036"/>
            <w:vAlign w:val="top"/>
          </w:tcPr>
          <w:p>
            <w:pPr>
              <w:spacing w:after="40" w:before="0" w:line="259" w:lineRule="auto"/>
            </w:pPr>
            <w:r>
              <w:rPr>
                <w:rFonts w:ascii="Calibri" w:hAnsi="Calibri"/>
                <w:b w:val="0"/>
                <w:i w:val="0"/>
                <w:color w:val="212121"/>
                <w:sz w:val="16"/>
              </w:rPr>
              <w:t>Bedridden, clothed/occluded areas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Dependent-area rash in the immobile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Symptom review</w:t>
            </w:r>
          </w:p>
        </w:tc>
        <w:tc>
          <w:tcPr>
            <w:tcW w:type="dxa" w:w="950"/>
            <w:vAlign w:val="top"/>
          </w:tcPr>
          <w:p>
            <w:pPr>
              <w:spacing w:after="40" w:before="0" w:line="259" w:lineRule="auto"/>
            </w:pPr>
            <w:r>
              <w:rPr>
                <w:rFonts w:ascii="Calibri" w:hAnsi="Calibri"/>
                <w:b w:val="0"/>
                <w:i w:val="0"/>
                <w:color w:val="212121"/>
                <w:sz w:val="16"/>
              </w:rPr>
              <w:t>Prickling/itch assessment</w:t>
            </w:r>
          </w:p>
        </w:tc>
        <w:tc>
          <w:tcPr>
            <w:tcW w:type="dxa" w:w="979"/>
            <w:vAlign w:val="top"/>
          </w:tcPr>
          <w:p>
            <w:pPr>
              <w:spacing w:after="40" w:before="0" w:line="259" w:lineRule="auto"/>
            </w:pPr>
            <w:r>
              <w:rPr>
                <w:rFonts w:ascii="Calibri" w:hAnsi="Calibri"/>
                <w:b w:val="0"/>
                <w:i w:val="0"/>
                <w:color w:val="212121"/>
                <w:sz w:val="16"/>
              </w:rPr>
              <w:t>Prickling, stinging and itch worsened by sweating</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Prickling/itch aggravated by heat and sweating</w:t>
            </w:r>
          </w:p>
        </w:tc>
        <w:tc>
          <w:tcPr>
            <w:tcW w:type="dxa" w:w="1036"/>
            <w:vAlign w:val="top"/>
          </w:tcPr>
          <w:p>
            <w:pPr>
              <w:spacing w:after="40" w:before="0" w:line="259" w:lineRule="auto"/>
            </w:pPr>
            <w:r>
              <w:rPr>
                <w:rFonts w:ascii="Calibri" w:hAnsi="Calibri"/>
                <w:b w:val="0"/>
                <w:i w:val="0"/>
                <w:color w:val="212121"/>
                <w:sz w:val="16"/>
              </w:rPr>
              <w:t>Characteristic symptom pattern of miliaria rubra</w:t>
            </w:r>
          </w:p>
        </w:tc>
        <w:tc>
          <w:tcPr>
            <w:tcW w:type="dxa" w:w="1036"/>
            <w:vAlign w:val="top"/>
          </w:tcPr>
          <w:p>
            <w:pPr>
              <w:spacing w:after="40" w:before="0" w:line="259" w:lineRule="auto"/>
            </w:pPr>
            <w:r>
              <w:rPr>
                <w:rFonts w:ascii="Calibri" w:hAnsi="Calibri"/>
                <w:b w:val="0"/>
                <w:i w:val="0"/>
                <w:color w:val="212121"/>
                <w:sz w:val="16"/>
              </w:rPr>
              <w:t>Adults with prickly heat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Crystallina and profunda are often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secondary infection</w:t>
            </w:r>
          </w:p>
        </w:tc>
        <w:tc>
          <w:tcPr>
            <w:tcW w:type="dxa" w:w="979"/>
            <w:vAlign w:val="top"/>
          </w:tcPr>
          <w:p>
            <w:pPr>
              <w:spacing w:after="40" w:before="0" w:line="259" w:lineRule="auto"/>
            </w:pPr>
            <w:r>
              <w:rPr>
                <w:rFonts w:ascii="Calibri" w:hAnsi="Calibri"/>
                <w:b w:val="0"/>
                <w:i w:val="0"/>
                <w:color w:val="212121"/>
                <w:sz w:val="16"/>
              </w:rPr>
              <w:t>Pustules, crusting, tenderness, spreading erythema, regional nodes</w:t>
            </w:r>
          </w:p>
        </w:tc>
        <w:tc>
          <w:tcPr>
            <w:tcW w:type="dxa" w:w="950"/>
            <w:vAlign w:val="top"/>
          </w:tcPr>
          <w:p>
            <w:pPr>
              <w:spacing w:after="40" w:before="0" w:line="259" w:lineRule="auto"/>
            </w:pPr>
            <w:r>
              <w:rPr>
                <w:rFonts w:ascii="Calibri" w:hAnsi="Calibri"/>
                <w:b w:val="0"/>
                <w:i w:val="0"/>
                <w:color w:val="212121"/>
                <w:sz w:val="16"/>
              </w:rPr>
              <w:t>No pustules or tenderness</w:t>
            </w:r>
          </w:p>
        </w:tc>
        <w:tc>
          <w:tcPr>
            <w:tcW w:type="dxa" w:w="950"/>
            <w:vAlign w:val="top"/>
          </w:tcPr>
          <w:p>
            <w:pPr>
              <w:spacing w:after="40" w:before="0" w:line="259" w:lineRule="auto"/>
            </w:pPr>
            <w:r>
              <w:rPr>
                <w:rFonts w:ascii="Calibri" w:hAnsi="Calibri"/>
                <w:b w:val="0"/>
                <w:i w:val="0"/>
                <w:color w:val="212121"/>
                <w:sz w:val="16"/>
              </w:rPr>
              <w:t>Pustular/tender/spreading lesions (periporitis)</w:t>
            </w:r>
          </w:p>
        </w:tc>
        <w:tc>
          <w:tcPr>
            <w:tcW w:type="dxa" w:w="1036"/>
            <w:vAlign w:val="top"/>
          </w:tcPr>
          <w:p>
            <w:pPr>
              <w:spacing w:after="40" w:before="0" w:line="259" w:lineRule="auto"/>
            </w:pPr>
            <w:r>
              <w:rPr>
                <w:rFonts w:ascii="Calibri" w:hAnsi="Calibri"/>
                <w:b w:val="0"/>
                <w:i w:val="0"/>
                <w:color w:val="212121"/>
                <w:sz w:val="16"/>
              </w:rPr>
              <w:t>Detects staphylococcal superinfection needing antibiotics</w:t>
            </w:r>
          </w:p>
        </w:tc>
        <w:tc>
          <w:tcPr>
            <w:tcW w:type="dxa" w:w="1036"/>
            <w:vAlign w:val="top"/>
          </w:tcPr>
          <w:p>
            <w:pPr>
              <w:spacing w:after="40" w:before="0" w:line="259" w:lineRule="auto"/>
            </w:pPr>
            <w:r>
              <w:rPr>
                <w:rFonts w:ascii="Calibri" w:hAnsi="Calibri"/>
                <w:b w:val="0"/>
                <w:i w:val="0"/>
                <w:color w:val="212121"/>
                <w:sz w:val="16"/>
              </w:rPr>
              <w:t>Pustulosa, neonates, poor hygiene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Watch for abscess formation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Sweating / anhidrosis check</w:t>
            </w:r>
          </w:p>
        </w:tc>
        <w:tc>
          <w:tcPr>
            <w:tcW w:type="dxa" w:w="979"/>
            <w:vAlign w:val="top"/>
          </w:tcPr>
          <w:p>
            <w:pPr>
              <w:spacing w:after="40" w:before="0" w:line="259" w:lineRule="auto"/>
            </w:pPr>
            <w:r>
              <w:rPr>
                <w:rFonts w:ascii="Calibri" w:hAnsi="Calibri"/>
                <w:b w:val="0"/>
                <w:i w:val="0"/>
                <w:color w:val="212121"/>
                <w:sz w:val="16"/>
              </w:rPr>
              <w:t>Reduced sweating over affected area; heat intolerance</w:t>
            </w:r>
          </w:p>
        </w:tc>
        <w:tc>
          <w:tcPr>
            <w:tcW w:type="dxa" w:w="950"/>
            <w:vAlign w:val="top"/>
          </w:tcPr>
          <w:p>
            <w:pPr>
              <w:spacing w:after="40" w:before="0" w:line="259" w:lineRule="auto"/>
            </w:pPr>
            <w:r>
              <w:rPr>
                <w:rFonts w:ascii="Calibri" w:hAnsi="Calibri"/>
                <w:b w:val="0"/>
                <w:i w:val="0"/>
                <w:color w:val="212121"/>
                <w:sz w:val="16"/>
              </w:rPr>
              <w:t>Normal sweating</w:t>
            </w:r>
          </w:p>
        </w:tc>
        <w:tc>
          <w:tcPr>
            <w:tcW w:type="dxa" w:w="950"/>
            <w:vAlign w:val="top"/>
          </w:tcPr>
          <w:p>
            <w:pPr>
              <w:spacing w:after="40" w:before="0" w:line="259" w:lineRule="auto"/>
            </w:pPr>
            <w:r>
              <w:rPr>
                <w:rFonts w:ascii="Calibri" w:hAnsi="Calibri"/>
                <w:b w:val="0"/>
                <w:i w:val="0"/>
                <w:color w:val="212121"/>
                <w:sz w:val="16"/>
              </w:rPr>
              <w:t>Localised anhidrosis with compensatory hyperhidrosis elsewhere</w:t>
            </w:r>
          </w:p>
        </w:tc>
        <w:tc>
          <w:tcPr>
            <w:tcW w:type="dxa" w:w="1036"/>
            <w:vAlign w:val="top"/>
          </w:tcPr>
          <w:p>
            <w:pPr>
              <w:spacing w:after="40" w:before="0" w:line="259" w:lineRule="auto"/>
            </w:pPr>
            <w:r>
              <w:rPr>
                <w:rFonts w:ascii="Calibri" w:hAnsi="Calibri"/>
                <w:b w:val="0"/>
                <w:i w:val="0"/>
                <w:color w:val="212121"/>
                <w:sz w:val="16"/>
              </w:rPr>
              <w:t>Extensive profunda can impair thermoregulation and risk heat exhaustion</w:t>
            </w:r>
          </w:p>
        </w:tc>
        <w:tc>
          <w:tcPr>
            <w:tcW w:type="dxa" w:w="1036"/>
            <w:vAlign w:val="top"/>
          </w:tcPr>
          <w:p>
            <w:pPr>
              <w:spacing w:after="40" w:before="0" w:line="259" w:lineRule="auto"/>
            </w:pPr>
            <w:r>
              <w:rPr>
                <w:rFonts w:ascii="Calibri" w:hAnsi="Calibri"/>
                <w:b w:val="0"/>
                <w:i w:val="0"/>
                <w:color w:val="212121"/>
                <w:sz w:val="16"/>
              </w:rPr>
              <w:t>Widespread/recurrent profunda, heat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Advise heat precautions if extensive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Prickling / stinging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'prickly' heat sensation over affected skin, characteristically triggered or worsened by sweating (miliaria rubra).</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intense itch over the rash, aggravated by heat, exertion and sweating.</w:t>
            </w:r>
          </w:p>
        </w:tc>
      </w:tr>
      <w:tr>
        <w:trPr>
          <w:cantSplit/>
        </w:trPr>
        <w:tc>
          <w:tcPr>
            <w:tcW w:type="dxa" w:w="2304"/>
            <w:vAlign w:val="top"/>
          </w:tcPr>
          <w:p>
            <w:pPr>
              <w:spacing w:after="40" w:before="0" w:line="259" w:lineRule="auto"/>
            </w:pPr>
            <w:r>
              <w:rPr>
                <w:rFonts w:ascii="Calibri" w:hAnsi="Calibri"/>
                <w:b/>
                <w:i w:val="0"/>
                <w:color w:val="212121"/>
                <w:sz w:val="19"/>
              </w:rPr>
              <w:t>Small clear fluid-filled blisters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Tiny 1 to 2 mm clear, superficial 'dewdrop' vesicles that rupture easily, with no surrounding redness (miliaria crystallina).</w:t>
            </w:r>
          </w:p>
        </w:tc>
      </w:tr>
      <w:tr>
        <w:trPr>
          <w:cantSplit/>
        </w:trPr>
        <w:tc>
          <w:tcPr>
            <w:tcW w:type="dxa" w:w="2304"/>
            <w:vAlign w:val="top"/>
          </w:tcPr>
          <w:p>
            <w:pPr>
              <w:spacing w:after="40" w:before="0" w:line="259" w:lineRule="auto"/>
            </w:pPr>
            <w:r>
              <w:rPr>
                <w:rFonts w:ascii="Calibri" w:hAnsi="Calibri"/>
                <w:b/>
                <w:i w:val="0"/>
                <w:color w:val="212121"/>
                <w:sz w:val="19"/>
              </w:rPr>
              <w:t>Red bumps / small red spots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Crops of erythematous papules and papulovesicles over covered, sweat-prone skin (miliaria rubra).</w:t>
            </w:r>
          </w:p>
        </w:tc>
      </w:tr>
      <w:tr>
        <w:trPr>
          <w:cantSplit/>
        </w:trPr>
        <w:tc>
          <w:tcPr>
            <w:tcW w:type="dxa" w:w="2304"/>
            <w:vAlign w:val="top"/>
          </w:tcPr>
          <w:p>
            <w:pPr>
              <w:spacing w:after="40" w:before="0" w:line="259" w:lineRule="auto"/>
            </w:pPr>
            <w:r>
              <w:rPr>
                <w:rFonts w:ascii="Calibri" w:hAnsi="Calibri"/>
                <w:b/>
                <w:i w:val="0"/>
                <w:color w:val="212121"/>
                <w:sz w:val="19"/>
              </w:rPr>
              <w:t>Rash over covered/occluded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Eruption concentrated on the trunk, neck folds, waistline and other clothed or friction-prone areas, sparing the face.</w:t>
            </w:r>
          </w:p>
        </w:tc>
      </w:tr>
      <w:tr>
        <w:trPr>
          <w:cantSplit/>
        </w:trPr>
        <w:tc>
          <w:tcPr>
            <w:tcW w:type="dxa" w:w="2304"/>
            <w:vAlign w:val="top"/>
          </w:tcPr>
          <w:p>
            <w:pPr>
              <w:spacing w:after="40" w:before="0" w:line="259" w:lineRule="auto"/>
            </w:pPr>
            <w:r>
              <w:rPr>
                <w:rFonts w:ascii="Calibri" w:hAnsi="Calibri"/>
                <w:b/>
                <w:i w:val="0"/>
                <w:color w:val="212121"/>
                <w:sz w:val="19"/>
              </w:rPr>
              <w:t>Worsening with heat, exertion and 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flare in hot, humid conditions and settle rapidly on cooling.</w:t>
            </w:r>
          </w:p>
        </w:tc>
      </w:tr>
      <w:tr>
        <w:trPr>
          <w:cantSplit/>
        </w:trPr>
        <w:tc>
          <w:tcPr>
            <w:tcW w:type="dxa" w:w="2304"/>
            <w:vAlign w:val="top"/>
          </w:tcPr>
          <w:p>
            <w:pPr>
              <w:spacing w:after="40" w:before="0" w:line="259" w:lineRule="auto"/>
            </w:pPr>
            <w:r>
              <w:rPr>
                <w:rFonts w:ascii="Calibri" w:hAnsi="Calibri"/>
                <w:b/>
                <w:i w:val="0"/>
                <w:color w:val="212121"/>
                <w:sz w:val="19"/>
              </w:rPr>
              <w:t>Burning / discomfort of the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warm, burning discomfort over affected areas, especially with continued perspiration.</w:t>
            </w:r>
          </w:p>
        </w:tc>
      </w:tr>
      <w:tr>
        <w:trPr>
          <w:cantSplit/>
        </w:trPr>
        <w:tc>
          <w:tcPr>
            <w:tcW w:type="dxa" w:w="2304"/>
            <w:vAlign w:val="top"/>
          </w:tcPr>
          <w:p>
            <w:pPr>
              <w:spacing w:after="40" w:before="0" w:line="259" w:lineRule="auto"/>
            </w:pPr>
            <w:r>
              <w:rPr>
                <w:rFonts w:ascii="Calibri" w:hAnsi="Calibri"/>
                <w:b/>
                <w:i w:val="0"/>
                <w:color w:val="212121"/>
                <w:sz w:val="19"/>
              </w:rPr>
              <w:t>Sleep disturbance and irritability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Itch and prickling disturb sleep and cause restlessness and irritability, particularly in infants.</w:t>
            </w:r>
          </w:p>
        </w:tc>
      </w:tr>
      <w:tr>
        <w:trPr>
          <w:cantSplit/>
        </w:trPr>
        <w:tc>
          <w:tcPr>
            <w:tcW w:type="dxa" w:w="2304"/>
            <w:vAlign w:val="top"/>
          </w:tcPr>
          <w:p>
            <w:pPr>
              <w:spacing w:after="40" w:before="0" w:line="259" w:lineRule="auto"/>
            </w:pPr>
            <w:r>
              <w:rPr>
                <w:rFonts w:ascii="Calibri" w:hAnsi="Calibri"/>
                <w:b/>
                <w:i w:val="0"/>
                <w:color w:val="212121"/>
                <w:sz w:val="19"/>
              </w:rPr>
              <w:t>Pustules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Pinhead pustules developing on a background of red papules indicate secondary bacterial infection (miliaria pustulosa).</w:t>
            </w:r>
          </w:p>
        </w:tc>
      </w:tr>
      <w:tr>
        <w:trPr>
          <w:cantSplit/>
        </w:trPr>
        <w:tc>
          <w:tcPr>
            <w:tcW w:type="dxa" w:w="2304"/>
            <w:vAlign w:val="top"/>
          </w:tcPr>
          <w:p>
            <w:pPr>
              <w:spacing w:after="40" w:before="0" w:line="259" w:lineRule="auto"/>
            </w:pPr>
            <w:r>
              <w:rPr>
                <w:rFonts w:ascii="Calibri" w:hAnsi="Calibri"/>
                <w:b/>
                <w:i w:val="0"/>
                <w:color w:val="212121"/>
                <w:sz w:val="19"/>
              </w:rPr>
              <w:t>Firm, flesh-coloured deep bumps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Larger, firm, skin-coloured papules appearing within minutes of sweating, often asymptomatic (miliaria profunda).</w:t>
            </w:r>
          </w:p>
        </w:tc>
      </w:tr>
      <w:tr>
        <w:trPr>
          <w:cantSplit/>
        </w:trPr>
        <w:tc>
          <w:tcPr>
            <w:tcW w:type="dxa" w:w="2304"/>
            <w:vAlign w:val="top"/>
          </w:tcPr>
          <w:p>
            <w:pPr>
              <w:spacing w:after="40" w:before="0" w:line="259" w:lineRule="auto"/>
            </w:pPr>
            <w:r>
              <w:rPr>
                <w:rFonts w:ascii="Calibri" w:hAnsi="Calibri"/>
                <w:b/>
                <w:i w:val="0"/>
                <w:color w:val="212121"/>
                <w:sz w:val="19"/>
              </w:rPr>
              <w:t>Pain / tenderness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Tenderness suggests secondary infection or deeper (profunda) involvement.</w:t>
            </w:r>
          </w:p>
        </w:tc>
      </w:tr>
      <w:tr>
        <w:trPr>
          <w:cantSplit/>
        </w:trPr>
        <w:tc>
          <w:tcPr>
            <w:tcW w:type="dxa" w:w="2304"/>
            <w:vAlign w:val="top"/>
          </w:tcPr>
          <w:p>
            <w:pPr>
              <w:spacing w:after="40" w:before="0" w:line="259" w:lineRule="auto"/>
            </w:pPr>
            <w:r>
              <w:rPr>
                <w:rFonts w:ascii="Calibri" w:hAnsi="Calibri"/>
                <w:b/>
                <w:i w:val="0"/>
                <w:color w:val="212121"/>
                <w:sz w:val="19"/>
              </w:rPr>
              <w:t>Reduced sweating / feeling overheated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Widespread profunda can impair sweating over large areas, causing heat intolerance and, if extensive, features of heat exhaustion.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Crops of clear superficial vesicles ('dewdrops')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1 to 2 mm thin-walled, non-inflammatory vesicles that rupture easily on the head, neck and upper trunk - miliaria crystallina.</w:t>
            </w:r>
          </w:p>
        </w:tc>
      </w:tr>
      <w:tr>
        <w:trPr>
          <w:cantSplit/>
        </w:trPr>
        <w:tc>
          <w:tcPr>
            <w:tcW w:type="dxa" w:w="3456"/>
            <w:vAlign w:val="top"/>
          </w:tcPr>
          <w:p>
            <w:pPr>
              <w:spacing w:after="40" w:before="0" w:line="259" w:lineRule="auto"/>
            </w:pPr>
            <w:r>
              <w:rPr>
                <w:rFonts w:ascii="Calibri" w:hAnsi="Calibri"/>
                <w:b/>
                <w:i w:val="0"/>
                <w:color w:val="212121"/>
                <w:sz w:val="19"/>
              </w:rPr>
              <w:t>Erythematous non-follicular papules/papulovesicles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2 to 4 mm red papules and papulovesicles, not centred on hair follicles - the hallmark of miliaria rubra.</w:t>
            </w:r>
          </w:p>
        </w:tc>
      </w:tr>
      <w:tr>
        <w:trPr>
          <w:cantSplit/>
        </w:trPr>
        <w:tc>
          <w:tcPr>
            <w:tcW w:type="dxa" w:w="3456"/>
            <w:vAlign w:val="top"/>
          </w:tcPr>
          <w:p>
            <w:pPr>
              <w:spacing w:after="40" w:before="0" w:line="259" w:lineRule="auto"/>
            </w:pPr>
            <w:r>
              <w:rPr>
                <w:rFonts w:ascii="Calibri" w:hAnsi="Calibri"/>
                <w:b/>
                <w:i w:val="0"/>
                <w:color w:val="212121"/>
                <w:sz w:val="19"/>
              </w:rPr>
              <w:t>Distribution over covered/occluded skin, face spared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Lesions localise to clothed, flexural and friction-prone areas; sparing of the face helps distinguish from other eruptions.</w:t>
            </w:r>
          </w:p>
        </w:tc>
      </w:tr>
      <w:tr>
        <w:trPr>
          <w:cantSplit/>
        </w:trPr>
        <w:tc>
          <w:tcPr>
            <w:tcW w:type="dxa" w:w="3456"/>
            <w:vAlign w:val="top"/>
          </w:tcPr>
          <w:p>
            <w:pPr>
              <w:spacing w:after="40" w:before="0" w:line="259" w:lineRule="auto"/>
            </w:pPr>
            <w:r>
              <w:rPr>
                <w:rFonts w:ascii="Calibri" w:hAnsi="Calibri"/>
                <w:b/>
                <w:i w:val="0"/>
                <w:color w:val="212121"/>
                <w:sz w:val="19"/>
              </w:rPr>
              <w:t>Lesions confined to sweat-trapped areas in the immobile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bedridden patients the rash follows dependent/occluded areas such as the back and occiput.</w:t>
            </w:r>
          </w:p>
        </w:tc>
      </w:tr>
      <w:tr>
        <w:trPr>
          <w:cantSplit/>
        </w:trPr>
        <w:tc>
          <w:tcPr>
            <w:tcW w:type="dxa" w:w="3456"/>
            <w:vAlign w:val="top"/>
          </w:tcPr>
          <w:p>
            <w:pPr>
              <w:spacing w:after="40" w:before="0" w:line="259" w:lineRule="auto"/>
            </w:pPr>
            <w:r>
              <w:rPr>
                <w:rFonts w:ascii="Calibri" w:hAnsi="Calibri"/>
                <w:b/>
                <w:i w:val="0"/>
                <w:color w:val="212121"/>
                <w:sz w:val="19"/>
              </w:rPr>
              <w:t>Rapid resolution on cooling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Lesions and symptoms subside within a day or two once the patient moves to a cooler, non-occlusive environment.</w:t>
            </w:r>
          </w:p>
        </w:tc>
      </w:tr>
      <w:tr>
        <w:trPr>
          <w:cantSplit/>
        </w:trPr>
        <w:tc>
          <w:tcPr>
            <w:tcW w:type="dxa" w:w="3456"/>
            <w:vAlign w:val="top"/>
          </w:tcPr>
          <w:p>
            <w:pPr>
              <w:spacing w:after="40" w:before="0" w:line="259" w:lineRule="auto"/>
            </w:pPr>
            <w:r>
              <w:rPr>
                <w:rFonts w:ascii="Calibri" w:hAnsi="Calibri"/>
                <w:b/>
                <w:i w:val="0"/>
                <w:color w:val="212121"/>
                <w:sz w:val="19"/>
              </w:rPr>
              <w:t>Pustules on an erythematous base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Superimposed pustules indicate secondary staphylococcal infection - miliaria pustulosa.</w:t>
            </w:r>
          </w:p>
        </w:tc>
      </w:tr>
      <w:tr>
        <w:trPr>
          <w:cantSplit/>
        </w:trPr>
        <w:tc>
          <w:tcPr>
            <w:tcW w:type="dxa" w:w="3456"/>
            <w:vAlign w:val="top"/>
          </w:tcPr>
          <w:p>
            <w:pPr>
              <w:spacing w:after="40" w:before="0" w:line="259" w:lineRule="auto"/>
            </w:pPr>
            <w:r>
              <w:rPr>
                <w:rFonts w:ascii="Calibri" w:hAnsi="Calibri"/>
                <w:b/>
                <w:i w:val="0"/>
                <w:color w:val="212121"/>
                <w:sz w:val="19"/>
              </w:rPr>
              <w:t>Firm flesh-coloured deep papules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1 to 3 mm firm, skin-coloured papules on the trunk/extremities appearing rapidly with sweating - miliaria profunda.</w:t>
            </w:r>
          </w:p>
        </w:tc>
      </w:tr>
      <w:tr>
        <w:trPr>
          <w:cantSplit/>
        </w:trPr>
        <w:tc>
          <w:tcPr>
            <w:tcW w:type="dxa" w:w="3456"/>
            <w:vAlign w:val="top"/>
          </w:tcPr>
          <w:p>
            <w:pPr>
              <w:spacing w:after="40" w:before="0" w:line="259" w:lineRule="auto"/>
            </w:pPr>
            <w:r>
              <w:rPr>
                <w:rFonts w:ascii="Calibri" w:hAnsi="Calibri"/>
                <w:b/>
                <w:i w:val="0"/>
                <w:color w:val="212121"/>
                <w:sz w:val="19"/>
              </w:rPr>
              <w:t>Localised anhidrosis with compensatory hyperhidrosis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sweating over affected areas with increased sweating elsewhere, seen in extensive profunda.</w:t>
            </w:r>
          </w:p>
        </w:tc>
      </w:tr>
      <w:tr>
        <w:trPr>
          <w:cantSplit/>
        </w:trPr>
        <w:tc>
          <w:tcPr>
            <w:tcW w:type="dxa" w:w="3456"/>
            <w:vAlign w:val="top"/>
          </w:tcPr>
          <w:p>
            <w:pPr>
              <w:spacing w:after="40" w:before="0" w:line="259" w:lineRule="auto"/>
            </w:pPr>
            <w:r>
              <w:rPr>
                <w:rFonts w:ascii="Calibri" w:hAnsi="Calibri"/>
                <w:b/>
                <w:i w:val="0"/>
                <w:color w:val="212121"/>
                <w:sz w:val="19"/>
              </w:rPr>
              <w:t>Signs of periporitis / abscess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Tender inflammatory nodules or multiple small abscesses (periporitis staphylogenes), particularly in neonates.</w:t>
            </w:r>
          </w:p>
        </w:tc>
      </w:tr>
      <w:tr>
        <w:trPr>
          <w:cantSplit/>
        </w:trPr>
        <w:tc>
          <w:tcPr>
            <w:tcW w:type="dxa" w:w="3456"/>
            <w:vAlign w:val="top"/>
          </w:tcPr>
          <w:p>
            <w:pPr>
              <w:spacing w:after="40" w:before="0" w:line="259" w:lineRule="auto"/>
            </w:pPr>
            <w:r>
              <w:rPr>
                <w:rFonts w:ascii="Calibri" w:hAnsi="Calibri"/>
                <w:b/>
                <w:i w:val="0"/>
                <w:color w:val="212121"/>
                <w:sz w:val="19"/>
              </w:rPr>
              <w:t>Non-follicular vesicles with peripheral halo on dermoscopy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Dermoscopy shows non-follicular vesicles/papules with a white peripheral halo, supporting miliaria over folliculitis.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Intense pruritus, prickling and burning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Superficial vesiculation and inflammatory papules over occluded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irritability (marked in infants)</w:t>
            </w:r>
          </w:p>
        </w:tc>
        <w:tc>
          <w:tcPr>
            <w:tcW w:type="dxa" w:w="2980"/>
            <w:vAlign w:val="top"/>
          </w:tcPr>
          <w:p>
            <w:pPr>
              <w:spacing w:after="40" w:before="0" w:line="259" w:lineRule="auto"/>
            </w:pPr>
            <w:r>
              <w:rPr>
                <w:rFonts w:ascii="Calibri" w:hAnsi="Calibri"/>
                <w:b w:val="0"/>
                <w:i w:val="0"/>
                <w:color w:val="212121"/>
                <w:sz w:val="19"/>
              </w:rPr>
              <w:t>Direct, benign and usually reversible consequences of retained sweat; most resolve within a day or two on cooling.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 miliaria pustulosa and impetiginisation (usually Staphylococcus aureus)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Periporitis staphylogenes with multiple abscesses, especially in neonates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Eczematisation and excoriation from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miliaria profunda after recurrent miliaria rubra</w:t>
            </w:r>
          </w:p>
        </w:tc>
        <w:tc>
          <w:tcPr>
            <w:tcW w:type="dxa" w:w="2980"/>
            <w:vAlign w:val="top"/>
          </w:tcPr>
          <w:p>
            <w:pPr>
              <w:spacing w:after="40" w:before="0" w:line="259" w:lineRule="auto"/>
            </w:pPr>
            <w:r>
              <w:rPr>
                <w:rFonts w:ascii="Calibri" w:hAnsi="Calibri"/>
                <w:b w:val="0"/>
                <w:i w:val="0"/>
                <w:color w:val="212121"/>
                <w:sz w:val="19"/>
              </w:rPr>
              <w:t>Downstream infective and inflammatory consequences favoured by warmth, moisture, occlusion and poor hygiene.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Anhidrosis and impaired thermoregulation from extensive/recurrent profunda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 exhaustion or heat stroke ('tropical anhidrotic asthenia') in heat-exposed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treatment-resistant miliaria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sepsis from severe secondary infection (rare, mainly debilitated neonates)</w:t>
            </w:r>
          </w:p>
        </w:tc>
        <w:tc>
          <w:tcPr>
            <w:tcW w:type="dxa" w:w="2980"/>
            <w:vAlign w:val="top"/>
          </w:tcPr>
          <w:p>
            <w:pPr>
              <w:spacing w:after="40" w:before="0" w:line="259" w:lineRule="auto"/>
            </w:pPr>
            <w:r>
              <w:rPr>
                <w:rFonts w:ascii="Calibri" w:hAnsi="Calibri"/>
                <w:b w:val="0"/>
                <w:i w:val="0"/>
                <w:color w:val="212121"/>
                <w:sz w:val="19"/>
              </w:rPr>
              <w:t>Uncommon, serious outcomes of extensive anhidrosis or severe superinfection; ordinary miliaria heals without scarring.</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Febrile illness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Fever increases sweating and, with warm bedding and clothing, precipitates miliaria (often crystallina).</w:t>
            </w:r>
          </w:p>
        </w:tc>
      </w:tr>
      <w:tr>
        <w:trPr>
          <w:cantSplit/>
        </w:trPr>
        <w:tc>
          <w:tcPr>
            <w:tcW w:type="dxa" w:w="2232"/>
            <w:vAlign w:val="top"/>
          </w:tcPr>
          <w:p>
            <w:pPr>
              <w:spacing w:after="40" w:before="0" w:line="259" w:lineRule="auto"/>
            </w:pPr>
            <w:r>
              <w:rPr>
                <w:rFonts w:ascii="Calibri" w:hAnsi="Calibri"/>
                <w:b/>
                <w:i w:val="0"/>
                <w:color w:val="212121"/>
                <w:sz w:val="19"/>
              </w:rPr>
              <w:t>Secondary bacterial skin infection (Staphylococcus aureus)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Superinfection produces miliaria pustulosa, impetigo and, when severe, periporitis with abscesses.</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Excessive sweating overloads the eccrine ducts, predisposing to duct blockage and miliaria.</w:t>
            </w:r>
          </w:p>
        </w:tc>
      </w:tr>
      <w:tr>
        <w:trPr>
          <w:cantSplit/>
        </w:trPr>
        <w:tc>
          <w:tcPr>
            <w:tcW w:type="dxa" w:w="2232"/>
            <w:vAlign w:val="top"/>
          </w:tcPr>
          <w:p>
            <w:pPr>
              <w:spacing w:after="40" w:before="0" w:line="259" w:lineRule="auto"/>
            </w:pPr>
            <w:r>
              <w:rPr>
                <w:rFonts w:ascii="Calibri" w:hAnsi="Calibri"/>
                <w:b/>
                <w:i w:val="0"/>
                <w:color w:val="212121"/>
                <w:sz w:val="19"/>
              </w:rPr>
              <w:t>Obesity / overweight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heat retention and deep, moist, occluded skin folds trap sweat and favour miliaria.</w:t>
            </w:r>
          </w:p>
        </w:tc>
      </w:tr>
      <w:tr>
        <w:trPr>
          <w:cantSplit/>
        </w:trPr>
        <w:tc>
          <w:tcPr>
            <w:tcW w:type="dxa" w:w="2232"/>
            <w:vAlign w:val="top"/>
          </w:tcPr>
          <w:p>
            <w:pPr>
              <w:spacing w:after="40" w:before="0" w:line="259" w:lineRule="auto"/>
            </w:pPr>
            <w:r>
              <w:rPr>
                <w:rFonts w:ascii="Calibri" w:hAnsi="Calibri"/>
                <w:b/>
                <w:i w:val="0"/>
                <w:color w:val="212121"/>
                <w:sz w:val="19"/>
              </w:rPr>
              <w:t>Intertrigo / candidal intertrigo</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Co-exists in warm, moist, occluded flexures; may need to be distinguished and treated together.</w:t>
            </w:r>
          </w:p>
        </w:tc>
      </w:tr>
      <w:tr>
        <w:trPr>
          <w:cantSplit/>
        </w:trPr>
        <w:tc>
          <w:tcPr>
            <w:tcW w:type="dxa" w:w="2232"/>
            <w:vAlign w:val="top"/>
          </w:tcPr>
          <w:p>
            <w:pPr>
              <w:spacing w:after="40" w:before="0" w:line="259" w:lineRule="auto"/>
            </w:pPr>
            <w:r>
              <w:rPr>
                <w:rFonts w:ascii="Calibri" w:hAnsi="Calibri"/>
                <w:b/>
                <w:i w:val="0"/>
                <w:color w:val="212121"/>
                <w:sz w:val="19"/>
              </w:rPr>
              <w:t>Immobility / critical illness (bedridden, ICU)</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Prolonged occlusion on non-porous surfaces with fever retains sweat over dependent areas.</w:t>
            </w:r>
          </w:p>
        </w:tc>
      </w:tr>
      <w:tr>
        <w:trPr>
          <w:cantSplit/>
        </w:trPr>
        <w:tc>
          <w:tcPr>
            <w:tcW w:type="dxa" w:w="2232"/>
            <w:vAlign w:val="top"/>
          </w:tcPr>
          <w:p>
            <w:pPr>
              <w:spacing w:after="40" w:before="0" w:line="259" w:lineRule="auto"/>
            </w:pPr>
            <w:r>
              <w:rPr>
                <w:rFonts w:ascii="Calibri" w:hAnsi="Calibri"/>
                <w:b/>
                <w:i w:val="0"/>
                <w:color w:val="212121"/>
                <w:sz w:val="19"/>
              </w:rPr>
              <w:t>Type I pseudohypoaldosteronism / Morvan syndrome (rare)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Inherited disorders of eccrine/sweat sodium handling associated with recurrent miliaria-like eruptions.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in cool, well-ventilated or air-conditioned spaces during peak heat and avoid unnecessary heat and humidity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lightweight, breathable cotton clothing and avoid tight, layered or synthetic non-breathable fabrics.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Bathe or shower and change out of sweat-soaked clothes promptly; keep the skin clean, cool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thick, occlusive creams, ointments and unnecessary occlusive dressings or patches over sweat-prone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avoid over-wrapping and heavy swaddling in hot weather and keep the nursery cool and 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miliaria is usually benign and self-limiting and settles within a day or two once the skin is cooled.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neonates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Outdoor/heat-exposed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Bedridden/hospitalised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 onset, move to a cooler environment, remove occlusive clothing and allow the skin to cool and dry - the single most effective measure.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calamine lotion or bland antipruritic/cooling preparations to relieve itching and prickling.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symptomatic miliaria rubra, a short course of low-to-mid-potency topical corticosteroid (e.g., 0.1% triamcinolone) may be used briefly.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miliaria pustulosa or secondary infection, use topical antibiotics (e.g., clindamycin) and seek care if lesions spread or the patient is febrile.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attention for extensive rash with reduced sweating and heat intolerance, or for unwell neonates with pustules/abscesses.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miliaria rubra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Miliaria pustulosa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with periporitis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strenuous work and exercise for the cooler parts of the day and take regular breaks in the shade or a cool area.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change immediately after heavy sweating rather than staying in wet, occlusive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ventilation and periodic removal of occlusive sports or occupational protective gear.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gradual acclimatisation (about 10 to 14 days) when starting heavy activity in a hot, humid climate.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fluid and electrolyte intake to support thermoregulation during exertion.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&amp; heat-exposed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Soldiers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Non-acclimatised newcomers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with water and oral fluids/electrolytes during hot weather to support normal thermoregulation.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excessive very hot beverages and highly spiced foods that can transiently increase sweating in already hot conditions.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light, cooling meals and regular fluids rather than large hot meals during heatwaves.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in summer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at risk of heat stress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in a cool, well-ventilated room using a fan, cooler or air-conditioning during hot nights.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light cotton bedding and clothing and avoid heavy blankets and plastic/rubber mattress covers.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dress lightly and avoid over-bundling at night to prevent nocturnal sweating and rash.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 risk during summer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Bedridden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direct link between smoking and prickly heat; avoiding smoking is advised for general skin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Focus preventive effort on heat, humidity, clothing and hygiene, which are the dominant modifiable factors.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during hot weather, as it causes cutaneous vasodilation and sweating and impairs thermoregulation.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drinking with heat exposure or strenuous activity, which increases heat-illness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that miliaria is benign and self-limiting to reduce anxiety about the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Relieve itch and prickling with cooling and antipruritic measures to protect sleep and reduce irritability.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disturbance and, in infants, soothe restlessness by keeping the child cool and comfortable.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itch-related sleep disturbance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037857/" TargetMode="External"/><Relationship Id="rId10" Type="http://schemas.openxmlformats.org/officeDocument/2006/relationships/hyperlink" Target="https://www.ncbi.nlm.nih.gov/books/NBK537176/" TargetMode="External"/><Relationship Id="rId11" Type="http://schemas.openxmlformats.org/officeDocument/2006/relationships/hyperlink" Target="https://dermnetnz.org/topics/miliaria" TargetMode="External"/><Relationship Id="rId12" Type="http://schemas.openxmlformats.org/officeDocument/2006/relationships/hyperlink" Target="https://pubmed.ncbi.nlm.nih.gov/38186839/" TargetMode="External"/><Relationship Id="rId13" Type="http://schemas.openxmlformats.org/officeDocument/2006/relationships/hyperlink" Target="https://pubmed.ncbi.nlm.nih.gov/30983610/" TargetMode="External"/><Relationship Id="rId14" Type="http://schemas.openxmlformats.org/officeDocument/2006/relationships/hyperlink" Target="https://www.merckmanuals.com/professional/dermatologic-disorders/sweating-disorders/mili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