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Ingrown Toenail</w:t>
      </w:r>
    </w:p>
    <w:p>
      <w:pPr>
        <w:spacing w:before="0" w:after="160"/>
      </w:pPr>
      <w:r>
        <w:rPr>
          <w:rFonts w:ascii="Calibri" w:hAnsi="Calibri"/>
          <w:b/>
          <w:i w:val="0"/>
          <w:color w:val="212121"/>
          <w:sz w:val="22"/>
        </w:rPr>
        <w:t xml:space="preserve">AKA </w:t>
      </w:r>
      <w:r>
        <w:rPr>
          <w:rFonts w:ascii="Calibri" w:hAnsi="Calibri"/>
          <w:b w:val="0"/>
          <w:i w:val="0"/>
          <w:color w:val="212121"/>
          <w:sz w:val="22"/>
        </w:rPr>
        <w:t>i.e., Onychocryptosis, Unguis incarnatus, Embedded toenail, “nail biting into the skin”; related deformity: pincer nail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 ingrown toenail (onychocryptosis) is a common, painful disorder of the toenail unit in which the lateral or medial edge of the nail plate grows into, or is driven into, the adjacent nail fold (periungual soft tissue), where it behaves as a foreign body. The embedded nail spicule triggers inflammation, oedema and pain and is frequently complicated by secondary bacterial infection (paronychia/abscess) and, in later stages, exuberant granulation tissue (“proud flesh”) with hypertrophy of the nail wall. It affects the great toe (hallux) almost exclusively, most often the lateral fold, and ranges from a mild inflammatory nuisance to a limb-threatening portal of infection in people with diabetes or peripheral vascular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Onychocryptosis is among the commonest nail-unit disorders seen in Indian dermatology and podiatry practice, chiefly affecting adolescents and young adults. General-population prevalence is estimated at roughly 2.5–5%, with a characteristic biphasic age pattern (peaks in the second and fifth decades) and an approximately 2:1 male predominance in the young; the great toe is affected almost exclusively, the lateral fold about twice as often as the medial. India's hot, humid climate (which promotes sweaty, macerated feet), rising overweight/obesity, widespread ill-fitting or shared footwear, and the country's very large diabetic population—in whom ingrown nails affect about 13.6% and act as a portal for limb-threatening foot infection—make it an important, under-recognised primary-care problem.</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Onychocryptosis is a clinical diagnosis based on the appearance of the affected nail fold; targeted bedside and laboratory tests confirm secondary infection, exclude mimics and screen for predisposing systemic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inspection: pain, erythema and swelling of the lateral (or medial) nail fold of the great toe, with a nail spicule embedded in the soft tissue; the free nail edge is tender to pressure.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Staging: grade severity by the Heifetz system — Stage 1 (inflammatory: erythema, oedema, pain, no discharge), Stage 2 (abscess/infection with seropurulent drainage and ulceration), Stage 3 (chronic infection with granulation tissue and nail-fold hypertrophy) — or the Mozena four-grade modification.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Probe/elevation test: gentle lifting of the offending lateral nail edge exposes the embedded spicule and distinguishes true ingrowing from simple paronychia.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Wound swab with Gram stain and culture/sensitivity when there is purulent discharge, spreading redness, malodour or recurrent infection, to guide antibiotic choice.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KOH microscopy and fungal culture of nail clippings if the nail is thickened, discoloured or dystrophic, to confirm coexisting onychomycosis (a recognised associate of ingrown nails).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Radiograph of the toe for chronic, recurrent or treatment-resistant lesions to exclude a subungual exostosis, and to detect osteomyelitis of the distal phalanx when deep infection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Neurovascular screen (pedal pulses, ankle–brachial index/Doppler, 10 g monofilament) plus fasting glucose/HbA1c in diabetics and in any painless, poorly healing or recurrent lesion, before surgical care.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Ingrown toenails are classified by clinical stage, by the dominant pathological component and by age/anatomical pattern:</w:t>
      </w:r>
    </w:p>
    <w:p>
      <w:pPr>
        <w:spacing w:before="0" w:after="80"/>
      </w:pPr>
      <w:r>
        <w:rPr>
          <w:rFonts w:ascii="Calibri" w:hAnsi="Calibri"/>
          <w:b w:val="0"/>
          <w:i w:val="0"/>
          <w:color w:val="212121"/>
          <w:sz w:val="21"/>
        </w:rPr>
        <w:t>(1) Heifetz Stage 1 (inflammatory) — erythema, mild oedema and pain of the nail fold on pressure, without discharge; the earliest and commonest presentation.</w:t>
      </w:r>
    </w:p>
    <w:p>
      <w:pPr>
        <w:spacing w:before="0" w:after="80"/>
      </w:pPr>
      <w:r>
        <w:rPr>
          <w:rFonts w:ascii="Calibri" w:hAnsi="Calibri"/>
          <w:b w:val="0"/>
          <w:i w:val="0"/>
          <w:color w:val="212121"/>
          <w:sz w:val="21"/>
        </w:rPr>
        <w:t>(2) Heifetz Stage 2 (abscess / infective) — increased pain with seropurulent or purulent drainage, ulceration and active infection of the fold.</w:t>
      </w:r>
    </w:p>
    <w:p>
      <w:pPr>
        <w:spacing w:before="0" w:after="80"/>
      </w:pPr>
      <w:r>
        <w:rPr>
          <w:rFonts w:ascii="Calibri" w:hAnsi="Calibri"/>
          <w:b w:val="0"/>
          <w:i w:val="0"/>
          <w:color w:val="212121"/>
          <w:sz w:val="21"/>
        </w:rPr>
        <w:t>(3) Heifetz Stage 3 (chronic / hypertrophic) — chronic infection with granulation tissue (“proud flesh”) and hypertrophy of the lateral nail wall; the Mozena modification subdivides stage II by &lt;3 mm versus &gt;3 mm hypertrophy and adds a Grade IV chronic nail-plate/fold deformity.</w:t>
      </w:r>
    </w:p>
    <w:p>
      <w:pPr>
        <w:spacing w:before="0" w:after="80"/>
      </w:pPr>
      <w:r>
        <w:rPr>
          <w:rFonts w:ascii="Calibri" w:hAnsi="Calibri"/>
          <w:b w:val="0"/>
          <w:i w:val="0"/>
          <w:color w:val="212121"/>
          <w:sz w:val="21"/>
        </w:rPr>
        <w:t>(4) By dominant component — a subcutaneous (soft-tissue) type in which nail-fold hypertrophy predominates, versus an onychial (nail-plate) type driven by an over-curved (pincer) or excessively wide nail plate.</w:t>
      </w:r>
    </w:p>
    <w:p>
      <w:pPr>
        <w:spacing w:before="0" w:after="80"/>
      </w:pPr>
      <w:r>
        <w:rPr>
          <w:rFonts w:ascii="Calibri" w:hAnsi="Calibri"/>
          <w:b w:val="0"/>
          <w:i w:val="0"/>
          <w:color w:val="212121"/>
          <w:sz w:val="21"/>
        </w:rPr>
        <w:t>(5) By age/pattern — infantile/congenital forms (including congenital malalignment of the hallux nail and distal-embedded neonatal “pseudo-ingrowing”), the common juvenile/adolescent form, and the adult/elderly form linked to thick, deformed (onychogryphotic) nails and reduced self-care.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Improper nail trimming: Cutting the nail too short or rounding the corners leaves a sharp spicule that pierces the lateral fold as the nail grows — the single commonest cause.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Ill-fitting footwear: Tight, pointed or high-heeled and occlusive shoes compress the toes and drive the nail edge into the soft tissue; a major factor in fashion-shoe wearers and uniformed workers.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Hyperhidrosis and poor foot hygiene: Excessive sweating macerates (softens) the nail fold and plate, easing penetration and secondary infection — amplified by India's hot, humid climate.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Trauma: Stubbing, dropped weights, repetitive microtrauma from running or sports, and aggressive pedicure damage the nail and periungual tissue.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Anatomical nail factors: A wide or over-curved (pincer) nail plate, congenital malalignment of the hallux nail, and thick dystrophic or onychogryphotic nails predispose to embedding.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Systemic and metabolic factors: Obesity and weight gain, pregnancy-related oedema, diabetes with neuropathy/vasculopathy and onychomycosis all raise risk and impair healing.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Drugs: Systemic retinoids (isotretinoin, acitretin) and EGFR inhibitors (gefitinib, cetuximab, erlotinib) cause periungual inflammation and drug-induced ingrowing.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The dominant peak. Rapid foot growth, active sport, sweaty feet, tight/fashionable footwear and a habit of cutting nails too short combine to drive the nail edge into the fold in the second decade of life.</w:t>
            </w:r>
          </w:p>
          <w:p>
            <w:pPr>
              <w:spacing w:after="40" w:before="60" w:line="259" w:lineRule="auto"/>
            </w:pPr>
            <w:r>
              <w:rPr>
                <w:rFonts w:ascii="Calibri" w:hAnsi="Calibri"/>
                <w:b w:val="0"/>
                <w:i w:val="0"/>
                <w:color w:val="212121"/>
                <w:sz w:val="19"/>
              </w:rPr>
              <w:t>Onychocryptosis is a very common toenail-unit disorder chiefly affecting adolescents; a biphasic incidence peaks in the second and fifth decades.</w:t>
            </w:r>
          </w:p>
          <w:p>
            <w:pPr>
              <w:spacing w:after="40" w:line="252" w:lineRule="auto"/>
            </w:pPr>
            <w:hyperlink r:id="rId9">
              <w:r>
                <w:rPr>
                  <w:rFonts w:ascii="Calibri" w:hAnsi="Calibri" w:cs="Calibri"/>
                  <w:sz w:val="18"/>
                  <w:color w:val="1155CC"/>
                  <w:u w:val="single"/>
                </w:rPr>
                <w:t xml:space="preserve">pubmed.ncbi.nlm.nih.gov/31738836 — onychocryptosis review</w:t>
              </w:r>
            </w:hyperlink>
          </w:p>
          <w:p>
            <w:pPr>
              <w:spacing w:before="60" w:after="40"/>
            </w:pPr>
            <w:r>
              <w:rPr>
                <w:rFonts w:ascii="Calibri" w:hAnsi="Calibri"/>
                <w:b w:val="0"/>
                <w:i w:val="0"/>
                <w:color w:val="5A5A5A"/>
                <w:sz w:val="18"/>
              </w:rPr>
              <w:t>#ingrowntoenail  #onychocryptosis  #adolescents  #footwear  #sweatyfeet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The second peak. Thick, over-curved and onychogryphotic nails, reduced eyesight and flexibility for self nail-care, foot deformity and coexisting diabetes/vascular disease make ingrown nails common and slow to heal in older adults.</w:t>
            </w:r>
          </w:p>
          <w:p>
            <w:pPr>
              <w:spacing w:after="40" w:before="60" w:line="259" w:lineRule="auto"/>
            </w:pPr>
            <w:r>
              <w:rPr>
                <w:rFonts w:ascii="Calibri" w:hAnsi="Calibri"/>
                <w:b w:val="0"/>
                <w:i w:val="0"/>
                <w:color w:val="212121"/>
                <w:sz w:val="19"/>
              </w:rPr>
              <w:t>Incidence shows a second rise in the fifth decade and beyond; onychogryphotic (curved, thickened) nails carry a markedly higher risk (odds ratio ~9) of ingrowing.</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#elderly  #onychogryphosis  #thicknails  #reducedselfcare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Young men are affected roughly twice as often as women, reflecting greater sport and occupational foot trauma, heavier sweating and closed/occlusive footwear.</w:t>
            </w:r>
          </w:p>
          <w:p>
            <w:pPr>
              <w:spacing w:after="40" w:before="60" w:line="259" w:lineRule="auto"/>
            </w:pPr>
            <w:r>
              <w:rPr>
                <w:rFonts w:ascii="Calibri" w:hAnsi="Calibri"/>
                <w:b w:val="0"/>
                <w:i w:val="0"/>
                <w:color w:val="212121"/>
                <w:sz w:val="19"/>
              </w:rPr>
              <w:t>An approximately 2:1 male predominance is reported, with the hallux affected almost exclusively and the lateral fold about twice as often as the medial.</w:t>
            </w:r>
          </w:p>
          <w:p>
            <w:pPr>
              <w:spacing w:after="40" w:line="252" w:lineRule="auto"/>
            </w:pPr>
            <w:hyperlink r:id="rId11">
              <w:r>
                <w:rPr>
                  <w:rFonts w:ascii="Calibri" w:hAnsi="Calibri" w:cs="Calibri"/>
                  <w:sz w:val="18"/>
                  <w:color w:val="1155CC"/>
                  <w:u w:val="single"/>
                </w:rPr>
                <w:t xml:space="preserve">ncbi.nlm.nih.gov — StatPearls: Ingrown Toenails</w:t>
              </w:r>
            </w:hyperlink>
          </w:p>
          <w:p>
            <w:pPr>
              <w:spacing w:before="60" w:after="40"/>
            </w:pPr>
            <w:r>
              <w:rPr>
                <w:rFonts w:ascii="Calibri" w:hAnsi="Calibri"/>
                <w:b w:val="0"/>
                <w:i w:val="0"/>
                <w:color w:val="5A5A5A"/>
                <w:sz w:val="18"/>
              </w:rPr>
              <w:t>#male  #2to1  #hallux  #lateralfold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&amp; low-income workers</w:t>
            </w:r>
          </w:p>
        </w:tc>
        <w:tc>
          <w:tcPr>
            <w:tcW w:type="dxa" w:w="4276"/>
            <w:vAlign w:val="top"/>
          </w:tcPr>
          <w:p>
            <w:pPr>
              <w:spacing w:after="60" w:line="259" w:lineRule="auto"/>
            </w:pPr>
            <w:r>
              <w:rPr>
                <w:rFonts w:ascii="Calibri" w:hAnsi="Calibri"/>
                <w:b w:val="0"/>
                <w:i w:val="0"/>
                <w:color w:val="212121"/>
                <w:sz w:val="19"/>
              </w:rPr>
              <w:t>Physically demanding, often outdoor work with repetitive toe trauma, prolonged sweating in closed or re-worn ill-fitting/shared footwear, and limited access to podiatry or safe nail care sustain and worsen ingrown nails.</w:t>
            </w:r>
          </w:p>
          <w:p>
            <w:pPr>
              <w:spacing w:after="40" w:before="60" w:line="259" w:lineRule="auto"/>
            </w:pPr>
            <w:r>
              <w:rPr>
                <w:rFonts w:ascii="Calibri" w:hAnsi="Calibri"/>
                <w:b w:val="0"/>
                <w:i w:val="0"/>
                <w:color w:val="212121"/>
                <w:sz w:val="19"/>
              </w:rPr>
              <w:t>Trauma, poor nail-cutting technique and hyperhidrosis — all commoner with manual work and limited foot care — are established risk factors for onychocryptosis.</w:t>
            </w:r>
          </w:p>
          <w:p>
            <w:pPr>
              <w:spacing w:after="40" w:line="252" w:lineRule="auto"/>
            </w:pPr>
            <w:hyperlink r:id="rId9">
              <w:r>
                <w:rPr>
                  <w:rFonts w:ascii="Calibri" w:hAnsi="Calibri" w:cs="Calibri"/>
                  <w:sz w:val="18"/>
                  <w:color w:val="1155CC"/>
                  <w:u w:val="single"/>
                </w:rPr>
                <w:t xml:space="preserve">pubmed.ncbi.nlm.nih.gov/31738836 — onychocryptosis review</w:t>
              </w:r>
            </w:hyperlink>
          </w:p>
          <w:p>
            <w:pPr>
              <w:spacing w:before="60" w:after="40"/>
            </w:pPr>
            <w:r>
              <w:rPr>
                <w:rFonts w:ascii="Calibri" w:hAnsi="Calibri"/>
                <w:b w:val="0"/>
                <w:i w:val="0"/>
                <w:color w:val="5A5A5A"/>
                <w:sz w:val="18"/>
              </w:rPr>
              <w:t>#manuallabour  #occupational  #illfittingshoes  #footcareaccess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climate</w:t>
            </w:r>
          </w:p>
        </w:tc>
        <w:tc>
          <w:tcPr>
            <w:tcW w:type="dxa" w:w="2160"/>
            <w:vAlign w:val="top"/>
          </w:tcPr>
          <w:p>
            <w:pPr>
              <w:spacing w:after="40" w:before="0" w:line="259" w:lineRule="auto"/>
            </w:pPr>
            <w:r>
              <w:rPr>
                <w:rFonts w:ascii="Calibri" w:hAnsi="Calibri"/>
                <w:b w:val="0"/>
                <w:i w:val="0"/>
                <w:color w:val="212121"/>
                <w:sz w:val="19"/>
              </w:rPr>
              <w:t>Hot, humid tropical India</w:t>
            </w:r>
          </w:p>
        </w:tc>
        <w:tc>
          <w:tcPr>
            <w:tcW w:type="dxa" w:w="4276"/>
            <w:vAlign w:val="top"/>
          </w:tcPr>
          <w:p>
            <w:pPr>
              <w:spacing w:after="60" w:line="259" w:lineRule="auto"/>
            </w:pPr>
            <w:r>
              <w:rPr>
                <w:rFonts w:ascii="Calibri" w:hAnsi="Calibri"/>
                <w:b w:val="0"/>
                <w:i w:val="0"/>
                <w:color w:val="212121"/>
                <w:sz w:val="19"/>
              </w:rPr>
              <w:t>High ambient temperature and humidity across much of India promote plantar sweating and maceration of the nail fold and plate, softening the tissue so the nail edge penetrates more easily and the fold becomes secondarily infected.</w:t>
            </w:r>
          </w:p>
          <w:p>
            <w:pPr>
              <w:spacing w:after="40" w:before="60" w:line="259" w:lineRule="auto"/>
            </w:pPr>
            <w:r>
              <w:rPr>
                <w:rFonts w:ascii="Calibri" w:hAnsi="Calibri"/>
                <w:b w:val="0"/>
                <w:i w:val="0"/>
                <w:color w:val="212121"/>
                <w:sz w:val="19"/>
              </w:rPr>
              <w:t>Hyperhidrosis (excessive sweating) is a recognised risk factor for ingrown toenails; heat-humidity and occlusive footwear amplify it.</w:t>
            </w:r>
          </w:p>
          <w:p>
            <w:pPr>
              <w:spacing w:after="40" w:line="252" w:lineRule="auto"/>
            </w:pPr>
            <w:hyperlink r:id="rId11">
              <w:r>
                <w:rPr>
                  <w:rFonts w:ascii="Calibri" w:hAnsi="Calibri" w:cs="Calibri"/>
                  <w:sz w:val="18"/>
                  <w:color w:val="1155CC"/>
                  <w:u w:val="single"/>
                </w:rPr>
                <w:t xml:space="preserve">ncbi.nlm.nih.gov — StatPearls: Ingrown Toenails</w:t>
              </w:r>
            </w:hyperlink>
          </w:p>
          <w:p>
            <w:pPr>
              <w:spacing w:before="60" w:after="40"/>
            </w:pPr>
            <w:r>
              <w:rPr>
                <w:rFonts w:ascii="Calibri" w:hAnsi="Calibri"/>
                <w:b w:val="0"/>
                <w:i w:val="0"/>
                <w:color w:val="5A5A5A"/>
                <w:sz w:val="18"/>
              </w:rPr>
              <w:t>#tropicalclimate  #humidity  #hyperhidrosis  #maceration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barefoot &amp; ill-fitting-footwear communities</w:t>
            </w:r>
          </w:p>
        </w:tc>
        <w:tc>
          <w:tcPr>
            <w:tcW w:type="dxa" w:w="4276"/>
            <w:vAlign w:val="top"/>
          </w:tcPr>
          <w:p>
            <w:pPr>
              <w:spacing w:after="60" w:line="259" w:lineRule="auto"/>
            </w:pPr>
            <w:r>
              <w:rPr>
                <w:rFonts w:ascii="Calibri" w:hAnsi="Calibri"/>
                <w:b w:val="0"/>
                <w:i w:val="0"/>
                <w:color w:val="212121"/>
                <w:sz w:val="19"/>
              </w:rPr>
              <w:t>In parts of rural India, barefoot walking and repetitive toe trauma, alongside cheap, ill-fitting or shared closed footwear and limited access to trained foot care, promote both ingrowing and neglected secondary infection.</w:t>
            </w:r>
          </w:p>
          <w:p>
            <w:pPr>
              <w:spacing w:after="40" w:before="60" w:line="259" w:lineRule="auto"/>
            </w:pPr>
            <w:r>
              <w:rPr>
                <w:rFonts w:ascii="Calibri" w:hAnsi="Calibri"/>
                <w:b w:val="0"/>
                <w:i w:val="0"/>
                <w:color w:val="212121"/>
                <w:sz w:val="19"/>
              </w:rPr>
              <w:t>Trauma and inappropriate footwear are core mechanical drivers of onychocryptosis in resource-limited settings.</w:t>
            </w:r>
          </w:p>
          <w:p>
            <w:pPr>
              <w:spacing w:after="40" w:line="252" w:lineRule="auto"/>
            </w:pPr>
            <w:hyperlink r:id="rId12">
              <w:r>
                <w:rPr>
                  <w:rFonts w:ascii="Calibri" w:hAnsi="Calibri" w:cs="Calibri"/>
                  <w:sz w:val="18"/>
                  <w:color w:val="1155CC"/>
                  <w:u w:val="single"/>
                </w:rPr>
                <w:t xml:space="preserve">pubmed.ncbi.nlm.nih.gov/22565427 — ingrown toenails (IJDVL, India)</w:t>
              </w:r>
            </w:hyperlink>
          </w:p>
          <w:p>
            <w:pPr>
              <w:spacing w:before="60" w:after="40"/>
            </w:pPr>
            <w:r>
              <w:rPr>
                <w:rFonts w:ascii="Calibri" w:hAnsi="Calibri"/>
                <w:b w:val="0"/>
                <w:i w:val="0"/>
                <w:color w:val="5A5A5A"/>
                <w:sz w:val="18"/>
              </w:rPr>
              <w:t>#rural  #barefoot  #sharedfootwear  #neglectedinfection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Sedentary, weight-gaining adults</w:t>
            </w:r>
          </w:p>
        </w:tc>
        <w:tc>
          <w:tcPr>
            <w:tcW w:type="dxa" w:w="4276"/>
            <w:vAlign w:val="top"/>
          </w:tcPr>
          <w:p>
            <w:pPr>
              <w:spacing w:after="60" w:line="259" w:lineRule="auto"/>
            </w:pPr>
            <w:r>
              <w:rPr>
                <w:rFonts w:ascii="Calibri" w:hAnsi="Calibri"/>
                <w:b w:val="0"/>
                <w:i w:val="0"/>
                <w:color w:val="212121"/>
                <w:sz w:val="19"/>
              </w:rPr>
              <w:t>Weight gain increases plantar pressure and toe crowding, and a sedentary, higher-BMI state (often with dysglycaemia) worsens tissue healing — each independently raising ingrown-nail risk.</w:t>
            </w:r>
          </w:p>
          <w:p>
            <w:pPr>
              <w:spacing w:after="40" w:before="60" w:line="259" w:lineRule="auto"/>
            </w:pPr>
            <w:r>
              <w:rPr>
                <w:rFonts w:ascii="Calibri" w:hAnsi="Calibri"/>
                <w:b w:val="0"/>
                <w:i w:val="0"/>
                <w:color w:val="212121"/>
                <w:sz w:val="19"/>
              </w:rPr>
              <w:t>In adult type-2 diabetics, each unit rise in body mass index independently increased the odds of ingrown nails (OR 1.077, 95% CI 1.007–1.15).</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#overweight  #weightgain  #plantarpressure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Nail-care habit</w:t>
            </w:r>
          </w:p>
        </w:tc>
        <w:tc>
          <w:tcPr>
            <w:tcW w:type="dxa" w:w="2160"/>
            <w:vAlign w:val="top"/>
          </w:tcPr>
          <w:p>
            <w:pPr>
              <w:spacing w:after="40" w:before="0" w:line="259" w:lineRule="auto"/>
            </w:pPr>
            <w:r>
              <w:rPr>
                <w:rFonts w:ascii="Calibri" w:hAnsi="Calibri"/>
                <w:b w:val="0"/>
                <w:i w:val="0"/>
                <w:color w:val="212121"/>
                <w:sz w:val="19"/>
              </w:rPr>
              <w:t>Improper nail trimming / picking</w:t>
            </w:r>
          </w:p>
        </w:tc>
        <w:tc>
          <w:tcPr>
            <w:tcW w:type="dxa" w:w="4276"/>
            <w:vAlign w:val="top"/>
          </w:tcPr>
          <w:p>
            <w:pPr>
              <w:spacing w:after="60" w:line="259" w:lineRule="auto"/>
            </w:pPr>
            <w:r>
              <w:rPr>
                <w:rFonts w:ascii="Calibri" w:hAnsi="Calibri"/>
                <w:b w:val="0"/>
                <w:i w:val="0"/>
                <w:color w:val="212121"/>
                <w:sz w:val="19"/>
              </w:rPr>
              <w:t>Cutting the nail too short, rounding or digging out the corners, and picking or tearing the nail leave a spicule that spears the fold as the nail advances — the commonest and most modifiable cause.</w:t>
            </w:r>
          </w:p>
          <w:p>
            <w:pPr>
              <w:spacing w:after="40" w:before="60" w:line="259" w:lineRule="auto"/>
            </w:pPr>
            <w:r>
              <w:rPr>
                <w:rFonts w:ascii="Calibri" w:hAnsi="Calibri"/>
                <w:b w:val="0"/>
                <w:i w:val="0"/>
                <w:color w:val="212121"/>
                <w:sz w:val="19"/>
              </w:rPr>
              <w:t>Poor nail-cutting technique is a leading, well-documented cause; correct technique is to cut straight across and not too short.</w:t>
            </w:r>
          </w:p>
          <w:p>
            <w:pPr>
              <w:spacing w:after="40" w:line="252" w:lineRule="auto"/>
            </w:pPr>
            <w:hyperlink r:id="rId9">
              <w:r>
                <w:rPr>
                  <w:rFonts w:ascii="Calibri" w:hAnsi="Calibri" w:cs="Calibri"/>
                  <w:sz w:val="18"/>
                  <w:color w:val="1155CC"/>
                  <w:u w:val="single"/>
                </w:rPr>
                <w:t xml:space="preserve">pubmed.ncbi.nlm.nih.gov/31738836 — onychocryptosis review</w:t>
              </w:r>
            </w:hyperlink>
          </w:p>
          <w:p>
            <w:pPr>
              <w:spacing w:before="60" w:after="40"/>
            </w:pPr>
            <w:r>
              <w:rPr>
                <w:rFonts w:ascii="Calibri" w:hAnsi="Calibri"/>
                <w:b w:val="0"/>
                <w:i w:val="0"/>
                <w:color w:val="5A5A5A"/>
                <w:sz w:val="18"/>
              </w:rPr>
              <w:t>#nailcutting  #straightacross  #spicule  #pedicure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Footwear &amp; occupation</w:t>
            </w:r>
          </w:p>
        </w:tc>
        <w:tc>
          <w:tcPr>
            <w:tcW w:type="dxa" w:w="2160"/>
            <w:vAlign w:val="top"/>
          </w:tcPr>
          <w:p>
            <w:pPr>
              <w:spacing w:after="40" w:before="0" w:line="259" w:lineRule="auto"/>
            </w:pPr>
            <w:r>
              <w:rPr>
                <w:rFonts w:ascii="Calibri" w:hAnsi="Calibri"/>
                <w:b w:val="0"/>
                <w:i w:val="0"/>
                <w:color w:val="212121"/>
                <w:sz w:val="19"/>
              </w:rPr>
              <w:t>Tight/pointed shoes, athletes, uniformed services</w:t>
            </w:r>
          </w:p>
        </w:tc>
        <w:tc>
          <w:tcPr>
            <w:tcW w:type="dxa" w:w="4276"/>
            <w:vAlign w:val="top"/>
          </w:tcPr>
          <w:p>
            <w:pPr>
              <w:spacing w:after="60" w:line="259" w:lineRule="auto"/>
            </w:pPr>
            <w:r>
              <w:rPr>
                <w:rFonts w:ascii="Calibri" w:hAnsi="Calibri"/>
                <w:b w:val="0"/>
                <w:i w:val="0"/>
                <w:color w:val="212121"/>
                <w:sz w:val="19"/>
              </w:rPr>
              <w:t>Tight, pointed or high-heeled shoes, and closed occlusive footwear worn by athletes, security, military and formal-shoe workers, compress the toes and force the nail edge into the fold while trapping sweat.</w:t>
            </w:r>
          </w:p>
          <w:p>
            <w:pPr>
              <w:spacing w:after="40" w:before="60" w:line="259" w:lineRule="auto"/>
            </w:pPr>
            <w:r>
              <w:rPr>
                <w:rFonts w:ascii="Calibri" w:hAnsi="Calibri"/>
                <w:b w:val="0"/>
                <w:i w:val="0"/>
                <w:color w:val="212121"/>
                <w:sz w:val="19"/>
              </w:rPr>
              <w:t>Ill-fitting/tight footwear (tight shoes, high heels, pointed-toe shoes) is a principal cause, forcing the nail to curl into the surrounding skin.</w:t>
            </w:r>
          </w:p>
          <w:p>
            <w:pPr>
              <w:spacing w:after="40" w:line="252" w:lineRule="auto"/>
            </w:pPr>
            <w:hyperlink r:id="rId13">
              <w:r>
                <w:rPr>
                  <w:rFonts w:ascii="Calibri" w:hAnsi="Calibri" w:cs="Calibri"/>
                  <w:sz w:val="18"/>
                  <w:color w:val="1155CC"/>
                  <w:u w:val="single"/>
                </w:rPr>
                <w:t xml:space="preserve">dermnetnz.org — ingrown toenail</w:t>
              </w:r>
            </w:hyperlink>
          </w:p>
          <w:p>
            <w:pPr>
              <w:spacing w:before="60" w:after="40"/>
            </w:pPr>
            <w:r>
              <w:rPr>
                <w:rFonts w:ascii="Calibri" w:hAnsi="Calibri"/>
                <w:b w:val="0"/>
                <w:i w:val="0"/>
                <w:color w:val="5A5A5A"/>
                <w:sz w:val="18"/>
              </w:rPr>
              <w:t>#footwear  #tightshoes  #athletes  #occlusion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hyperhidrosis</w:t>
            </w:r>
          </w:p>
        </w:tc>
        <w:tc>
          <w:tcPr>
            <w:tcW w:type="dxa" w:w="2160"/>
            <w:vAlign w:val="top"/>
          </w:tcPr>
          <w:p>
            <w:pPr>
              <w:spacing w:after="40" w:before="0" w:line="259" w:lineRule="auto"/>
            </w:pPr>
            <w:r>
              <w:rPr>
                <w:rFonts w:ascii="Calibri" w:hAnsi="Calibri"/>
                <w:b w:val="0"/>
                <w:i w:val="0"/>
                <w:color w:val="212121"/>
                <w:sz w:val="19"/>
              </w:rPr>
              <w:t>Sweaty feet &amp; poor foot hygiene</w:t>
            </w:r>
          </w:p>
        </w:tc>
        <w:tc>
          <w:tcPr>
            <w:tcW w:type="dxa" w:w="4276"/>
            <w:vAlign w:val="top"/>
          </w:tcPr>
          <w:p>
            <w:pPr>
              <w:spacing w:after="60" w:line="259" w:lineRule="auto"/>
            </w:pPr>
            <w:r>
              <w:rPr>
                <w:rFonts w:ascii="Calibri" w:hAnsi="Calibri"/>
                <w:b w:val="0"/>
                <w:i w:val="0"/>
                <w:color w:val="212121"/>
                <w:sz w:val="19"/>
              </w:rPr>
              <w:t>Persistently damp, macerated feet from hyperhidrosis or infrequent washing/drying soften the nail fold and plate, help the nail penetrate the skin and provide the moisture bacteria and fungi need to infect it.</w:t>
            </w:r>
          </w:p>
          <w:p>
            <w:pPr>
              <w:spacing w:after="40" w:before="60" w:line="259" w:lineRule="auto"/>
            </w:pPr>
            <w:r>
              <w:rPr>
                <w:rFonts w:ascii="Calibri" w:hAnsi="Calibri"/>
                <w:b w:val="0"/>
                <w:i w:val="0"/>
                <w:color w:val="212121"/>
                <w:sz w:val="19"/>
              </w:rPr>
              <w:t>Hyperhidrosis and poor foot hygiene are recognised predisposing factors for onychocryptosis.</w:t>
            </w:r>
          </w:p>
          <w:p>
            <w:pPr>
              <w:spacing w:after="40" w:line="252" w:lineRule="auto"/>
            </w:pPr>
            <w:hyperlink r:id="rId11">
              <w:r>
                <w:rPr>
                  <w:rFonts w:ascii="Calibri" w:hAnsi="Calibri" w:cs="Calibri"/>
                  <w:sz w:val="18"/>
                  <w:color w:val="1155CC"/>
                  <w:u w:val="single"/>
                </w:rPr>
                <w:t xml:space="preserve">ncbi.nlm.nih.gov — StatPearls: Ingrown Toenails</w:t>
              </w:r>
            </w:hyperlink>
          </w:p>
          <w:p>
            <w:pPr>
              <w:spacing w:before="60" w:after="40"/>
            </w:pPr>
            <w:r>
              <w:rPr>
                <w:rFonts w:ascii="Calibri" w:hAnsi="Calibri"/>
                <w:b w:val="0"/>
                <w:i w:val="0"/>
                <w:color w:val="5A5A5A"/>
                <w:sz w:val="18"/>
              </w:rPr>
              <w:t>#hyperhidrosis  #foothygiene  #maceration  #sweat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impairs dermal microcirculation and wound healing, favouring persistent granulation tissue, slower resolution and higher recurrence after treatment, especially in diabetics and vasculopaths.</w:t>
            </w:r>
          </w:p>
          <w:p>
            <w:pPr>
              <w:spacing w:after="40" w:before="60" w:line="259" w:lineRule="auto"/>
            </w:pPr>
            <w:r>
              <w:rPr>
                <w:rFonts w:ascii="Calibri" w:hAnsi="Calibri"/>
                <w:b w:val="0"/>
                <w:i w:val="0"/>
                <w:color w:val="212121"/>
                <w:sz w:val="19"/>
              </w:rPr>
              <w:t>Impaired peripheral perfusion and healing are established contributors to poor outcomes of chronic nail-fold infection; smoking is a key modifiable driver of microvascular impairment.</w:t>
            </w:r>
          </w:p>
          <w:p>
            <w:pPr>
              <w:spacing w:before="60" w:after="40"/>
            </w:pPr>
            <w:r>
              <w:rPr>
                <w:rFonts w:ascii="Calibri" w:hAnsi="Calibri"/>
                <w:b w:val="0"/>
                <w:i w:val="0"/>
                <w:color w:val="5A5A5A"/>
                <w:sz w:val="18"/>
              </w:rPr>
              <w:t>#smoking  #microcirculation  #delayedhealing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Heavy drinking contributes to peripheral neuropathy, poorer foot self-care and delayed presentation, so ingrown nails progress to advanced infection before help is sought.</w:t>
            </w:r>
          </w:p>
          <w:p>
            <w:pPr>
              <w:spacing w:after="40" w:before="60" w:line="259" w:lineRule="auto"/>
            </w:pPr>
            <w:r>
              <w:rPr>
                <w:rFonts w:ascii="Calibri" w:hAnsi="Calibri"/>
                <w:b w:val="0"/>
                <w:i w:val="0"/>
                <w:color w:val="212121"/>
                <w:sz w:val="19"/>
              </w:rPr>
              <w:t>Neuropathy and self-care neglect (to which chronic heavy alcohol use contributes) allow painless progression and later, more severe infective stages.</w:t>
            </w:r>
          </w:p>
          <w:p>
            <w:pPr>
              <w:spacing w:before="60" w:after="40"/>
            </w:pPr>
            <w:r>
              <w:rPr>
                <w:rFonts w:ascii="Calibri" w:hAnsi="Calibri"/>
                <w:b w:val="0"/>
                <w:i w:val="0"/>
                <w:color w:val="5A5A5A"/>
                <w:sz w:val="18"/>
              </w:rPr>
              <w:t>#alcohol  #neuropathy  #selfcareneglect  #latepresentation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High-calorie, obesogenic diet</w:t>
            </w:r>
          </w:p>
        </w:tc>
        <w:tc>
          <w:tcPr>
            <w:tcW w:type="dxa" w:w="4276"/>
            <w:vAlign w:val="top"/>
          </w:tcPr>
          <w:p>
            <w:pPr>
              <w:spacing w:after="60" w:line="259" w:lineRule="auto"/>
            </w:pPr>
            <w:r>
              <w:rPr>
                <w:rFonts w:ascii="Calibri" w:hAnsi="Calibri"/>
                <w:b w:val="0"/>
                <w:i w:val="0"/>
                <w:color w:val="212121"/>
                <w:sz w:val="19"/>
              </w:rPr>
              <w:t>Energy-dense, sugar-rich, ultra-processed diets drive weight gain and dysglycaemia; the resulting obesity increases toe crowding and plantar pressure, and diabetes thickens/deforms nails and impairs healing.</w:t>
            </w:r>
          </w:p>
          <w:p>
            <w:pPr>
              <w:spacing w:after="40" w:before="60" w:line="259" w:lineRule="auto"/>
            </w:pPr>
            <w:r>
              <w:rPr>
                <w:rFonts w:ascii="Calibri" w:hAnsi="Calibri"/>
                <w:b w:val="0"/>
                <w:i w:val="0"/>
                <w:color w:val="212121"/>
                <w:sz w:val="19"/>
              </w:rPr>
              <w:t>Higher BMI (fed by obesogenic diets) independently raises ingrown-nail odds (OR ~1.08 per unit) in diabetic adults.</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#obesogenicdiet  #weightgain  #dysglycaemia  #highcalorie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Inherited nail morphology (pincer / wide plate / malalignment)</w:t>
            </w:r>
          </w:p>
        </w:tc>
        <w:tc>
          <w:tcPr>
            <w:tcW w:type="dxa" w:w="4276"/>
            <w:vAlign w:val="top"/>
          </w:tcPr>
          <w:p>
            <w:pPr>
              <w:spacing w:after="60" w:line="259" w:lineRule="auto"/>
            </w:pPr>
            <w:r>
              <w:rPr>
                <w:rFonts w:ascii="Calibri" w:hAnsi="Calibri"/>
                <w:b w:val="0"/>
                <w:i w:val="0"/>
                <w:color w:val="212121"/>
                <w:sz w:val="19"/>
              </w:rPr>
              <w:t>A familial tendency to an over-curved (pincer) or excessively wide nail plate, or congenital malalignment of the hallux nail, inherits the very anatomy that makes the nail edge dig into the fold, often causing recurrent, bilateral disease.</w:t>
            </w:r>
          </w:p>
          <w:p>
            <w:pPr>
              <w:spacing w:after="40" w:before="60" w:line="259" w:lineRule="auto"/>
            </w:pPr>
            <w:r>
              <w:rPr>
                <w:rFonts w:ascii="Calibri" w:hAnsi="Calibri"/>
                <w:b w:val="0"/>
                <w:i w:val="0"/>
                <w:color w:val="212121"/>
                <w:sz w:val="19"/>
              </w:rPr>
              <w:t>Intrinsic nail factors — pincer-nail deformity, wide nail plates, congenital malalignment and nail-plate thickening — are recognised predisposers to ingrowing.</w:t>
            </w:r>
          </w:p>
          <w:p>
            <w:pPr>
              <w:spacing w:after="40" w:line="252" w:lineRule="auto"/>
            </w:pPr>
            <w:hyperlink r:id="rId11">
              <w:r>
                <w:rPr>
                  <w:rFonts w:ascii="Calibri" w:hAnsi="Calibri" w:cs="Calibri"/>
                  <w:sz w:val="18"/>
                  <w:color w:val="1155CC"/>
                  <w:u w:val="single"/>
                </w:rPr>
                <w:t xml:space="preserve">ncbi.nlm.nih.gov — StatPearls: Ingrown Toenails</w:t>
              </w:r>
            </w:hyperlink>
          </w:p>
          <w:p>
            <w:pPr>
              <w:spacing w:before="60" w:after="40"/>
            </w:pPr>
            <w:r>
              <w:rPr>
                <w:rFonts w:ascii="Calibri" w:hAnsi="Calibri"/>
                <w:b w:val="0"/>
                <w:i w:val="0"/>
                <w:color w:val="5A5A5A"/>
                <w:sz w:val="18"/>
              </w:rPr>
              <w:t>#pincernail  #familyhistory  #congenitalmalalignment  #nailshape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impairs healing and immunity, neuropathy masks the pain so lesions are neglected, and vasculopathy limits perfusion — turning a minor ingrown nail into a portal for limb-threatening foot infection. India's very large diabetic population makes this a major concern.</w:t>
            </w:r>
          </w:p>
          <w:p>
            <w:pPr>
              <w:spacing w:after="40" w:before="60" w:line="259" w:lineRule="auto"/>
            </w:pPr>
            <w:r>
              <w:rPr>
                <w:rFonts w:ascii="Calibri" w:hAnsi="Calibri"/>
                <w:b w:val="0"/>
                <w:i w:val="0"/>
                <w:color w:val="212121"/>
                <w:sz w:val="19"/>
              </w:rPr>
              <w:t>Ingrown nails were present in 13.6% of 300 adult type-2 diabetic patients; peripheral arterial disease was found in 46.9% of those with ingrown nails.</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#diabetes  #diabeticfoot  #neuropathy  #portalofentry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Neuropathy / peripheral vascular disease</w:t>
            </w:r>
          </w:p>
        </w:tc>
        <w:tc>
          <w:tcPr>
            <w:tcW w:type="dxa" w:w="2160"/>
            <w:vAlign w:val="top"/>
          </w:tcPr>
          <w:p>
            <w:pPr>
              <w:spacing w:after="40" w:before="0" w:line="259" w:lineRule="auto"/>
            </w:pPr>
            <w:r>
              <w:rPr>
                <w:rFonts w:ascii="Calibri" w:hAnsi="Calibri"/>
                <w:b w:val="0"/>
                <w:i w:val="0"/>
                <w:color w:val="212121"/>
                <w:sz w:val="19"/>
              </w:rPr>
              <w:t>Neuropathy &amp; vasculopathy</w:t>
            </w:r>
          </w:p>
        </w:tc>
        <w:tc>
          <w:tcPr>
            <w:tcW w:type="dxa" w:w="4276"/>
            <w:vAlign w:val="top"/>
          </w:tcPr>
          <w:p>
            <w:pPr>
              <w:spacing w:after="60" w:line="259" w:lineRule="auto"/>
            </w:pPr>
            <w:r>
              <w:rPr>
                <w:rFonts w:ascii="Calibri" w:hAnsi="Calibri"/>
                <w:b w:val="0"/>
                <w:i w:val="0"/>
                <w:color w:val="212121"/>
                <w:sz w:val="19"/>
              </w:rPr>
              <w:t>Loss of protective sensation removes the pain warning while poor arterial inflow impairs healing, so ingrown nails in these patients present late, ulcerate and can progress to osteomyelitis, gangrene and amputation.</w:t>
            </w:r>
          </w:p>
          <w:p>
            <w:pPr>
              <w:spacing w:after="40" w:before="60" w:line="259" w:lineRule="auto"/>
            </w:pPr>
            <w:r>
              <w:rPr>
                <w:rFonts w:ascii="Calibri" w:hAnsi="Calibri"/>
                <w:b w:val="0"/>
                <w:i w:val="0"/>
                <w:color w:val="212121"/>
                <w:sz w:val="19"/>
              </w:rPr>
              <w:t>Weak dorsalis pedis pulse independently predicted ingrown nails (OR 2.72); peripheral arterial disease was present in nearly half of diabetic patients with ingrown nails.</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#neuropathy  #PAD  #ischaemia  #amputationrisk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Onychomycosis / nail dystrophy</w:t>
            </w:r>
          </w:p>
        </w:tc>
        <w:tc>
          <w:tcPr>
            <w:tcW w:type="dxa" w:w="2160"/>
            <w:vAlign w:val="top"/>
          </w:tcPr>
          <w:p>
            <w:pPr>
              <w:spacing w:after="40" w:before="0" w:line="259" w:lineRule="auto"/>
            </w:pPr>
            <w:r>
              <w:rPr>
                <w:rFonts w:ascii="Calibri" w:hAnsi="Calibri"/>
                <w:b w:val="0"/>
                <w:i w:val="0"/>
                <w:color w:val="212121"/>
                <w:sz w:val="19"/>
              </w:rPr>
              <w:t>Thickened, fungal or dystrophic nails</w:t>
            </w:r>
          </w:p>
        </w:tc>
        <w:tc>
          <w:tcPr>
            <w:tcW w:type="dxa" w:w="4276"/>
            <w:vAlign w:val="top"/>
          </w:tcPr>
          <w:p>
            <w:pPr>
              <w:spacing w:after="60" w:line="259" w:lineRule="auto"/>
            </w:pPr>
            <w:r>
              <w:rPr>
                <w:rFonts w:ascii="Calibri" w:hAnsi="Calibri"/>
                <w:b w:val="0"/>
                <w:i w:val="0"/>
                <w:color w:val="212121"/>
                <w:sz w:val="19"/>
              </w:rPr>
              <w:t>Fungal or dystrophic nails become thick, widened and deformed, so the altered plate embeds into the fold; onychomycosis and ingrown nails commonly coexist and reinforce each other.</w:t>
            </w:r>
          </w:p>
          <w:p>
            <w:pPr>
              <w:spacing w:after="40" w:before="60" w:line="259" w:lineRule="auto"/>
            </w:pPr>
            <w:r>
              <w:rPr>
                <w:rFonts w:ascii="Calibri" w:hAnsi="Calibri"/>
                <w:b w:val="0"/>
                <w:i w:val="0"/>
                <w:color w:val="212121"/>
                <w:sz w:val="19"/>
              </w:rPr>
              <w:t>Onychomycosis was significantly more frequent in patients with ingrown nails (p = 0.032), and subungual hyperkeratosis independently raised risk (OR 4.3).</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#onychomycosis  #naildystrophy  #thicknails  #subungualhyperkeratosis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individuals</w:t>
            </w:r>
          </w:p>
        </w:tc>
        <w:tc>
          <w:tcPr>
            <w:tcW w:type="dxa" w:w="4276"/>
            <w:vAlign w:val="top"/>
          </w:tcPr>
          <w:p>
            <w:pPr>
              <w:spacing w:after="60" w:line="259" w:lineRule="auto"/>
            </w:pPr>
            <w:r>
              <w:rPr>
                <w:rFonts w:ascii="Calibri" w:hAnsi="Calibri"/>
                <w:b w:val="0"/>
                <w:i w:val="0"/>
                <w:color w:val="212121"/>
                <w:sz w:val="19"/>
              </w:rPr>
              <w:t>Excess weight crowds the toes, raises plantar pressure and is associated with sweating, dysglycaemia and impaired healing, all of which promote ingrowing and slow its resolution.</w:t>
            </w:r>
          </w:p>
          <w:p>
            <w:pPr>
              <w:spacing w:after="40" w:before="60" w:line="259" w:lineRule="auto"/>
            </w:pPr>
            <w:r>
              <w:rPr>
                <w:rFonts w:ascii="Calibri" w:hAnsi="Calibri"/>
                <w:b w:val="0"/>
                <w:i w:val="0"/>
                <w:color w:val="212121"/>
                <w:sz w:val="19"/>
              </w:rPr>
              <w:t>Each unit rise in BMI independently increased the odds of ingrown nails (OR 1.077) in adult diabetics.</w:t>
            </w:r>
          </w:p>
          <w:p>
            <w:pPr>
              <w:spacing w:after="40" w:line="252" w:lineRule="auto"/>
            </w:pPr>
            <w:hyperlink r:id="rId10">
              <w:r>
                <w:rPr>
                  <w:rFonts w:ascii="Calibri" w:hAnsi="Calibri" w:cs="Calibri"/>
                  <w:sz w:val="18"/>
                  <w:color w:val="1155CC"/>
                  <w:u w:val="single"/>
                </w:rPr>
                <w:t xml:space="preserve">pubmed.ncbi.nlm.nih.gov/29329712 — ingrown nails in diabetics</w:t>
              </w:r>
            </w:hyperlink>
          </w:p>
          <w:p>
            <w:pPr>
              <w:spacing w:before="60" w:after="40"/>
            </w:pPr>
            <w:r>
              <w:rPr>
                <w:rFonts w:ascii="Calibri" w:hAnsi="Calibri"/>
                <w:b w:val="0"/>
                <w:i w:val="0"/>
                <w:color w:val="5A5A5A"/>
                <w:sz w:val="18"/>
              </w:rPr>
              <w:t>#obesity  #toecrowding  #plantarpressure  #weight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Running and toe-impact sports cause repetitive microtrauma and heavy sweating that provoke ingrowing, yet regular activity that controls weight is net protective; well-fitting sports shoes and pre-activity nail trimming reduce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Energy-dense, high-glycaemic diets drive overweight/obesity and diabetes — which crowd the toes, thicken nails and impair healing — indirectly raising ingrown-nail risk and recurrence.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acts indirectly: poor or short sleep worsens metabolic control, immunity and tissue repair, which can slow healing of an infected nail fold.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dermal microcirculation and wound healing, favouring persistent granulation tissue, slower resolution and higher post-operative recurrence, especially in diabetics and vasculopaths.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contributes to peripheral neuropathy and self-care neglect, allowing painless progression to advanced infective stages before presentation.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cognitive impairment or low mood reduce day-to-day foot care and prompt help-seeking; conversely, chronic pain and difficulty walking harm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Systemic hydration has little direct role; what matters is surface moisture — keeping feet and nail folds dry (not fluid intake) prevents the maceration that eases ingrowing.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meaningful direct association between caffeine intake and onychocryptosis.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Foot hygiene and correct nail care are central: cutting straight across (not too short), washing and thoroughly drying feet, and changing damp socks prevent both ingrowing and secondary infection, while poor hygiene sustains it.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Tight/pointed/occlusive footwear, toe trauma, improper nail trimming and hyperhidrosis directly generate the mechanical and moist conditions that drive the nail edge into the fold.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Abnormal gait and foot posture (hallux valgus, pes planus, in-toeing) and localised weight-bearing pressure redistribute force onto the hallux and its nail fold, promoting ingrowing on the pressured side.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Nail-cutting technique</w:t>
            </w:r>
          </w:p>
        </w:tc>
        <w:tc>
          <w:tcPr>
            <w:tcW w:type="dxa" w:w="1655"/>
            <w:vAlign w:val="top"/>
          </w:tcPr>
          <w:p>
            <w:pPr>
              <w:spacing w:after="40" w:before="0" w:line="259" w:lineRule="auto"/>
            </w:pPr>
            <w:r>
              <w:rPr>
                <w:rFonts w:ascii="Calibri" w:hAnsi="Calibri"/>
                <w:b w:val="0"/>
                <w:i w:val="0"/>
                <w:color w:val="212121"/>
                <w:sz w:val="19"/>
              </w:rPr>
              <w:t>All, adolescents, diabetics</w:t>
            </w:r>
          </w:p>
        </w:tc>
        <w:tc>
          <w:tcPr>
            <w:tcW w:type="dxa" w:w="1512"/>
            <w:vAlign w:val="top"/>
          </w:tcPr>
          <w:p>
            <w:pPr>
              <w:spacing w:after="40" w:before="0" w:line="259" w:lineRule="auto"/>
            </w:pPr>
            <w:r>
              <w:rPr>
                <w:rFonts w:ascii="Calibri" w:hAnsi="Calibri"/>
                <w:b w:val="0"/>
                <w:i w:val="0"/>
                <w:color w:val="212121"/>
                <w:sz w:val="19"/>
              </w:rPr>
              <w:t>Cut straight across, level with the free edge (not shorter)</w:t>
            </w:r>
          </w:p>
        </w:tc>
        <w:tc>
          <w:tcPr>
            <w:tcW w:type="dxa" w:w="1512"/>
            <w:vAlign w:val="top"/>
          </w:tcPr>
          <w:p>
            <w:pPr>
              <w:spacing w:after="40" w:before="0" w:line="259" w:lineRule="auto"/>
            </w:pPr>
            <w:r>
              <w:rPr>
                <w:rFonts w:ascii="Calibri" w:hAnsi="Calibri"/>
                <w:b w:val="0"/>
                <w:i w:val="0"/>
                <w:color w:val="212121"/>
                <w:sz w:val="19"/>
              </w:rPr>
              <w:t>Corners rounded/dug out; nail cut too short; spicules left</w:t>
            </w:r>
          </w:p>
        </w:tc>
        <w:tc>
          <w:tcPr>
            <w:tcW w:type="dxa" w:w="1468"/>
            <w:vAlign w:val="top"/>
          </w:tcPr>
          <w:p>
            <w:pPr>
              <w:spacing w:after="60" w:line="259" w:lineRule="auto"/>
            </w:pPr>
            <w:r>
              <w:rPr>
                <w:rFonts w:ascii="Calibri" w:hAnsi="Calibri"/>
                <w:b w:val="0"/>
                <w:i w:val="0"/>
                <w:color w:val="212121"/>
                <w:sz w:val="19"/>
              </w:rPr>
              <w:t>Improper trimming is the commonest, most modifiable cause</w:t>
            </w:r>
          </w:p>
          <w:p>
            <w:pPr>
              <w:spacing w:after="40" w:line="252" w:lineRule="auto"/>
            </w:pPr>
            <w:hyperlink r:id="rId9">
              <w:r>
                <w:rPr>
                  <w:rFonts w:ascii="Calibri" w:hAnsi="Calibri" w:cs="Calibri"/>
                  <w:sz w:val="18"/>
                  <w:color w:val="1155CC"/>
                  <w:u w:val="single"/>
                </w:rPr>
                <w:t xml:space="preserve">https://pubmed.ncbi.nlm.nih.gov/31738836/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Foot washing &amp; drying</w:t>
            </w:r>
          </w:p>
        </w:tc>
        <w:tc>
          <w:tcPr>
            <w:tcW w:type="dxa" w:w="1655"/>
            <w:vAlign w:val="top"/>
          </w:tcPr>
          <w:p>
            <w:pPr>
              <w:spacing w:after="40" w:before="0" w:line="259" w:lineRule="auto"/>
            </w:pPr>
            <w:r>
              <w:rPr>
                <w:rFonts w:ascii="Calibri" w:hAnsi="Calibri"/>
                <w:b w:val="0"/>
                <w:i w:val="0"/>
                <w:color w:val="212121"/>
                <w:sz w:val="19"/>
              </w:rPr>
              <w:t>Hyperhidrosis, manual/outdoor workers</w:t>
            </w:r>
          </w:p>
        </w:tc>
        <w:tc>
          <w:tcPr>
            <w:tcW w:type="dxa" w:w="1512"/>
            <w:vAlign w:val="top"/>
          </w:tcPr>
          <w:p>
            <w:pPr>
              <w:spacing w:after="40" w:before="0" w:line="259" w:lineRule="auto"/>
            </w:pPr>
            <w:r>
              <w:rPr>
                <w:rFonts w:ascii="Calibri" w:hAnsi="Calibri"/>
                <w:b w:val="0"/>
                <w:i w:val="0"/>
                <w:color w:val="212121"/>
                <w:sz w:val="19"/>
              </w:rPr>
              <w:t>Wash and thoroughly dry feet daily; keep nail folds dry</w:t>
            </w:r>
          </w:p>
        </w:tc>
        <w:tc>
          <w:tcPr>
            <w:tcW w:type="dxa" w:w="1512"/>
            <w:vAlign w:val="top"/>
          </w:tcPr>
          <w:p>
            <w:pPr>
              <w:spacing w:after="40" w:before="0" w:line="259" w:lineRule="auto"/>
            </w:pPr>
            <w:r>
              <w:rPr>
                <w:rFonts w:ascii="Calibri" w:hAnsi="Calibri"/>
                <w:b w:val="0"/>
                <w:i w:val="0"/>
                <w:color w:val="212121"/>
                <w:sz w:val="19"/>
              </w:rPr>
              <w:t>Persistently damp, macerated folds; infrequent drying</w:t>
            </w:r>
          </w:p>
        </w:tc>
        <w:tc>
          <w:tcPr>
            <w:tcW w:type="dxa" w:w="1468"/>
            <w:vAlign w:val="top"/>
          </w:tcPr>
          <w:p>
            <w:pPr>
              <w:spacing w:after="40" w:before="0" w:line="259" w:lineRule="auto"/>
            </w:pPr>
            <w:r>
              <w:rPr>
                <w:rFonts w:ascii="Calibri" w:hAnsi="Calibri"/>
                <w:b w:val="0"/>
                <w:i w:val="0"/>
                <w:color w:val="212121"/>
                <w:sz w:val="19"/>
              </w:rPr>
              <w:t>Moisture softens skin and nail, easing ingrowing and infection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Footwear fit (toe-box / heel)</w:t>
            </w:r>
          </w:p>
        </w:tc>
        <w:tc>
          <w:tcPr>
            <w:tcW w:type="dxa" w:w="1655"/>
            <w:vAlign w:val="top"/>
          </w:tcPr>
          <w:p>
            <w:pPr>
              <w:spacing w:after="40" w:before="0" w:line="259" w:lineRule="auto"/>
            </w:pPr>
            <w:r>
              <w:rPr>
                <w:rFonts w:ascii="Calibri" w:hAnsi="Calibri"/>
                <w:b w:val="0"/>
                <w:i w:val="0"/>
                <w:color w:val="212121"/>
                <w:sz w:val="19"/>
              </w:rPr>
              <w:t>All, athletes, formal-shoe wearers</w:t>
            </w:r>
          </w:p>
        </w:tc>
        <w:tc>
          <w:tcPr>
            <w:tcW w:type="dxa" w:w="1512"/>
            <w:vAlign w:val="top"/>
          </w:tcPr>
          <w:p>
            <w:pPr>
              <w:spacing w:after="40" w:before="0" w:line="259" w:lineRule="auto"/>
            </w:pPr>
            <w:r>
              <w:rPr>
                <w:rFonts w:ascii="Calibri" w:hAnsi="Calibri"/>
                <w:b w:val="0"/>
                <w:i w:val="0"/>
                <w:color w:val="212121"/>
                <w:sz w:val="19"/>
              </w:rPr>
              <w:t>Roomy toe-box; heel &lt; 4 cm; breathable material</w:t>
            </w:r>
          </w:p>
        </w:tc>
        <w:tc>
          <w:tcPr>
            <w:tcW w:type="dxa" w:w="1512"/>
            <w:vAlign w:val="top"/>
          </w:tcPr>
          <w:p>
            <w:pPr>
              <w:spacing w:after="40" w:before="0" w:line="259" w:lineRule="auto"/>
            </w:pPr>
            <w:r>
              <w:rPr>
                <w:rFonts w:ascii="Calibri" w:hAnsi="Calibri"/>
                <w:b w:val="0"/>
                <w:i w:val="0"/>
                <w:color w:val="212121"/>
                <w:sz w:val="19"/>
              </w:rPr>
              <w:t>Tight, pointed or high-heeled/occlusive shoes</w:t>
            </w:r>
          </w:p>
        </w:tc>
        <w:tc>
          <w:tcPr>
            <w:tcW w:type="dxa" w:w="1468"/>
            <w:vAlign w:val="top"/>
          </w:tcPr>
          <w:p>
            <w:pPr>
              <w:spacing w:after="60" w:line="259" w:lineRule="auto"/>
            </w:pPr>
            <w:r>
              <w:rPr>
                <w:rFonts w:ascii="Calibri" w:hAnsi="Calibri"/>
                <w:b w:val="0"/>
                <w:i w:val="0"/>
                <w:color w:val="212121"/>
                <w:sz w:val="19"/>
              </w:rPr>
              <w:t>Compression forces the nail edge into the fold</w:t>
            </w:r>
          </w:p>
          <w:p>
            <w:pPr>
              <w:spacing w:after="40" w:line="252" w:lineRule="auto"/>
            </w:pPr>
            <w:hyperlink r:id="rId13">
              <w:r>
                <w:rPr>
                  <w:rFonts w:ascii="Calibri" w:hAnsi="Calibri" w:cs="Calibri"/>
                  <w:sz w:val="18"/>
                  <w:color w:val="1155CC"/>
                  <w:u w:val="single"/>
                </w:rPr>
                <w:t xml:space="preserve">https://dermnetnz.org/topics/ingrown-toenail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Plantar sweating (hyperhidrosis)</w:t>
            </w:r>
          </w:p>
        </w:tc>
        <w:tc>
          <w:tcPr>
            <w:tcW w:type="dxa" w:w="1655"/>
            <w:vAlign w:val="top"/>
          </w:tcPr>
          <w:p>
            <w:pPr>
              <w:spacing w:after="40" w:before="0" w:line="259" w:lineRule="auto"/>
            </w:pPr>
            <w:r>
              <w:rPr>
                <w:rFonts w:ascii="Calibri" w:hAnsi="Calibri"/>
                <w:b w:val="0"/>
                <w:i w:val="0"/>
                <w:color w:val="212121"/>
                <w:sz w:val="19"/>
              </w:rPr>
              <w:t>Sweaty-feet individuals, hot-humid regions</w:t>
            </w:r>
          </w:p>
        </w:tc>
        <w:tc>
          <w:tcPr>
            <w:tcW w:type="dxa" w:w="1512"/>
            <w:vAlign w:val="top"/>
          </w:tcPr>
          <w:p>
            <w:pPr>
              <w:spacing w:after="40" w:before="0" w:line="259" w:lineRule="auto"/>
            </w:pPr>
            <w:r>
              <w:rPr>
                <w:rFonts w:ascii="Calibri" w:hAnsi="Calibri"/>
                <w:b w:val="0"/>
                <w:i w:val="0"/>
                <w:color w:val="212121"/>
                <w:sz w:val="19"/>
              </w:rPr>
              <w:t>Dry feet; moisture-wicking cotton socks changed when damp</w:t>
            </w:r>
          </w:p>
        </w:tc>
        <w:tc>
          <w:tcPr>
            <w:tcW w:type="dxa" w:w="1512"/>
            <w:vAlign w:val="top"/>
          </w:tcPr>
          <w:p>
            <w:pPr>
              <w:spacing w:after="40" w:before="0" w:line="259" w:lineRule="auto"/>
            </w:pPr>
            <w:r>
              <w:rPr>
                <w:rFonts w:ascii="Calibri" w:hAnsi="Calibri"/>
                <w:b w:val="0"/>
                <w:i w:val="0"/>
                <w:color w:val="212121"/>
                <w:sz w:val="19"/>
              </w:rPr>
              <w:t>Excessive foot sweating; occlusive synthetic socks/shoes</w:t>
            </w:r>
          </w:p>
        </w:tc>
        <w:tc>
          <w:tcPr>
            <w:tcW w:type="dxa" w:w="1468"/>
            <w:vAlign w:val="top"/>
          </w:tcPr>
          <w:p>
            <w:pPr>
              <w:spacing w:after="60" w:line="259" w:lineRule="auto"/>
            </w:pPr>
            <w:r>
              <w:rPr>
                <w:rFonts w:ascii="Calibri" w:hAnsi="Calibri"/>
                <w:b w:val="0"/>
                <w:i w:val="0"/>
                <w:color w:val="212121"/>
                <w:sz w:val="19"/>
              </w:rPr>
              <w:t>Hyperhidrosis is an established risk factor</w:t>
            </w:r>
          </w:p>
          <w:p>
            <w:pPr>
              <w:spacing w:after="40" w:line="252" w:lineRule="auto"/>
            </w:pPr>
            <w:hyperlink r:id="rId11">
              <w:r>
                <w:rPr>
                  <w:rFonts w:ascii="Calibri" w:hAnsi="Calibri" w:cs="Calibri"/>
                  <w:sz w:val="18"/>
                  <w:color w:val="1155CC"/>
                  <w:u w:val="single"/>
                </w:rPr>
                <w:t xml:space="preserve">https://www.ncbi.nlm.nih.gov/books/NBK546697/</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Each BMI unit independently raises ingrown-nail odds (OR 1.08)</w:t>
            </w:r>
          </w:p>
          <w:p>
            <w:pPr>
              <w:spacing w:after="40" w:line="252" w:lineRule="auto"/>
            </w:pPr>
            <w:hyperlink r:id="rId10">
              <w:r>
                <w:rPr>
                  <w:rFonts w:ascii="Calibri" w:hAnsi="Calibri" w:cs="Calibri"/>
                  <w:sz w:val="18"/>
                  <w:color w:val="1155CC"/>
                  <w:u w:val="single"/>
                </w:rPr>
                <w:t xml:space="preserve">https://pubmed.ncbi.nlm.nih.gov/29329712/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Sport/running load &amp; footwear</w:t>
            </w:r>
          </w:p>
        </w:tc>
        <w:tc>
          <w:tcPr>
            <w:tcW w:type="dxa" w:w="1655"/>
            <w:vAlign w:val="top"/>
          </w:tcPr>
          <w:p>
            <w:pPr>
              <w:spacing w:after="40" w:before="0" w:line="259" w:lineRule="auto"/>
            </w:pPr>
            <w:r>
              <w:rPr>
                <w:rFonts w:ascii="Calibri" w:hAnsi="Calibri"/>
                <w:b w:val="0"/>
                <w:i w:val="0"/>
                <w:color w:val="212121"/>
                <w:sz w:val="19"/>
              </w:rPr>
              <w:t>Athletes, runners, active youth</w:t>
            </w:r>
          </w:p>
        </w:tc>
        <w:tc>
          <w:tcPr>
            <w:tcW w:type="dxa" w:w="1512"/>
            <w:vAlign w:val="top"/>
          </w:tcPr>
          <w:p>
            <w:pPr>
              <w:spacing w:after="40" w:before="0" w:line="259" w:lineRule="auto"/>
            </w:pPr>
            <w:r>
              <w:rPr>
                <w:rFonts w:ascii="Calibri" w:hAnsi="Calibri"/>
                <w:b w:val="0"/>
                <w:i w:val="0"/>
                <w:color w:val="212121"/>
                <w:sz w:val="19"/>
              </w:rPr>
              <w:t>Well-fitting sports shoes; trim nails before activity</w:t>
            </w:r>
          </w:p>
        </w:tc>
        <w:tc>
          <w:tcPr>
            <w:tcW w:type="dxa" w:w="1512"/>
            <w:vAlign w:val="top"/>
          </w:tcPr>
          <w:p>
            <w:pPr>
              <w:spacing w:after="40" w:before="0" w:line="259" w:lineRule="auto"/>
            </w:pPr>
            <w:r>
              <w:rPr>
                <w:rFonts w:ascii="Calibri" w:hAnsi="Calibri"/>
                <w:b w:val="0"/>
                <w:i w:val="0"/>
                <w:color w:val="212121"/>
                <w:sz w:val="19"/>
              </w:rPr>
              <w:t>Repetitive toe microtrauma in tight sports shoes</w:t>
            </w:r>
          </w:p>
        </w:tc>
        <w:tc>
          <w:tcPr>
            <w:tcW w:type="dxa" w:w="1468"/>
            <w:vAlign w:val="top"/>
          </w:tcPr>
          <w:p>
            <w:pPr>
              <w:spacing w:after="40" w:before="0" w:line="259" w:lineRule="auto"/>
            </w:pPr>
            <w:r>
              <w:rPr>
                <w:rFonts w:ascii="Calibri" w:hAnsi="Calibri"/>
                <w:b w:val="0"/>
                <w:i w:val="0"/>
                <w:color w:val="212121"/>
                <w:sz w:val="19"/>
              </w:rPr>
              <w:t>Sport and trauma are recognised triggers in the young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 / at-risk adults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 (diabetes)</w:t>
            </w:r>
          </w:p>
        </w:tc>
        <w:tc>
          <w:tcPr>
            <w:tcW w:type="dxa" w:w="1468"/>
            <w:vAlign w:val="top"/>
          </w:tcPr>
          <w:p>
            <w:pPr>
              <w:spacing w:after="60" w:line="259" w:lineRule="auto"/>
            </w:pPr>
            <w:r>
              <w:rPr>
                <w:rFonts w:ascii="Calibri" w:hAnsi="Calibri"/>
                <w:b w:val="0"/>
                <w:i w:val="0"/>
                <w:color w:val="212121"/>
                <w:sz w:val="19"/>
              </w:rPr>
              <w:t>Poor glycaemic control impairs healing and raises foot-infection risk</w:t>
            </w:r>
          </w:p>
          <w:p>
            <w:pPr>
              <w:spacing w:after="40" w:line="252" w:lineRule="auto"/>
            </w:pPr>
            <w:hyperlink r:id="rId10">
              <w:r>
                <w:rPr>
                  <w:rFonts w:ascii="Calibri" w:hAnsi="Calibri" w:cs="Calibri"/>
                  <w:sz w:val="18"/>
                  <w:color w:val="1155CC"/>
                  <w:u w:val="single"/>
                </w:rPr>
                <w:t xml:space="preserve">https://pubmed.ncbi.nlm.nih.gov/29329712/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Smoking impairs microcirculation and post-operative nail-fold healing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Nail-plate curvature / width</w:t>
            </w:r>
          </w:p>
        </w:tc>
        <w:tc>
          <w:tcPr>
            <w:tcW w:type="dxa" w:w="1655"/>
            <w:vAlign w:val="top"/>
          </w:tcPr>
          <w:p>
            <w:pPr>
              <w:spacing w:after="40" w:before="0" w:line="259" w:lineRule="auto"/>
            </w:pPr>
            <w:r>
              <w:rPr>
                <w:rFonts w:ascii="Calibri" w:hAnsi="Calibri"/>
                <w:b w:val="0"/>
                <w:i w:val="0"/>
                <w:color w:val="212121"/>
                <w:sz w:val="19"/>
              </w:rPr>
              <w:t>Pincer / wide-nail, family history</w:t>
            </w:r>
          </w:p>
        </w:tc>
        <w:tc>
          <w:tcPr>
            <w:tcW w:type="dxa" w:w="1512"/>
            <w:vAlign w:val="top"/>
          </w:tcPr>
          <w:p>
            <w:pPr>
              <w:spacing w:after="40" w:before="0" w:line="259" w:lineRule="auto"/>
            </w:pPr>
            <w:r>
              <w:rPr>
                <w:rFonts w:ascii="Calibri" w:hAnsi="Calibri"/>
                <w:b w:val="0"/>
                <w:i w:val="0"/>
                <w:color w:val="212121"/>
                <w:sz w:val="19"/>
              </w:rPr>
              <w:t>Flat, normal-width plate</w:t>
            </w:r>
          </w:p>
        </w:tc>
        <w:tc>
          <w:tcPr>
            <w:tcW w:type="dxa" w:w="1512"/>
            <w:vAlign w:val="top"/>
          </w:tcPr>
          <w:p>
            <w:pPr>
              <w:spacing w:after="40" w:before="0" w:line="259" w:lineRule="auto"/>
            </w:pPr>
            <w:r>
              <w:rPr>
                <w:rFonts w:ascii="Calibri" w:hAnsi="Calibri"/>
                <w:b w:val="0"/>
                <w:i w:val="0"/>
                <w:color w:val="212121"/>
                <w:sz w:val="19"/>
              </w:rPr>
              <w:t>Over-curved (pincer) or excessively wide nail plate</w:t>
            </w:r>
          </w:p>
        </w:tc>
        <w:tc>
          <w:tcPr>
            <w:tcW w:type="dxa" w:w="1468"/>
            <w:vAlign w:val="top"/>
          </w:tcPr>
          <w:p>
            <w:pPr>
              <w:spacing w:after="60" w:line="259" w:lineRule="auto"/>
            </w:pPr>
            <w:r>
              <w:rPr>
                <w:rFonts w:ascii="Calibri" w:hAnsi="Calibri"/>
                <w:b w:val="0"/>
                <w:i w:val="0"/>
                <w:color w:val="212121"/>
                <w:sz w:val="19"/>
              </w:rPr>
              <w:t>Intrinsic nail morphology predisposes to embedding</w:t>
            </w:r>
          </w:p>
          <w:p>
            <w:pPr>
              <w:spacing w:after="40" w:line="252" w:lineRule="auto"/>
            </w:pPr>
            <w:hyperlink r:id="rId11">
              <w:r>
                <w:rPr>
                  <w:rFonts w:ascii="Calibri" w:hAnsi="Calibri" w:cs="Calibri"/>
                  <w:sz w:val="18"/>
                  <w:color w:val="1155CC"/>
                  <w:u w:val="single"/>
                </w:rPr>
                <w:t xml:space="preserve">https://www.ncbi.nlm.nih.gov/books/NBK546697/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Pathogenic bacteria</w:t>
            </w:r>
          </w:p>
        </w:tc>
        <w:tc>
          <w:tcPr>
            <w:tcW w:type="dxa" w:w="892"/>
            <w:vAlign w:val="top"/>
          </w:tcPr>
          <w:p>
            <w:pPr>
              <w:spacing w:after="40" w:before="0" w:line="259" w:lineRule="auto"/>
            </w:pPr>
            <w:r>
              <w:rPr>
                <w:rFonts w:ascii="Calibri" w:hAnsi="Calibri"/>
                <w:b w:val="0"/>
                <w:i w:val="0"/>
                <w:color w:val="212121"/>
                <w:sz w:val="16"/>
              </w:rPr>
              <w:t>Wound swab, Gram stain &amp; culture/sensitivity</w:t>
            </w:r>
          </w:p>
        </w:tc>
        <w:tc>
          <w:tcPr>
            <w:tcW w:type="dxa" w:w="950"/>
            <w:vAlign w:val="top"/>
          </w:tcPr>
          <w:p>
            <w:pPr>
              <w:spacing w:after="40" w:before="0" w:line="259" w:lineRule="auto"/>
            </w:pPr>
            <w:r>
              <w:rPr>
                <w:rFonts w:ascii="Calibri" w:hAnsi="Calibri"/>
                <w:b w:val="0"/>
                <w:i w:val="0"/>
                <w:color w:val="212121"/>
                <w:sz w:val="16"/>
              </w:rPr>
              <w:t>Skin commensals only</w:t>
            </w:r>
          </w:p>
        </w:tc>
        <w:tc>
          <w:tcPr>
            <w:tcW w:type="dxa" w:w="950"/>
            <w:vAlign w:val="top"/>
          </w:tcPr>
          <w:p>
            <w:pPr>
              <w:spacing w:after="40" w:before="0" w:line="259" w:lineRule="auto"/>
            </w:pPr>
            <w:r>
              <w:rPr>
                <w:rFonts w:ascii="Calibri" w:hAnsi="Calibri"/>
                <w:b w:val="0"/>
                <w:i w:val="0"/>
                <w:color w:val="212121"/>
                <w:sz w:val="16"/>
              </w:rPr>
              <w:t>Staphylococcus aureus, streptococci or gram-negative growth</w:t>
            </w:r>
          </w:p>
        </w:tc>
        <w:tc>
          <w:tcPr>
            <w:tcW w:type="dxa" w:w="1036"/>
            <w:vAlign w:val="top"/>
          </w:tcPr>
          <w:p>
            <w:pPr>
              <w:spacing w:after="40" w:before="0" w:line="259" w:lineRule="auto"/>
            </w:pPr>
            <w:r>
              <w:rPr>
                <w:rFonts w:ascii="Calibri" w:hAnsi="Calibri"/>
                <w:b w:val="0"/>
                <w:i w:val="0"/>
                <w:color w:val="212121"/>
                <w:sz w:val="16"/>
              </w:rPr>
              <w:t>Confirms secondary infection of the nail fold and guides antibiotic choice</w:t>
            </w:r>
          </w:p>
        </w:tc>
        <w:tc>
          <w:tcPr>
            <w:tcW w:type="dxa" w:w="1036"/>
            <w:vAlign w:val="top"/>
          </w:tcPr>
          <w:p>
            <w:pPr>
              <w:spacing w:after="40" w:before="0" w:line="259" w:lineRule="auto"/>
            </w:pPr>
            <w:r>
              <w:rPr>
                <w:rFonts w:ascii="Calibri" w:hAnsi="Calibri"/>
                <w:b w:val="0"/>
                <w:i w:val="0"/>
                <w:color w:val="212121"/>
                <w:sz w:val="16"/>
              </w:rPr>
              <w:t>Purulent, malodorous, spreading or recurrent lesions; diabetics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Guides therapy</w:t>
            </w:r>
          </w:p>
        </w:tc>
        <w:tc>
          <w:tcPr>
            <w:tcW w:type="dxa" w:w="720"/>
            <w:vAlign w:val="top"/>
          </w:tcPr>
          <w:p>
            <w:pPr>
              <w:spacing w:after="40" w:before="0" w:line="259" w:lineRule="auto"/>
            </w:pPr>
            <w:r>
              <w:rPr>
                <w:rFonts w:ascii="Calibri" w:hAnsi="Calibri"/>
                <w:b w:val="0"/>
                <w:i w:val="0"/>
                <w:color w:val="212121"/>
                <w:sz w:val="16"/>
              </w:rPr>
              <w:t>Take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&lt; 5.7 %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Detects undiagnosed or poorly controlled diabetes that impairs healing and raises foot-infection risk</w:t>
            </w:r>
          </w:p>
        </w:tc>
        <w:tc>
          <w:tcPr>
            <w:tcW w:type="dxa" w:w="1036"/>
            <w:vAlign w:val="top"/>
          </w:tcPr>
          <w:p>
            <w:pPr>
              <w:spacing w:after="40" w:before="0" w:line="259" w:lineRule="auto"/>
            </w:pPr>
            <w:r>
              <w:rPr>
                <w:rFonts w:ascii="Calibri" w:hAnsi="Calibri"/>
                <w:b w:val="0"/>
                <w:i w:val="0"/>
                <w:color w:val="212121"/>
                <w:sz w:val="16"/>
              </w:rPr>
              <w:t>Recurrent, painless or poorly healing lesions; obese; family history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Mandatory before surgical matricectomy in suspected diabetics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Fungal elements / isolate</w:t>
            </w:r>
          </w:p>
        </w:tc>
        <w:tc>
          <w:tcPr>
            <w:tcW w:type="dxa" w:w="892"/>
            <w:vAlign w:val="top"/>
          </w:tcPr>
          <w:p>
            <w:pPr>
              <w:spacing w:after="40" w:before="0" w:line="259" w:lineRule="auto"/>
            </w:pPr>
            <w:r>
              <w:rPr>
                <w:rFonts w:ascii="Calibri" w:hAnsi="Calibri"/>
                <w:b w:val="0"/>
                <w:i w:val="0"/>
                <w:color w:val="212121"/>
                <w:sz w:val="16"/>
              </w:rPr>
              <w:t>KOH microscopy &amp; fungal culture of nail clippings</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Dermatophyte hyphae or Candida; positive culture</w:t>
            </w:r>
          </w:p>
        </w:tc>
        <w:tc>
          <w:tcPr>
            <w:tcW w:type="dxa" w:w="1036"/>
            <w:vAlign w:val="top"/>
          </w:tcPr>
          <w:p>
            <w:pPr>
              <w:spacing w:after="40" w:before="0" w:line="259" w:lineRule="auto"/>
            </w:pPr>
            <w:r>
              <w:rPr>
                <w:rFonts w:ascii="Calibri" w:hAnsi="Calibri"/>
                <w:b w:val="0"/>
                <w:i w:val="0"/>
                <w:color w:val="212121"/>
                <w:sz w:val="16"/>
              </w:rPr>
              <w:t>Confirms coexisting onychomycosis driving nail thickening/deformity</w:t>
            </w:r>
          </w:p>
        </w:tc>
        <w:tc>
          <w:tcPr>
            <w:tcW w:type="dxa" w:w="1036"/>
            <w:vAlign w:val="top"/>
          </w:tcPr>
          <w:p>
            <w:pPr>
              <w:spacing w:after="40" w:before="0" w:line="259" w:lineRule="auto"/>
            </w:pPr>
            <w:r>
              <w:rPr>
                <w:rFonts w:ascii="Calibri" w:hAnsi="Calibri"/>
                <w:b w:val="0"/>
                <w:i w:val="0"/>
                <w:color w:val="212121"/>
                <w:sz w:val="16"/>
              </w:rPr>
              <w:t>Thick, discoloured or dystrophic nails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Onychomycosis is significantly commoner with ingrown nails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Distal phalanx / subungual bone</w:t>
            </w:r>
          </w:p>
        </w:tc>
        <w:tc>
          <w:tcPr>
            <w:tcW w:type="dxa" w:w="892"/>
            <w:vAlign w:val="top"/>
          </w:tcPr>
          <w:p>
            <w:pPr>
              <w:spacing w:after="40" w:before="0" w:line="259" w:lineRule="auto"/>
            </w:pPr>
            <w:r>
              <w:rPr>
                <w:rFonts w:ascii="Calibri" w:hAnsi="Calibri"/>
                <w:b w:val="0"/>
                <w:i w:val="0"/>
                <w:color w:val="212121"/>
                <w:sz w:val="16"/>
              </w:rPr>
              <w:t>Plain radiograph of the toe</w:t>
            </w:r>
          </w:p>
        </w:tc>
        <w:tc>
          <w:tcPr>
            <w:tcW w:type="dxa" w:w="950"/>
            <w:vAlign w:val="top"/>
          </w:tcPr>
          <w:p>
            <w:pPr>
              <w:spacing w:after="40" w:before="0" w:line="259" w:lineRule="auto"/>
            </w:pPr>
            <w:r>
              <w:rPr>
                <w:rFonts w:ascii="Calibri" w:hAnsi="Calibri"/>
                <w:b w:val="0"/>
                <w:i w:val="0"/>
                <w:color w:val="212121"/>
                <w:sz w:val="16"/>
              </w:rPr>
              <w:t>Normal bone and soft tissue</w:t>
            </w:r>
          </w:p>
        </w:tc>
        <w:tc>
          <w:tcPr>
            <w:tcW w:type="dxa" w:w="950"/>
            <w:vAlign w:val="top"/>
          </w:tcPr>
          <w:p>
            <w:pPr>
              <w:spacing w:after="40" w:before="0" w:line="259" w:lineRule="auto"/>
            </w:pPr>
            <w:r>
              <w:rPr>
                <w:rFonts w:ascii="Calibri" w:hAnsi="Calibri"/>
                <w:b w:val="0"/>
                <w:i w:val="0"/>
                <w:color w:val="212121"/>
                <w:sz w:val="16"/>
              </w:rPr>
              <w:t>Subungual exostosis; cortical erosion/lucency of osteomyelitis</w:t>
            </w:r>
          </w:p>
        </w:tc>
        <w:tc>
          <w:tcPr>
            <w:tcW w:type="dxa" w:w="1036"/>
            <w:vAlign w:val="top"/>
          </w:tcPr>
          <w:p>
            <w:pPr>
              <w:spacing w:after="40" w:before="0" w:line="259" w:lineRule="auto"/>
            </w:pPr>
            <w:r>
              <w:rPr>
                <w:rFonts w:ascii="Calibri" w:hAnsi="Calibri"/>
                <w:b w:val="0"/>
                <w:i w:val="0"/>
                <w:color w:val="212121"/>
                <w:sz w:val="16"/>
              </w:rPr>
              <w:t>Excludes an underlying bony spur and detects osteomyelitis in deep/chronic infection</w:t>
            </w:r>
          </w:p>
        </w:tc>
        <w:tc>
          <w:tcPr>
            <w:tcW w:type="dxa" w:w="1036"/>
            <w:vAlign w:val="top"/>
          </w:tcPr>
          <w:p>
            <w:pPr>
              <w:spacing w:after="40" w:before="0" w:line="259" w:lineRule="auto"/>
            </w:pPr>
            <w:r>
              <w:rPr>
                <w:rFonts w:ascii="Calibri" w:hAnsi="Calibri"/>
                <w:b w:val="0"/>
                <w:i w:val="0"/>
                <w:color w:val="212121"/>
                <w:sz w:val="16"/>
              </w:rPr>
              <w:t>Chronic, recurrent or treatment-resistant lesions; diabetics with deep infection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Reserved</w:t>
            </w:r>
          </w:p>
        </w:tc>
        <w:tc>
          <w:tcPr>
            <w:tcW w:type="dxa" w:w="720"/>
            <w:vAlign w:val="top"/>
          </w:tcPr>
          <w:p>
            <w:pPr>
              <w:spacing w:after="40" w:before="0" w:line="259" w:lineRule="auto"/>
            </w:pPr>
            <w:r>
              <w:rPr>
                <w:rFonts w:ascii="Calibri" w:hAnsi="Calibri"/>
                <w:b w:val="0"/>
                <w:i w:val="0"/>
                <w:color w:val="212121"/>
                <w:sz w:val="16"/>
              </w:rPr>
              <w:t>Order when a bony cause or osteomyelitis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w:t>
            </w:r>
          </w:p>
        </w:tc>
        <w:tc>
          <w:tcPr>
            <w:tcW w:type="dxa" w:w="1036"/>
            <w:vAlign w:val="top"/>
          </w:tcPr>
          <w:p>
            <w:pPr>
              <w:spacing w:after="40" w:before="0" w:line="259" w:lineRule="auto"/>
            </w:pPr>
            <w:r>
              <w:rPr>
                <w:rFonts w:ascii="Calibri" w:hAnsi="Calibri"/>
                <w:b w:val="0"/>
                <w:i w:val="0"/>
                <w:color w:val="212121"/>
                <w:sz w:val="16"/>
              </w:rPr>
              <w:t>Ankle–brachial index / arterial Doppler</w:t>
            </w:r>
          </w:p>
        </w:tc>
        <w:tc>
          <w:tcPr>
            <w:tcW w:type="dxa" w:w="892"/>
            <w:vAlign w:val="top"/>
          </w:tcPr>
          <w:p>
            <w:pPr>
              <w:spacing w:after="40" w:before="0" w:line="259" w:lineRule="auto"/>
            </w:pPr>
            <w:r>
              <w:rPr>
                <w:rFonts w:ascii="Calibri" w:hAnsi="Calibri"/>
                <w:b w:val="0"/>
                <w:i w:val="0"/>
                <w:color w:val="212121"/>
                <w:sz w:val="16"/>
              </w:rPr>
              <w:t>Peripheral arterial assessment</w:t>
            </w:r>
          </w:p>
        </w:tc>
        <w:tc>
          <w:tcPr>
            <w:tcW w:type="dxa" w:w="950"/>
            <w:vAlign w:val="top"/>
          </w:tcPr>
          <w:p>
            <w:pPr>
              <w:spacing w:after="40" w:before="0" w:line="259" w:lineRule="auto"/>
            </w:pPr>
            <w:r>
              <w:rPr>
                <w:rFonts w:ascii="Calibri" w:hAnsi="Calibri"/>
                <w:b w:val="0"/>
                <w:i w:val="0"/>
                <w:color w:val="212121"/>
                <w:sz w:val="16"/>
              </w:rPr>
              <w:t>ABI 0.9–1.3; triphasic flow</w:t>
            </w:r>
          </w:p>
        </w:tc>
        <w:tc>
          <w:tcPr>
            <w:tcW w:type="dxa" w:w="950"/>
            <w:vAlign w:val="top"/>
          </w:tcPr>
          <w:p>
            <w:pPr>
              <w:spacing w:after="40" w:before="0" w:line="259" w:lineRule="auto"/>
            </w:pPr>
            <w:r>
              <w:rPr>
                <w:rFonts w:ascii="Calibri" w:hAnsi="Calibri"/>
                <w:b w:val="0"/>
                <w:i w:val="0"/>
                <w:color w:val="212121"/>
                <w:sz w:val="16"/>
              </w:rPr>
              <w:t>ABI &lt; 0.9; monophasic/absent flow (peripheral arterial disease)</w:t>
            </w:r>
          </w:p>
        </w:tc>
        <w:tc>
          <w:tcPr>
            <w:tcW w:type="dxa" w:w="1036"/>
            <w:vAlign w:val="top"/>
          </w:tcPr>
          <w:p>
            <w:pPr>
              <w:spacing w:after="40" w:before="0" w:line="259" w:lineRule="auto"/>
            </w:pPr>
            <w:r>
              <w:rPr>
                <w:rFonts w:ascii="Calibri" w:hAnsi="Calibri"/>
                <w:b w:val="0"/>
                <w:i w:val="0"/>
                <w:color w:val="212121"/>
                <w:sz w:val="16"/>
              </w:rPr>
              <w:t>Grades arterial inflow and healing capacity before any surgical procedure</w:t>
            </w:r>
          </w:p>
        </w:tc>
        <w:tc>
          <w:tcPr>
            <w:tcW w:type="dxa" w:w="1036"/>
            <w:vAlign w:val="top"/>
          </w:tcPr>
          <w:p>
            <w:pPr>
              <w:spacing w:after="40" w:before="0" w:line="259" w:lineRule="auto"/>
            </w:pPr>
            <w:r>
              <w:rPr>
                <w:rFonts w:ascii="Calibri" w:hAnsi="Calibri"/>
                <w:b w:val="0"/>
                <w:i w:val="0"/>
                <w:color w:val="212121"/>
                <w:sz w:val="16"/>
              </w:rPr>
              <w:t>Diabetics, elderly, smokers, weak pedal pulses</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PAD was found in ~46.9% of diabetics with ingrown nails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WBC, ESR,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Leukocytosis; raised ESR/CRP</w:t>
            </w:r>
          </w:p>
        </w:tc>
        <w:tc>
          <w:tcPr>
            <w:tcW w:type="dxa" w:w="1036"/>
            <w:vAlign w:val="top"/>
          </w:tcPr>
          <w:p>
            <w:pPr>
              <w:spacing w:after="40" w:before="0" w:line="259" w:lineRule="auto"/>
            </w:pPr>
            <w:r>
              <w:rPr>
                <w:rFonts w:ascii="Calibri" w:hAnsi="Calibri"/>
                <w:b w:val="0"/>
                <w:i w:val="0"/>
                <w:color w:val="212121"/>
                <w:sz w:val="16"/>
              </w:rPr>
              <w:t>Supports spreading cellulitis or deep/systemic infection needing systemic therapy</w:t>
            </w:r>
          </w:p>
        </w:tc>
        <w:tc>
          <w:tcPr>
            <w:tcW w:type="dxa" w:w="1036"/>
            <w:vAlign w:val="top"/>
          </w:tcPr>
          <w:p>
            <w:pPr>
              <w:spacing w:after="40" w:before="0" w:line="259" w:lineRule="auto"/>
            </w:pPr>
            <w:r>
              <w:rPr>
                <w:rFonts w:ascii="Calibri" w:hAnsi="Calibri"/>
                <w:b w:val="0"/>
                <w:i w:val="0"/>
                <w:color w:val="212121"/>
                <w:sz w:val="16"/>
              </w:rPr>
              <w:t>Fever, spreading cellulitis, suspected osteomyelitis/sepsis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Escalate care if systemically unwell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Nail-fold pain, swelling, discharge, difficulty walking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Symptomatic onychocryptosis; painless in neuropathic diabetics</w:t>
            </w:r>
          </w:p>
        </w:tc>
        <w:tc>
          <w:tcPr>
            <w:tcW w:type="dxa" w:w="1036"/>
            <w:vAlign w:val="top"/>
          </w:tcPr>
          <w:p>
            <w:pPr>
              <w:spacing w:after="40" w:before="0" w:line="259" w:lineRule="auto"/>
            </w:pPr>
            <w:r>
              <w:rPr>
                <w:rFonts w:ascii="Calibri" w:hAnsi="Calibri"/>
                <w:b w:val="0"/>
                <w:i w:val="0"/>
                <w:color w:val="212121"/>
                <w:sz w:val="16"/>
              </w:rPr>
              <w:t>Adolescents, athletes, diabetics, elderly</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footwear, trauma and nail-cutting habits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Nail-fold appearance &amp; staging</w:t>
            </w:r>
          </w:p>
        </w:tc>
        <w:tc>
          <w:tcPr>
            <w:tcW w:type="dxa" w:w="979"/>
            <w:vAlign w:val="top"/>
          </w:tcPr>
          <w:p>
            <w:pPr>
              <w:spacing w:after="40" w:before="0" w:line="259" w:lineRule="auto"/>
            </w:pPr>
            <w:r>
              <w:rPr>
                <w:rFonts w:ascii="Calibri" w:hAnsi="Calibri"/>
                <w:b w:val="0"/>
                <w:i w:val="0"/>
                <w:color w:val="212121"/>
                <w:sz w:val="16"/>
              </w:rPr>
              <w:t>Erythema, oedema, discharge, granulation, embedded spicule</w:t>
            </w:r>
          </w:p>
        </w:tc>
        <w:tc>
          <w:tcPr>
            <w:tcW w:type="dxa" w:w="950"/>
            <w:vAlign w:val="top"/>
          </w:tcPr>
          <w:p>
            <w:pPr>
              <w:spacing w:after="40" w:before="0" w:line="259" w:lineRule="auto"/>
            </w:pPr>
            <w:r>
              <w:rPr>
                <w:rFonts w:ascii="Calibri" w:hAnsi="Calibri"/>
                <w:b w:val="0"/>
                <w:i w:val="0"/>
                <w:color w:val="212121"/>
                <w:sz w:val="16"/>
              </w:rPr>
              <w:t>Intact, non-tender fold</w:t>
            </w:r>
          </w:p>
        </w:tc>
        <w:tc>
          <w:tcPr>
            <w:tcW w:type="dxa" w:w="950"/>
            <w:vAlign w:val="top"/>
          </w:tcPr>
          <w:p>
            <w:pPr>
              <w:spacing w:after="40" w:before="0" w:line="259" w:lineRule="auto"/>
            </w:pPr>
            <w:r>
              <w:rPr>
                <w:rFonts w:ascii="Calibri" w:hAnsi="Calibri"/>
                <w:b w:val="0"/>
                <w:i w:val="0"/>
                <w:color w:val="212121"/>
                <w:sz w:val="16"/>
              </w:rPr>
              <w:t>Heifetz Stage 1/2/3 (or Mozena grade) features</w:t>
            </w:r>
          </w:p>
        </w:tc>
        <w:tc>
          <w:tcPr>
            <w:tcW w:type="dxa" w:w="1036"/>
            <w:vAlign w:val="top"/>
          </w:tcPr>
          <w:p>
            <w:pPr>
              <w:spacing w:after="40" w:before="0" w:line="259" w:lineRule="auto"/>
            </w:pPr>
            <w:r>
              <w:rPr>
                <w:rFonts w:ascii="Calibri" w:hAnsi="Calibri"/>
                <w:b w:val="0"/>
                <w:i w:val="0"/>
                <w:color w:val="212121"/>
                <w:sz w:val="16"/>
              </w:rPr>
              <w:t>Assigns severity and directs conservative vs surgical care</w:t>
            </w:r>
          </w:p>
        </w:tc>
        <w:tc>
          <w:tcPr>
            <w:tcW w:type="dxa" w:w="1036"/>
            <w:vAlign w:val="top"/>
          </w:tcPr>
          <w:p>
            <w:pPr>
              <w:spacing w:after="40" w:before="0" w:line="259" w:lineRule="auto"/>
            </w:pPr>
            <w:r>
              <w:rPr>
                <w:rFonts w:ascii="Calibri" w:hAnsi="Calibri"/>
                <w:b w:val="0"/>
                <w:i w:val="0"/>
                <w:color w:val="212121"/>
                <w:sz w:val="16"/>
              </w:rPr>
              <w:t>Hallux lateral/medial fold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Stage guides treatment; examine both feet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test</w:t>
            </w:r>
          </w:p>
        </w:tc>
        <w:tc>
          <w:tcPr>
            <w:tcW w:type="dxa" w:w="950"/>
            <w:vAlign w:val="top"/>
          </w:tcPr>
          <w:p>
            <w:pPr>
              <w:spacing w:after="40" w:before="0" w:line="259" w:lineRule="auto"/>
            </w:pPr>
            <w:r>
              <w:rPr>
                <w:rFonts w:ascii="Calibri" w:hAnsi="Calibri"/>
                <w:b w:val="0"/>
                <w:i w:val="0"/>
                <w:color w:val="212121"/>
                <w:sz w:val="16"/>
              </w:rPr>
              <w:t>Probe / nail-edge elevation</w:t>
            </w:r>
          </w:p>
        </w:tc>
        <w:tc>
          <w:tcPr>
            <w:tcW w:type="dxa" w:w="979"/>
            <w:vAlign w:val="top"/>
          </w:tcPr>
          <w:p>
            <w:pPr>
              <w:spacing w:after="40" w:before="0" w:line="259" w:lineRule="auto"/>
            </w:pPr>
            <w:r>
              <w:rPr>
                <w:rFonts w:ascii="Calibri" w:hAnsi="Calibri"/>
                <w:b w:val="0"/>
                <w:i w:val="0"/>
                <w:color w:val="212121"/>
                <w:sz w:val="16"/>
              </w:rPr>
              <w:t>Offending spicule under the fold</w:t>
            </w:r>
          </w:p>
        </w:tc>
        <w:tc>
          <w:tcPr>
            <w:tcW w:type="dxa" w:w="950"/>
            <w:vAlign w:val="top"/>
          </w:tcPr>
          <w:p>
            <w:pPr>
              <w:spacing w:after="40" w:before="0" w:line="259" w:lineRule="auto"/>
            </w:pPr>
            <w:r>
              <w:rPr>
                <w:rFonts w:ascii="Calibri" w:hAnsi="Calibri"/>
                <w:b w:val="0"/>
                <w:i w:val="0"/>
                <w:color w:val="212121"/>
                <w:sz w:val="16"/>
              </w:rPr>
              <w:t>No embedded spicule</w:t>
            </w:r>
          </w:p>
        </w:tc>
        <w:tc>
          <w:tcPr>
            <w:tcW w:type="dxa" w:w="950"/>
            <w:vAlign w:val="top"/>
          </w:tcPr>
          <w:p>
            <w:pPr>
              <w:spacing w:after="40" w:before="0" w:line="259" w:lineRule="auto"/>
            </w:pPr>
            <w:r>
              <w:rPr>
                <w:rFonts w:ascii="Calibri" w:hAnsi="Calibri"/>
                <w:b w:val="0"/>
                <w:i w:val="0"/>
                <w:color w:val="212121"/>
                <w:sz w:val="16"/>
              </w:rPr>
              <w:t>Spicule palpable/visible on elevation</w:t>
            </w:r>
          </w:p>
        </w:tc>
        <w:tc>
          <w:tcPr>
            <w:tcW w:type="dxa" w:w="1036"/>
            <w:vAlign w:val="top"/>
          </w:tcPr>
          <w:p>
            <w:pPr>
              <w:spacing w:after="40" w:before="0" w:line="259" w:lineRule="auto"/>
            </w:pPr>
            <w:r>
              <w:rPr>
                <w:rFonts w:ascii="Calibri" w:hAnsi="Calibri"/>
                <w:b w:val="0"/>
                <w:i w:val="0"/>
                <w:color w:val="212121"/>
                <w:sz w:val="16"/>
              </w:rPr>
              <w:t>Confirms true ingrowing and distinguishes it from simple paronychia</w:t>
            </w:r>
          </w:p>
        </w:tc>
        <w:tc>
          <w:tcPr>
            <w:tcW w:type="dxa" w:w="1036"/>
            <w:vAlign w:val="top"/>
          </w:tcPr>
          <w:p>
            <w:pPr>
              <w:spacing w:after="40" w:before="0" w:line="259" w:lineRule="auto"/>
            </w:pPr>
            <w:r>
              <w:rPr>
                <w:rFonts w:ascii="Calibri" w:hAnsi="Calibri"/>
                <w:b w:val="0"/>
                <w:i w:val="0"/>
                <w:color w:val="212121"/>
                <w:sz w:val="16"/>
              </w:rPr>
              <w:t>Recurrent or ambiguous nail-fold inflammation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Locates the fragment to be removed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Neurovascular foot assessment</w:t>
            </w:r>
          </w:p>
        </w:tc>
        <w:tc>
          <w:tcPr>
            <w:tcW w:type="dxa" w:w="979"/>
            <w:vAlign w:val="top"/>
          </w:tcPr>
          <w:p>
            <w:pPr>
              <w:spacing w:after="40" w:before="0" w:line="259" w:lineRule="auto"/>
            </w:pPr>
            <w:r>
              <w:rPr>
                <w:rFonts w:ascii="Calibri" w:hAnsi="Calibri"/>
                <w:b w:val="0"/>
                <w:i w:val="0"/>
                <w:color w:val="212121"/>
                <w:sz w:val="16"/>
              </w:rPr>
              <w:t>10 g monofilament sensation; dorsalis pedis/posterior tibial pulses</w:t>
            </w:r>
          </w:p>
        </w:tc>
        <w:tc>
          <w:tcPr>
            <w:tcW w:type="dxa" w:w="950"/>
            <w:vAlign w:val="top"/>
          </w:tcPr>
          <w:p>
            <w:pPr>
              <w:spacing w:after="40" w:before="0" w:line="259" w:lineRule="auto"/>
            </w:pPr>
            <w:r>
              <w:rPr>
                <w:rFonts w:ascii="Calibri" w:hAnsi="Calibri"/>
                <w:b w:val="0"/>
                <w:i w:val="0"/>
                <w:color w:val="212121"/>
                <w:sz w:val="16"/>
              </w:rPr>
              <w:t>Intact sensation; strong pulses</w:t>
            </w:r>
          </w:p>
        </w:tc>
        <w:tc>
          <w:tcPr>
            <w:tcW w:type="dxa" w:w="950"/>
            <w:vAlign w:val="top"/>
          </w:tcPr>
          <w:p>
            <w:pPr>
              <w:spacing w:after="40" w:before="0" w:line="259" w:lineRule="auto"/>
            </w:pPr>
            <w:r>
              <w:rPr>
                <w:rFonts w:ascii="Calibri" w:hAnsi="Calibri"/>
                <w:b w:val="0"/>
                <w:i w:val="0"/>
                <w:color w:val="212121"/>
                <w:sz w:val="16"/>
              </w:rPr>
              <w:t>Loss of protective sensation; weak/absent pulses</w:t>
            </w:r>
          </w:p>
        </w:tc>
        <w:tc>
          <w:tcPr>
            <w:tcW w:type="dxa" w:w="1036"/>
            <w:vAlign w:val="top"/>
          </w:tcPr>
          <w:p>
            <w:pPr>
              <w:spacing w:after="40" w:before="0" w:line="259" w:lineRule="auto"/>
            </w:pPr>
            <w:r>
              <w:rPr>
                <w:rFonts w:ascii="Calibri" w:hAnsi="Calibri"/>
                <w:b w:val="0"/>
                <w:i w:val="0"/>
                <w:color w:val="212121"/>
                <w:sz w:val="16"/>
              </w:rPr>
              <w:t>Flags neuropathy and ischaemia that convert a minor nail into a limb-threatening lesion</w:t>
            </w:r>
          </w:p>
        </w:tc>
        <w:tc>
          <w:tcPr>
            <w:tcW w:type="dxa" w:w="1036"/>
            <w:vAlign w:val="top"/>
          </w:tcPr>
          <w:p>
            <w:pPr>
              <w:spacing w:after="40" w:before="0" w:line="259" w:lineRule="auto"/>
            </w:pPr>
            <w:r>
              <w:rPr>
                <w:rFonts w:ascii="Calibri" w:hAnsi="Calibri"/>
                <w:b w:val="0"/>
                <w:i w:val="0"/>
                <w:color w:val="212121"/>
                <w:sz w:val="16"/>
              </w:rPr>
              <w:t>Diabetics, elderly, smokers, PVD</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Weak dorsalis pedis pulse independently predicts ingrown nails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Nail-care, footwear &amp; occupational history</w:t>
            </w:r>
          </w:p>
        </w:tc>
        <w:tc>
          <w:tcPr>
            <w:tcW w:type="dxa" w:w="979"/>
            <w:vAlign w:val="top"/>
          </w:tcPr>
          <w:p>
            <w:pPr>
              <w:spacing w:after="40" w:before="0" w:line="259" w:lineRule="auto"/>
            </w:pPr>
            <w:r>
              <w:rPr>
                <w:rFonts w:ascii="Calibri" w:hAnsi="Calibri"/>
                <w:b w:val="0"/>
                <w:i w:val="0"/>
                <w:color w:val="212121"/>
                <w:sz w:val="16"/>
              </w:rPr>
              <w:t>Trimming technique, shoe fit, sweating, sport/trauma</w:t>
            </w:r>
          </w:p>
        </w:tc>
        <w:tc>
          <w:tcPr>
            <w:tcW w:type="dxa" w:w="950"/>
            <w:vAlign w:val="top"/>
          </w:tcPr>
          <w:p>
            <w:pPr>
              <w:spacing w:after="40" w:before="0" w:line="259" w:lineRule="auto"/>
            </w:pPr>
            <w:r>
              <w:rPr>
                <w:rFonts w:ascii="Calibri" w:hAnsi="Calibri"/>
                <w:b w:val="0"/>
                <w:i w:val="0"/>
                <w:color w:val="212121"/>
                <w:sz w:val="16"/>
              </w:rPr>
              <w:t>Straight-across cutting; roomy dry footwear</w:t>
            </w:r>
          </w:p>
        </w:tc>
        <w:tc>
          <w:tcPr>
            <w:tcW w:type="dxa" w:w="950"/>
            <w:vAlign w:val="top"/>
          </w:tcPr>
          <w:p>
            <w:pPr>
              <w:spacing w:after="40" w:before="0" w:line="259" w:lineRule="auto"/>
            </w:pPr>
            <w:r>
              <w:rPr>
                <w:rFonts w:ascii="Calibri" w:hAnsi="Calibri"/>
                <w:b w:val="0"/>
                <w:i w:val="0"/>
                <w:color w:val="212121"/>
                <w:sz w:val="16"/>
              </w:rPr>
              <w:t>Short/rounded cutting; tight occlusive shoes; heavy sweating/trauma</w:t>
            </w:r>
          </w:p>
        </w:tc>
        <w:tc>
          <w:tcPr>
            <w:tcW w:type="dxa" w:w="1036"/>
            <w:vAlign w:val="top"/>
          </w:tcPr>
          <w:p>
            <w:pPr>
              <w:spacing w:after="40" w:before="0" w:line="259" w:lineRule="auto"/>
            </w:pPr>
            <w:r>
              <w:rPr>
                <w:rFonts w:ascii="Calibri" w:hAnsi="Calibri"/>
                <w:b w:val="0"/>
                <w:i w:val="0"/>
                <w:color w:val="212121"/>
                <w:sz w:val="16"/>
              </w:rPr>
              <w:t>Identifies the modifiable behavioural and mechanical drivers</w:t>
            </w:r>
          </w:p>
        </w:tc>
        <w:tc>
          <w:tcPr>
            <w:tcW w:type="dxa" w:w="1036"/>
            <w:vAlign w:val="top"/>
          </w:tcPr>
          <w:p>
            <w:pPr>
              <w:spacing w:after="40" w:before="0" w:line="259" w:lineRule="auto"/>
            </w:pPr>
            <w:r>
              <w:rPr>
                <w:rFonts w:ascii="Calibri" w:hAnsi="Calibri"/>
                <w:b w:val="0"/>
                <w:i w:val="0"/>
                <w:color w:val="212121"/>
                <w:sz w:val="16"/>
              </w:rPr>
              <w:t>Adolescents, athletes, uniformed/manual workers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prevention and relapse control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medication history</w:t>
            </w:r>
          </w:p>
        </w:tc>
        <w:tc>
          <w:tcPr>
            <w:tcW w:type="dxa" w:w="979"/>
            <w:vAlign w:val="top"/>
          </w:tcPr>
          <w:p>
            <w:pPr>
              <w:spacing w:after="40" w:before="0" w:line="259" w:lineRule="auto"/>
            </w:pPr>
            <w:r>
              <w:rPr>
                <w:rFonts w:ascii="Calibri" w:hAnsi="Calibri"/>
                <w:b w:val="0"/>
                <w:i w:val="0"/>
                <w:color w:val="212121"/>
                <w:sz w:val="16"/>
              </w:rPr>
              <w:t>Diabetes, PVD, onychomycosis, retinoids/EGFR inhibitors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predisposing condition or drug</w:t>
            </w:r>
          </w:p>
        </w:tc>
        <w:tc>
          <w:tcPr>
            <w:tcW w:type="dxa" w:w="1036"/>
            <w:vAlign w:val="top"/>
          </w:tcPr>
          <w:p>
            <w:pPr>
              <w:spacing w:after="40" w:before="0" w:line="259" w:lineRule="auto"/>
            </w:pPr>
            <w:r>
              <w:rPr>
                <w:rFonts w:ascii="Calibri" w:hAnsi="Calibri"/>
                <w:b w:val="0"/>
                <w:i w:val="0"/>
                <w:color w:val="212121"/>
                <w:sz w:val="16"/>
              </w:rPr>
              <w:t>Reveals systemic drivers and drug causes that alter management</w:t>
            </w:r>
          </w:p>
        </w:tc>
        <w:tc>
          <w:tcPr>
            <w:tcW w:type="dxa" w:w="1036"/>
            <w:vAlign w:val="top"/>
          </w:tcPr>
          <w:p>
            <w:pPr>
              <w:spacing w:after="40" w:before="0" w:line="259" w:lineRule="auto"/>
            </w:pPr>
            <w:r>
              <w:rPr>
                <w:rFonts w:ascii="Calibri" w:hAnsi="Calibri"/>
                <w:b w:val="0"/>
                <w:i w:val="0"/>
                <w:color w:val="212121"/>
                <w:sz w:val="16"/>
              </w:rPr>
              <w:t>Recurrent/extensive disease; patients on isotretinoin/acitretin or gefitinib/cetuximab</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Recurrent ingrown nails warrant a diabetes screen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 on pressure / 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Tenderness of the nail-fold corner, worse with footwear, walking or when the toe is pressed.</w:t>
            </w:r>
          </w:p>
        </w:tc>
      </w:tr>
      <w:tr>
        <w:trPr>
          <w:cantSplit/>
        </w:trPr>
        <w:tc>
          <w:tcPr>
            <w:tcW w:type="dxa" w:w="2304"/>
            <w:vAlign w:val="top"/>
          </w:tcPr>
          <w:p>
            <w:pPr>
              <w:spacing w:after="40" w:before="0" w:line="259" w:lineRule="auto"/>
            </w:pPr>
            <w:r>
              <w:rPr>
                <w:rFonts w:ascii="Calibri" w:hAnsi="Calibri"/>
                <w:b/>
                <w:i w:val="0"/>
                <w:color w:val="212121"/>
                <w:sz w:val="19"/>
              </w:rPr>
              <w:t>Swelling of the nail fold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Localised oedema of the lateral (or medial) fold of the great toe.</w:t>
            </w:r>
          </w:p>
        </w:tc>
      </w:tr>
      <w:tr>
        <w:trPr>
          <w:cantSplit/>
        </w:trPr>
        <w:tc>
          <w:tcPr>
            <w:tcW w:type="dxa" w:w="2304"/>
            <w:vAlign w:val="top"/>
          </w:tcPr>
          <w:p>
            <w:pPr>
              <w:spacing w:after="40" w:before="0" w:line="259" w:lineRule="auto"/>
            </w:pPr>
            <w:r>
              <w:rPr>
                <w:rFonts w:ascii="Calibri" w:hAnsi="Calibri"/>
                <w:b/>
                <w:i w:val="0"/>
                <w:color w:val="212121"/>
                <w:sz w:val="19"/>
              </w:rPr>
              <w:t>Redness of the nail fold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Erythema of the skin overlying the embedded nail edge.</w:t>
            </w:r>
          </w:p>
        </w:tc>
      </w:tr>
      <w:tr>
        <w:trPr>
          <w:cantSplit/>
        </w:trPr>
        <w:tc>
          <w:tcPr>
            <w:tcW w:type="dxa" w:w="2304"/>
            <w:vAlign w:val="top"/>
          </w:tcPr>
          <w:p>
            <w:pPr>
              <w:spacing w:after="40" w:before="0" w:line="259" w:lineRule="auto"/>
            </w:pPr>
            <w:r>
              <w:rPr>
                <w:rFonts w:ascii="Calibri" w:hAnsi="Calibri"/>
                <w:b/>
                <w:i w:val="0"/>
                <w:color w:val="212121"/>
                <w:sz w:val="19"/>
              </w:rPr>
              <w:t>Warmth and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inflamed fold feels warm and is tender to touch.</w:t>
            </w:r>
          </w:p>
        </w:tc>
      </w:tr>
      <w:tr>
        <w:trPr>
          <w:cantSplit/>
        </w:trPr>
        <w:tc>
          <w:tcPr>
            <w:tcW w:type="dxa" w:w="2304"/>
            <w:vAlign w:val="top"/>
          </w:tcPr>
          <w:p>
            <w:pPr>
              <w:spacing w:after="40" w:before="0" w:line="259" w:lineRule="auto"/>
            </w:pPr>
            <w:r>
              <w:rPr>
                <w:rFonts w:ascii="Calibri" w:hAnsi="Calibri"/>
                <w:b/>
                <w:i w:val="0"/>
                <w:color w:val="212121"/>
                <w:sz w:val="19"/>
              </w:rPr>
              <w:t>Difficulty wearing shoes / 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limits footwear and normal gait, especially in Stage 2–3 disease.</w:t>
            </w:r>
          </w:p>
        </w:tc>
      </w:tr>
      <w:tr>
        <w:trPr>
          <w:cantSplit/>
        </w:trPr>
        <w:tc>
          <w:tcPr>
            <w:tcW w:type="dxa" w:w="2304"/>
            <w:vAlign w:val="top"/>
          </w:tcPr>
          <w:p>
            <w:pPr>
              <w:spacing w:after="40" w:before="0" w:line="259" w:lineRule="auto"/>
            </w:pPr>
            <w:r>
              <w:rPr>
                <w:rFonts w:ascii="Calibri" w:hAnsi="Calibri"/>
                <w:b/>
                <w:i w:val="0"/>
                <w:color w:val="212121"/>
                <w:sz w:val="19"/>
              </w:rPr>
              <w:t>Throbbing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Pulsating pain suggests an abscess or advancing infection of the fold.</w:t>
            </w:r>
          </w:p>
        </w:tc>
      </w:tr>
      <w:tr>
        <w:trPr>
          <w:cantSplit/>
        </w:trPr>
        <w:tc>
          <w:tcPr>
            <w:tcW w:type="dxa" w:w="2304"/>
            <w:vAlign w:val="top"/>
          </w:tcPr>
          <w:p>
            <w:pPr>
              <w:spacing w:after="40" w:before="0" w:line="259" w:lineRule="auto"/>
            </w:pPr>
            <w:r>
              <w:rPr>
                <w:rFonts w:ascii="Calibri" w:hAnsi="Calibri"/>
                <w:b/>
                <w:i w:val="0"/>
                <w:color w:val="212121"/>
                <w:sz w:val="19"/>
              </w:rPr>
              <w:t>Seropurulent or purulent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Clear-to-yellow or pus drainage indicates secondary infection (Heifetz Stage 2).</w:t>
            </w:r>
          </w:p>
        </w:tc>
      </w:tr>
      <w:tr>
        <w:trPr>
          <w:cantSplit/>
        </w:trPr>
        <w:tc>
          <w:tcPr>
            <w:tcW w:type="dxa" w:w="2304"/>
            <w:vAlign w:val="top"/>
          </w:tcPr>
          <w:p>
            <w:pPr>
              <w:spacing w:after="40" w:before="0" w:line="259" w:lineRule="auto"/>
            </w:pPr>
            <w:r>
              <w:rPr>
                <w:rFonts w:ascii="Calibri" w:hAnsi="Calibri"/>
                <w:b/>
                <w:i w:val="0"/>
                <w:color w:val="212121"/>
                <w:sz w:val="19"/>
              </w:rPr>
              <w:t>Bleeding or oozing on contact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Friable granulation tissue bleeds when touched or knocked.</w:t>
            </w:r>
          </w:p>
        </w:tc>
      </w:tr>
      <w:tr>
        <w:trPr>
          <w:cantSplit/>
        </w:trPr>
        <w:tc>
          <w:tcPr>
            <w:tcW w:type="dxa" w:w="2304"/>
            <w:vAlign w:val="top"/>
          </w:tcPr>
          <w:p>
            <w:pPr>
              <w:spacing w:after="40" w:before="0" w:line="259" w:lineRule="auto"/>
            </w:pPr>
            <w:r>
              <w:rPr>
                <w:rFonts w:ascii="Calibri" w:hAnsi="Calibri"/>
                <w:b/>
                <w:i w:val="0"/>
                <w:color w:val="212121"/>
                <w:sz w:val="19"/>
              </w:rPr>
              <w:t>Foul odour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Malodour from bacterial (sometimes gram-negative) overgrowth in a chronically infected fold.</w:t>
            </w:r>
          </w:p>
        </w:tc>
      </w:tr>
      <w:tr>
        <w:trPr>
          <w:cantSplit/>
        </w:trPr>
        <w:tc>
          <w:tcPr>
            <w:tcW w:type="dxa" w:w="2304"/>
            <w:vAlign w:val="top"/>
          </w:tcPr>
          <w:p>
            <w:pPr>
              <w:spacing w:after="40" w:before="0" w:line="259" w:lineRule="auto"/>
            </w:pPr>
            <w:r>
              <w:rPr>
                <w:rFonts w:ascii="Calibri" w:hAnsi="Calibri"/>
                <w:b/>
                <w:i w:val="0"/>
                <w:color w:val="212121"/>
                <w:sz w:val="19"/>
              </w:rPr>
              <w:t>Visible “extra flesh” over the nail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Patients notice granulation tissue (“proud flesh”) mounting over the nail edge in chronic disease.</w:t>
            </w:r>
          </w:p>
        </w:tc>
      </w:tr>
      <w:tr>
        <w:trPr>
          <w:cantSplit/>
        </w:trPr>
        <w:tc>
          <w:tcPr>
            <w:tcW w:type="dxa" w:w="2304"/>
            <w:vAlign w:val="top"/>
          </w:tcPr>
          <w:p>
            <w:pPr>
              <w:spacing w:after="40" w:before="0" w:line="259" w:lineRule="auto"/>
            </w:pPr>
            <w:r>
              <w:rPr>
                <w:rFonts w:ascii="Calibri" w:hAnsi="Calibri"/>
                <w:b/>
                <w:i w:val="0"/>
                <w:color w:val="212121"/>
                <w:sz w:val="19"/>
              </w:rPr>
              <w:t>Painless lesion (neuropathic)</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 diabetic neuropathy the ingrown nail may be painless and present late as ulceration or deep infection.</w:t>
            </w:r>
          </w:p>
        </w:tc>
      </w:tr>
      <w:tr>
        <w:trPr>
          <w:cantSplit/>
        </w:trPr>
        <w:tc>
          <w:tcPr>
            <w:tcW w:type="dxa" w:w="2304"/>
            <w:vAlign w:val="top"/>
          </w:tcPr>
          <w:p>
            <w:pPr>
              <w:spacing w:after="40" w:before="0" w:line="259" w:lineRule="auto"/>
            </w:pPr>
            <w:r>
              <w:rPr>
                <w:rFonts w:ascii="Calibri" w:hAnsi="Calibri"/>
                <w:b/>
                <w:i w:val="0"/>
                <w:color w:val="212121"/>
                <w:sz w:val="19"/>
              </w:rPr>
              <w:t>Fever / systemic upset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spreading cellulitis, osteomyelitis or sepsis and needs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Erythema &amp; oedema of the lateral nail fold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onychocryptosis, usually on the lateral fold of the great toe.</w:t>
            </w:r>
          </w:p>
        </w:tc>
      </w:tr>
      <w:tr>
        <w:trPr>
          <w:cantSplit/>
        </w:trPr>
        <w:tc>
          <w:tcPr>
            <w:tcW w:type="dxa" w:w="3456"/>
            <w:vAlign w:val="top"/>
          </w:tcPr>
          <w:p>
            <w:pPr>
              <w:spacing w:after="40" w:before="0" w:line="259" w:lineRule="auto"/>
            </w:pPr>
            <w:r>
              <w:rPr>
                <w:rFonts w:ascii="Calibri" w:hAnsi="Calibri"/>
                <w:b/>
                <w:i w:val="0"/>
                <w:color w:val="212121"/>
                <w:sz w:val="19"/>
              </w:rPr>
              <w:t>Tenderness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Pressure over the fold and nail edge reproduces the pain.</w:t>
            </w:r>
          </w:p>
        </w:tc>
      </w:tr>
      <w:tr>
        <w:trPr>
          <w:cantSplit/>
        </w:trPr>
        <w:tc>
          <w:tcPr>
            <w:tcW w:type="dxa" w:w="3456"/>
            <w:vAlign w:val="top"/>
          </w:tcPr>
          <w:p>
            <w:pPr>
              <w:spacing w:after="40" w:before="0" w:line="259" w:lineRule="auto"/>
            </w:pPr>
            <w:r>
              <w:rPr>
                <w:rFonts w:ascii="Calibri" w:hAnsi="Calibri"/>
                <w:b/>
                <w:i w:val="0"/>
                <w:color w:val="212121"/>
                <w:sz w:val="19"/>
              </w:rPr>
              <w:t>Embedded nail spicule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sharp nail fragment seen or felt piercing the fold on elevation of the nail edge.</w:t>
            </w:r>
          </w:p>
        </w:tc>
      </w:tr>
      <w:tr>
        <w:trPr>
          <w:cantSplit/>
        </w:trPr>
        <w:tc>
          <w:tcPr>
            <w:tcW w:type="dxa" w:w="3456"/>
            <w:vAlign w:val="top"/>
          </w:tcPr>
          <w:p>
            <w:pPr>
              <w:spacing w:after="40" w:before="0" w:line="259" w:lineRule="auto"/>
            </w:pPr>
            <w:r>
              <w:rPr>
                <w:rFonts w:ascii="Calibri" w:hAnsi="Calibri"/>
                <w:b/>
                <w:i w:val="0"/>
                <w:color w:val="212121"/>
                <w:sz w:val="19"/>
              </w:rPr>
              <w:t>Seropurulent / purulent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Drainage from the fold indicates active secondary infection (Stage 2).</w:t>
            </w:r>
          </w:p>
        </w:tc>
      </w:tr>
      <w:tr>
        <w:trPr>
          <w:cantSplit/>
        </w:trPr>
        <w:tc>
          <w:tcPr>
            <w:tcW w:type="dxa" w:w="3456"/>
            <w:vAlign w:val="top"/>
          </w:tcPr>
          <w:p>
            <w:pPr>
              <w:spacing w:after="40" w:before="0" w:line="259" w:lineRule="auto"/>
            </w:pPr>
            <w:r>
              <w:rPr>
                <w:rFonts w:ascii="Calibri" w:hAnsi="Calibri"/>
                <w:b/>
                <w:i w:val="0"/>
                <w:color w:val="212121"/>
                <w:sz w:val="19"/>
              </w:rPr>
              <w:t>Granulation tissue (“proud flesh”)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Friable red tissue overgrowing the fold in chronic Stage 3 disease.</w:t>
            </w:r>
          </w:p>
        </w:tc>
      </w:tr>
      <w:tr>
        <w:trPr>
          <w:cantSplit/>
        </w:trPr>
        <w:tc>
          <w:tcPr>
            <w:tcW w:type="dxa" w:w="3456"/>
            <w:vAlign w:val="top"/>
          </w:tcPr>
          <w:p>
            <w:pPr>
              <w:spacing w:after="40" w:before="0" w:line="259" w:lineRule="auto"/>
            </w:pPr>
            <w:r>
              <w:rPr>
                <w:rFonts w:ascii="Calibri" w:hAnsi="Calibri"/>
                <w:b/>
                <w:i w:val="0"/>
                <w:color w:val="212121"/>
                <w:sz w:val="19"/>
              </w:rPr>
              <w:t>Hypertrophy of the lateral nail wall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Thickened, overgrown nail wall partially burying the nail plate.</w:t>
            </w:r>
          </w:p>
        </w:tc>
      </w:tr>
      <w:tr>
        <w:trPr>
          <w:cantSplit/>
        </w:trPr>
        <w:tc>
          <w:tcPr>
            <w:tcW w:type="dxa" w:w="3456"/>
            <w:vAlign w:val="top"/>
          </w:tcPr>
          <w:p>
            <w:pPr>
              <w:spacing w:after="40" w:before="0" w:line="259" w:lineRule="auto"/>
            </w:pPr>
            <w:r>
              <w:rPr>
                <w:rFonts w:ascii="Calibri" w:hAnsi="Calibri"/>
                <w:b/>
                <w:i w:val="0"/>
                <w:color w:val="212121"/>
                <w:sz w:val="19"/>
              </w:rPr>
              <w:t>Bleeding on contact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Granulation tissue bleeds readily when touched.</w:t>
            </w:r>
          </w:p>
        </w:tc>
      </w:tr>
      <w:tr>
        <w:trPr>
          <w:cantSplit/>
        </w:trPr>
        <w:tc>
          <w:tcPr>
            <w:tcW w:type="dxa" w:w="3456"/>
            <w:vAlign w:val="top"/>
          </w:tcPr>
          <w:p>
            <w:pPr>
              <w:spacing w:after="40" w:before="0" w:line="259" w:lineRule="auto"/>
            </w:pPr>
            <w:r>
              <w:rPr>
                <w:rFonts w:ascii="Calibri" w:hAnsi="Calibri"/>
                <w:b/>
                <w:i w:val="0"/>
                <w:color w:val="212121"/>
                <w:sz w:val="19"/>
              </w:rPr>
              <w:t>Surrounding cellulitis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Spreading warmth and erythema beyond the fold signals soft-tissue infection.</w:t>
            </w:r>
          </w:p>
        </w:tc>
      </w:tr>
      <w:tr>
        <w:trPr>
          <w:cantSplit/>
        </w:trPr>
        <w:tc>
          <w:tcPr>
            <w:tcW w:type="dxa" w:w="3456"/>
            <w:vAlign w:val="top"/>
          </w:tcPr>
          <w:p>
            <w:pPr>
              <w:spacing w:after="40" w:before="0" w:line="259" w:lineRule="auto"/>
            </w:pPr>
            <w:r>
              <w:rPr>
                <w:rFonts w:ascii="Calibri" w:hAnsi="Calibri"/>
                <w:b/>
                <w:i w:val="0"/>
                <w:color w:val="212121"/>
                <w:sz w:val="19"/>
              </w:rPr>
              <w:t>Pincer / over-curved or thick dystrophic nail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excessively curved, wide or onychomycotic nail plate underlying recurrent ingrowing.</w:t>
            </w:r>
          </w:p>
        </w:tc>
      </w:tr>
      <w:tr>
        <w:trPr>
          <w:cantSplit/>
        </w:trPr>
        <w:tc>
          <w:tcPr>
            <w:tcW w:type="dxa" w:w="3456"/>
            <w:vAlign w:val="top"/>
          </w:tcPr>
          <w:p>
            <w:pPr>
              <w:spacing w:after="40" w:before="0" w:line="259" w:lineRule="auto"/>
            </w:pPr>
            <w:r>
              <w:rPr>
                <w:rFonts w:ascii="Calibri" w:hAnsi="Calibri"/>
                <w:b/>
                <w:i w:val="0"/>
                <w:color w:val="212121"/>
                <w:sz w:val="19"/>
              </w:rPr>
              <w:t>Exposed bone / deep ulcer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osteomyelitis of the distal phalanx or a diabetic foot ulcer needing urgent surgical care.</w:t>
            </w:r>
          </w:p>
        </w:tc>
      </w:tr>
      <w:tr>
        <w:trPr>
          <w:cantSplit/>
        </w:trPr>
        <w:tc>
          <w:tcPr>
            <w:tcW w:type="dxa" w:w="3456"/>
            <w:vAlign w:val="top"/>
          </w:tcPr>
          <w:p>
            <w:pPr>
              <w:spacing w:after="40" w:before="0" w:line="259" w:lineRule="auto"/>
            </w:pPr>
            <w:r>
              <w:rPr>
                <w:rFonts w:ascii="Calibri" w:hAnsi="Calibri"/>
                <w:b/>
                <w:i w:val="0"/>
                <w:color w:val="212121"/>
                <w:sz w:val="19"/>
              </w:rPr>
              <w:t>Lymphangitis / ascending streaking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 streaks up the foot indicate spreading infection and possible sepsis.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the nail fold (paronychia /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Exuberant granulation tissue (“proud flesh”) with nail-wall hypertrophy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nail-fold ulceration and pain-limited walking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Seropurulent drainage and malodour</w:t>
            </w:r>
          </w:p>
        </w:tc>
        <w:tc>
          <w:tcPr>
            <w:tcW w:type="dxa" w:w="2980"/>
            <w:vAlign w:val="top"/>
          </w:tcPr>
          <w:p>
            <w:pPr>
              <w:spacing w:after="40" w:before="0" w:line="259" w:lineRule="auto"/>
            </w:pPr>
            <w:r>
              <w:rPr>
                <w:rFonts w:ascii="Calibri" w:hAnsi="Calibri"/>
                <w:b w:val="0"/>
                <w:i w:val="0"/>
                <w:color w:val="212121"/>
                <w:sz w:val="19"/>
              </w:rPr>
              <w:t>Direct local consequences of the embedded nail behaving as an infected foreign body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conservative or surgical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paronychia and persistent nail dystrophy/deformity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Spreading cellulitis of the toe and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distal phalanx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regrowth (spicule / “nail horn”) after incomplete matricectomy</w:t>
            </w:r>
          </w:p>
        </w:tc>
        <w:tc>
          <w:tcPr>
            <w:tcW w:type="dxa" w:w="2980"/>
            <w:vAlign w:val="top"/>
          </w:tcPr>
          <w:p>
            <w:pPr>
              <w:spacing w:after="40" w:before="0" w:line="259" w:lineRule="auto"/>
            </w:pPr>
            <w:r>
              <w:rPr>
                <w:rFonts w:ascii="Calibri" w:hAnsi="Calibri"/>
                <w:b w:val="0"/>
                <w:i w:val="0"/>
                <w:color w:val="212121"/>
                <w:sz w:val="19"/>
              </w:rPr>
              <w:t>Result from persistence, inadequate source control, or infection spreading beyond the nail fold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foot ulcer seeded by the ingrown nail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soft-tissue infection, wet gangrene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Non-traumatic toe or forefoot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nail-plate deformity and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mobility and reduced quality of life</w:t>
            </w:r>
          </w:p>
        </w:tc>
        <w:tc>
          <w:tcPr>
            <w:tcW w:type="dxa" w:w="2980"/>
            <w:vAlign w:val="top"/>
          </w:tcPr>
          <w:p>
            <w:pPr>
              <w:spacing w:after="40" w:before="0" w:line="259" w:lineRule="auto"/>
            </w:pPr>
            <w:r>
              <w:rPr>
                <w:rFonts w:ascii="Calibri" w:hAnsi="Calibri"/>
                <w:b w:val="0"/>
                <w:i w:val="0"/>
                <w:color w:val="212121"/>
                <w:sz w:val="19"/>
              </w:rPr>
              <w:t>Irreversible, disabling outcomes of neglected or complicated disease, especially in diabetes and peripheral vascular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Impaired healing, neuropathy that masks pain, and vasculopathy make ingrown nails in diabetics a portal for limb-threatening foot infection; ingrown nails affect ~13.6% of adult type-2 diabetics.</w:t>
            </w:r>
          </w:p>
          <w:p>
            <w:pPr>
              <w:spacing w:after="40" w:before="0" w:line="259" w:lineRule="auto"/>
            </w:pPr>
            <w:r>
              <w:rPr>
                <w:rFonts w:ascii="Calibri" w:hAnsi="Calibri"/>
                <w:b/>
                <w:i w:val="0"/>
                <w:color w:val="212121"/>
                <w:sz w:val="19"/>
              </w:rPr>
              <w:t>~13.6% (in type-2 diabetics)</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arterial inflow impairs healing and amplifies infection and amputation risk; PAD was present in nearly half of diabetic patients with ingrown nails.</w:t>
            </w:r>
          </w:p>
          <w:p>
            <w:pPr>
              <w:spacing w:after="40" w:before="0" w:line="259" w:lineRule="auto"/>
            </w:pPr>
            <w:r>
              <w:rPr>
                <w:rFonts w:ascii="Calibri" w:hAnsi="Calibri"/>
                <w:b/>
                <w:i w:val="0"/>
                <w:color w:val="212121"/>
                <w:sz w:val="19"/>
              </w:rPr>
              <w:t>~46.9% (of diabetic ingrown-nail patients)</w:t>
            </w:r>
          </w:p>
        </w:tc>
      </w:tr>
      <w:tr>
        <w:trPr>
          <w:cantSplit/>
        </w:trPr>
        <w:tc>
          <w:tcPr>
            <w:tcW w:type="dxa" w:w="2232"/>
            <w:vAlign w:val="top"/>
          </w:tcPr>
          <w:p>
            <w:pPr>
              <w:spacing w:after="40" w:before="0" w:line="259" w:lineRule="auto"/>
            </w:pPr>
            <w:r>
              <w:rPr>
                <w:rFonts w:ascii="Calibri" w:hAnsi="Calibri"/>
                <w:b/>
                <w:i w:val="0"/>
                <w:color w:val="212121"/>
                <w:sz w:val="19"/>
              </w:rPr>
              <w:t>Peripheral neuropathy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Loss of protective sensation removes the pain warning, so lesions present late as ulceration or deep infection; central to diabetic and alcoholic foot risk.</w:t>
            </w:r>
          </w:p>
        </w:tc>
      </w:tr>
      <w:tr>
        <w:trPr>
          <w:cantSplit/>
        </w:trPr>
        <w:tc>
          <w:tcPr>
            <w:tcW w:type="dxa" w:w="2232"/>
            <w:vAlign w:val="top"/>
          </w:tcPr>
          <w:p>
            <w:pPr>
              <w:spacing w:after="40" w:before="0" w:line="259" w:lineRule="auto"/>
            </w:pPr>
            <w:r>
              <w:rPr>
                <w:rFonts w:ascii="Calibri" w:hAnsi="Calibri"/>
                <w:b/>
                <w:i w:val="0"/>
                <w:color w:val="212121"/>
                <w:sz w:val="19"/>
              </w:rPr>
              <w:t>Onychomycosis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Fungal nails become thick, widened and deformed, embedding into the fold; significantly commoner in patients with ingrown nails and reinforcing recurrence.</w:t>
            </w:r>
          </w:p>
        </w:tc>
      </w:tr>
      <w:tr>
        <w:trPr>
          <w:cantSplit/>
        </w:trPr>
        <w:tc>
          <w:tcPr>
            <w:tcW w:type="dxa" w:w="2232"/>
            <w:vAlign w:val="top"/>
          </w:tcPr>
          <w:p>
            <w:pPr>
              <w:spacing w:after="40" w:before="0" w:line="259" w:lineRule="auto"/>
            </w:pPr>
            <w:r>
              <w:rPr>
                <w:rFonts w:ascii="Calibri" w:hAnsi="Calibri"/>
                <w:b/>
                <w:i w:val="0"/>
                <w:color w:val="212121"/>
                <w:sz w:val="19"/>
              </w:rPr>
              <w:t>Paronychia (nail-fold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Secondary bacterial infection (commonly Staphylococcus aureus) of the fold is the usual infective complication of an ingrown nail.</w:t>
            </w:r>
          </w:p>
        </w:tc>
      </w:tr>
      <w:tr>
        <w:trPr>
          <w:cantSplit/>
        </w:trPr>
        <w:tc>
          <w:tcPr>
            <w:tcW w:type="dxa" w:w="2232"/>
            <w:vAlign w:val="top"/>
          </w:tcPr>
          <w:p>
            <w:pPr>
              <w:spacing w:after="40" w:before="0" w:line="259" w:lineRule="auto"/>
            </w:pPr>
            <w:r>
              <w:rPr>
                <w:rFonts w:ascii="Calibri" w:hAnsi="Calibri"/>
                <w:b/>
                <w:i w:val="0"/>
                <w:color w:val="212121"/>
                <w:sz w:val="19"/>
              </w:rPr>
              <w:t>Cellulitis of the toe/foot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Bacterial infection can spread beyond the fold into surrounding soft tissue, requiring systemic antibiotics.</w:t>
            </w:r>
          </w:p>
        </w:tc>
      </w:tr>
      <w:tr>
        <w:trPr>
          <w:cantSplit/>
        </w:trPr>
        <w:tc>
          <w:tcPr>
            <w:tcW w:type="dxa" w:w="2232"/>
            <w:vAlign w:val="top"/>
          </w:tcPr>
          <w:p>
            <w:pPr>
              <w:spacing w:after="40" w:before="0" w:line="259" w:lineRule="auto"/>
            </w:pPr>
            <w:r>
              <w:rPr>
                <w:rFonts w:ascii="Calibri" w:hAnsi="Calibri"/>
                <w:b/>
                <w:i w:val="0"/>
                <w:color w:val="212121"/>
                <w:sz w:val="19"/>
              </w:rPr>
              <w:t>Osteomyelitis of the distal phalanx</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chronic or diabetic infection can invade the underlying bone, needing imaging, prolonged antibiotics and sometimes surgery.</w:t>
            </w:r>
          </w:p>
        </w:tc>
      </w:tr>
      <w:tr>
        <w:trPr>
          <w:cantSplit/>
        </w:trPr>
        <w:tc>
          <w:tcPr>
            <w:tcW w:type="dxa" w:w="2232"/>
            <w:vAlign w:val="top"/>
          </w:tcPr>
          <w:p>
            <w:pPr>
              <w:spacing w:after="40" w:before="0" w:line="259" w:lineRule="auto"/>
            </w:pPr>
            <w:r>
              <w:rPr>
                <w:rFonts w:ascii="Calibri" w:hAnsi="Calibri"/>
                <w:b/>
                <w:i w:val="0"/>
                <w:color w:val="212121"/>
                <w:sz w:val="19"/>
              </w:rPr>
              <w:t>Diabetic foot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infected ingrown nail is a recognised precursor lesion to diabetic foot ulceration and its downstream amputation risk.</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 weight crowds the toes and raises plantar pressure; each BMI unit independently increases ingrown-nail odds.</w:t>
            </w:r>
          </w:p>
          <w:p>
            <w:pPr>
              <w:spacing w:after="40" w:before="0" w:line="259" w:lineRule="auto"/>
            </w:pPr>
            <w:r>
              <w:rPr>
                <w:rFonts w:ascii="Calibri" w:hAnsi="Calibri"/>
                <w:b/>
                <w:i w:val="0"/>
                <w:color w:val="212121"/>
                <w:sz w:val="19"/>
              </w:rPr>
              <w:t>OR 1.08 per BMI unit</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Excessive foot sweating macerates the nail fold and plate, easing penetration and secondary infection.</w:t>
            </w:r>
          </w:p>
        </w:tc>
      </w:tr>
      <w:tr>
        <w:trPr>
          <w:cantSplit/>
        </w:trPr>
        <w:tc>
          <w:tcPr>
            <w:tcW w:type="dxa" w:w="2232"/>
            <w:vAlign w:val="top"/>
          </w:tcPr>
          <w:p>
            <w:pPr>
              <w:spacing w:after="40" w:before="0" w:line="259" w:lineRule="auto"/>
            </w:pPr>
            <w:r>
              <w:rPr>
                <w:rFonts w:ascii="Calibri" w:hAnsi="Calibri"/>
                <w:b/>
                <w:i w:val="0"/>
                <w:color w:val="212121"/>
                <w:sz w:val="19"/>
              </w:rPr>
              <w:t>Pincer nail / nail-plate deformity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 over-curved or wide nail plate mechanically drives the edge into the fold, causing recurrent, often bilateral ingrowing.</w:t>
            </w:r>
          </w:p>
        </w:tc>
      </w:tr>
      <w:tr>
        <w:trPr>
          <w:cantSplit/>
        </w:trPr>
        <w:tc>
          <w:tcPr>
            <w:tcW w:type="dxa" w:w="2232"/>
            <w:vAlign w:val="top"/>
          </w:tcPr>
          <w:p>
            <w:pPr>
              <w:spacing w:after="40" w:before="0" w:line="259" w:lineRule="auto"/>
            </w:pPr>
            <w:r>
              <w:rPr>
                <w:rFonts w:ascii="Calibri" w:hAnsi="Calibri"/>
                <w:b/>
                <w:i w:val="0"/>
                <w:color w:val="212121"/>
                <w:sz w:val="19"/>
              </w:rPr>
              <w:t>Onychogryphosis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Thick, curved, ram's-horn nails in the elderly strongly predispose to ingrowing (odds ratio ~9).</w:t>
            </w:r>
          </w:p>
          <w:p>
            <w:pPr>
              <w:spacing w:after="40" w:before="0" w:line="259" w:lineRule="auto"/>
            </w:pPr>
            <w:r>
              <w:rPr>
                <w:rFonts w:ascii="Calibri" w:hAnsi="Calibri"/>
                <w:b/>
                <w:i w:val="0"/>
                <w:color w:val="212121"/>
                <w:sz w:val="19"/>
              </w:rPr>
              <w:t>OR ~9.0</w:t>
            </w:r>
          </w:p>
        </w:tc>
      </w:tr>
      <w:tr>
        <w:trPr>
          <w:cantSplit/>
        </w:trPr>
        <w:tc>
          <w:tcPr>
            <w:tcW w:type="dxa" w:w="2232"/>
            <w:vAlign w:val="top"/>
          </w:tcPr>
          <w:p>
            <w:pPr>
              <w:spacing w:after="40" w:before="0" w:line="259" w:lineRule="auto"/>
            </w:pPr>
            <w:r>
              <w:rPr>
                <w:rFonts w:ascii="Calibri" w:hAnsi="Calibri"/>
                <w:b/>
                <w:i w:val="0"/>
                <w:color w:val="212121"/>
                <w:sz w:val="19"/>
              </w:rPr>
              <w:t>Hallux valgus / pes planus (foot deformity)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Abnormal alignment and weight-bearing redistribute pressure onto the hallux nail fold, promoting ingrowing.</w:t>
            </w:r>
          </w:p>
        </w:tc>
      </w:tr>
      <w:tr>
        <w:trPr>
          <w:cantSplit/>
        </w:trPr>
        <w:tc>
          <w:tcPr>
            <w:tcW w:type="dxa" w:w="2232"/>
            <w:vAlign w:val="top"/>
          </w:tcPr>
          <w:p>
            <w:pPr>
              <w:spacing w:after="40" w:before="0" w:line="259" w:lineRule="auto"/>
            </w:pPr>
            <w:r>
              <w:rPr>
                <w:rFonts w:ascii="Calibri" w:hAnsi="Calibri"/>
                <w:b/>
                <w:i w:val="0"/>
                <w:color w:val="212121"/>
                <w:sz w:val="19"/>
              </w:rPr>
              <w:t>Drug therapy (EGFR inhibitors, systemic retinoids)</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Gefitinib/cetuximab/erlotinib and isotretinoin/acitretin cause periungual inflammation and drug-induced ingrowing that resolves with dose change.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toenails straight across, level with the tip of the toe — never round the corners, dig them out or cut them too short.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well-fitting shoes with a roomy toe-box; avoid tight, pointed or high-heeled and occlusive footwear.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feet clean and dry; change damp or sweaty socks and prefer breathable cotton to reduce maceration.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toes from trauma during sport and manual work, and trim nails before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body weight and, if diabetic, control blood sugar to lower risk and improve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(fold pain, redness, swelling, discharge) and seek care before infection advances.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Manual/uniformed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mild (Stage 1) lesions, soak the foot in warm (optionally antiseptic/salt) water and gently tuck a wisp of cotton or dental floss under the nail corner to lift it off the fold.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gutter splint, taping or a nail brace for recurrent or pincer-nail cases to redirect nail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topical/oral antibiotics only when there is genuine secondary infection (Stage 2), guided by swab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chronic Stage 3 or recurrent disease, opt for partial nail avulsion with matricectomy (phenol chemical ablation is highly effective with low recurrence; radiofrequency and surgical methods are alternatives).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keep the toe clean and dry, and continue correct nail-cutting and footwear habits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review for spreading redness, fever, a painless ulcer or exposed bone — especially if diabetic or vasculopathic.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onychocryptosis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 pincer-nail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vasculopaths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Stage 2–3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well-fitting sports shoes with adequate toe room and trim toenails straight across before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to reach and hold a healthy weight and reduce toe crowding.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dry the feet promptly after exercise and change out of sweaty socks and shoes.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Rotate footwear to let shoes dry fully and reduce persistent moisture around the nails.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low-glycaemic diet rich in whole grains, pulses, vegetables and fruit to control weight and blood sugar.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drinks, sweets and ultra-processed, energy-dense foods that drive obesity and dysglycaemia.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protein and micronutrients (including zinc and vitamin C) to support wound and nail-fold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diabetic or pre-diabetic, optimise glycaemic control diligently — infected nail folds heal poorly while blood sugar is high.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or at risk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poorly healing lesions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metabolic control, immunity and 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bedding and feet dry and cool to limit overnight sweating around the nails.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 or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nail surgery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dermal microcirculation and healing of the nail fold and reduce post-operative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particularly before matricectomy and in diabetics/vasculopaths.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&amp; vasculopathic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awaiting nail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to avoid peripheral neuropathy and the self-care neglect that lets lesions progress unnoticed.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drinking, which is associated with delayed presentation and poorer wound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depression or cognitive impairment that reduces day-to-day foot care and prompt help-seeking.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of dependent, diabetic or elderly patients to maintain safe nail-cutting and daily foot checks.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pain, walking difficulty and cosmetic distress of chronic ingrown nails to protect quality of life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recurrent disease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738836/" TargetMode="External"/><Relationship Id="rId10" Type="http://schemas.openxmlformats.org/officeDocument/2006/relationships/hyperlink" Target="https://pubmed.ncbi.nlm.nih.gov/29329712/" TargetMode="External"/><Relationship Id="rId11" Type="http://schemas.openxmlformats.org/officeDocument/2006/relationships/hyperlink" Target="https://www.ncbi.nlm.nih.gov/books/NBK546697/" TargetMode="External"/><Relationship Id="rId12" Type="http://schemas.openxmlformats.org/officeDocument/2006/relationships/hyperlink" Target="https://pubmed.ncbi.nlm.nih.gov/22565427/" TargetMode="External"/><Relationship Id="rId13" Type="http://schemas.openxmlformats.org/officeDocument/2006/relationships/hyperlink" Target="https://dermnetnz.org/topics/ingrown-toen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