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Hypermetropia</w:t>
      </w:r>
    </w:p>
    <w:p>
      <w:pPr>
        <w:spacing w:before="0" w:after="160"/>
      </w:pPr>
      <w:r>
        <w:rPr>
          <w:rFonts w:ascii="Calibri" w:hAnsi="Calibri"/>
          <w:b/>
          <w:i w:val="0"/>
          <w:color w:val="212121"/>
          <w:sz w:val="22"/>
        </w:rPr>
        <w:t xml:space="preserve">AKA </w:t>
      </w:r>
      <w:r>
        <w:rPr>
          <w:rFonts w:ascii="Calibri" w:hAnsi="Calibri"/>
          <w:b w:val="0"/>
          <w:i w:val="0"/>
          <w:color w:val="212121"/>
          <w:sz w:val="22"/>
        </w:rPr>
        <w:t>i.e., Hyperopia, Farsightedness, Long-sightedness, Far-sight, Hypermetropic refractive error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Hypermetropia (hyperopia, or long-sightedness) is a refractive error in which, with accommodation relaxed, parallel light rays from a distant object are brought to a focus behind the retina because the eye's converging power is too weak for its axial length — most often a short eyeball. Because the retinal image is blurred, the patient must accommodate to see clearly, so near vision is affected earlier and more severely than distance vision. Young patients with low degrees can compensate through their accommodative reserve and remain asymptomatic, whereas higher degrees, ageing (loss of accommodation) or an associated squint make the error manifest and symptomatic.</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India-first data: in a 2025 PRISMA systematic review and meta-analysis of 43 Indian studies, the pooled prevalence of hyperopia among Indian school children was about 1% (overall refractive error ≈ 11% — myopia 8%, astigmatism 3%). Hyperopia is commonest at the extremes of life — physiological hyperopia of infancy largely declines through emmetropisation, while prevalence rises again after the age of 40 as accommodation weakens and lens changes unmask latent hyperopia (≈ 9.9% at ≥ 40 years in one large dataset). It is somewhat more common in rural than urban populations (~4% overall). Uncorrected refractive error and presbyopia together remain a leading, avoidable cause of vision impairment worldwide (WHO: about 88.4 million people with distance-vision impairment from uncorrected refractive error, and 826 million with presbyopia).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Hypermetropia is confirmed by refraction; in children and young adults cycloplegia is essential to relax accommodation and reveal the total (latent + manifest) error.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retinoscopy or autorefraction showing a positive (plus) spherical equivalent — hyperopia is present when the cycloplegic spherical equivalent is more plus than the age-expected norm (commonly ≥ +0.50 D) and is clinically significant at ≥ +2.00 D or when symptomatic;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improvement of distance and especially near visual acuity with convex (plus) lenses on subjective refraction ('plus acceptance');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near visual acuity reduced out of proportion to distance acuity in early, latent or early-presbyopic cases, with symptoms provoked by sustained near work;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by cycloplegic spherical equivalent: low ≤ +2.00 D, moderate +2.25 to +5.00 D, high &gt; +5.00 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a latent component — the full hyperopia is revealed only under cycloplegia, exceeding the manifest (non-cycloplegic) value by the amount masked by ciliary-muscle tone;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anterior-segment assessment (slit lamp ± gonioscopy) documenting a shallow anterior chamber and narrow, potentially occludable angle, because hyperopic (short) eyes are predisposed to angle-closure glaucoma.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Hypermetropia can be classified along three axes — anatomical mechanism, degree and the role of accommodation:</w:t>
      </w:r>
    </w:p>
    <w:p>
      <w:pPr>
        <w:spacing w:before="0" w:after="80"/>
      </w:pPr>
      <w:r>
        <w:rPr>
          <w:rFonts w:ascii="Calibri" w:hAnsi="Calibri"/>
          <w:b w:val="0"/>
          <w:i w:val="0"/>
          <w:color w:val="212121"/>
          <w:sz w:val="21"/>
        </w:rPr>
        <w:t>(1) By mechanism: axial hyperopia (a short antero-posterior length of the eyeball; roughly 1 mm of axial shortening produces about 3 D of hyperopia) is by far the commonest; curvature hyperopia (a flatter cornea or lens; about 1 mm increase in radius of curvature ≈ 6 D); index hyperopia (a change in refractive index of the ocular media, e.g. with ageing of the lens or with hyperglycaemia); and positional/aphakic hyperopia (a posteriorly displaced or absent crystalline lens).</w:t>
      </w:r>
    </w:p>
    <w:p>
      <w:pPr>
        <w:spacing w:before="0" w:after="80"/>
      </w:pPr>
      <w:r>
        <w:rPr>
          <w:rFonts w:ascii="Calibri" w:hAnsi="Calibri"/>
          <w:b w:val="0"/>
          <w:i w:val="0"/>
          <w:color w:val="212121"/>
          <w:sz w:val="21"/>
        </w:rPr>
        <w:t>(2) By degree (on cycloplegic spherical equivalent): low (≤ +2.00 D), moderate (+2.25 to +5.00 D) and high (&gt; +5.00 D); high hyperopia carries the greatest risk of amblyopia, esotropia and structural complications.</w:t>
      </w:r>
    </w:p>
    <w:p>
      <w:pPr>
        <w:spacing w:before="0" w:after="80"/>
      </w:pPr>
      <w:r>
        <w:rPr>
          <w:rFonts w:ascii="Calibri" w:hAnsi="Calibri"/>
          <w:b w:val="0"/>
          <w:i w:val="0"/>
          <w:color w:val="212121"/>
          <w:sz w:val="21"/>
        </w:rPr>
        <w:t>(3) By the role of accommodation: total hyperopia = latent + manifest. Latent hyperopia is masked by resting ciliary-muscle tone and appears only under cycloplegia; manifest hyperopia is either facultative (can be overcome by the patient's own accommodation) or absolute (cannot be overcome and always blurs vision). With age, facultative hyperopia progressively becomes absolute as the accommodative reserve falls.</w:t>
      </w:r>
    </w:p>
    <w:p>
      <w:pPr>
        <w:spacing w:before="0" w:after="80"/>
      </w:pPr>
      <w:r>
        <w:rPr>
          <w:rFonts w:ascii="Calibri" w:hAnsi="Calibri"/>
          <w:b w:val="0"/>
          <w:i w:val="0"/>
          <w:color w:val="212121"/>
          <w:sz w:val="21"/>
        </w:rPr>
        <w:t>Physiological hyperopia of infancy (most newborns are hyperopic and normally emmetropise during childhood) is distinguished from pathological hyperopia associated with structural anomalies such as nanophthalmos, microphthalmos or a mass/oedema displacing the retina forward.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Short axial length / genetic predisposition: A congenitally short eyeball is the commonest cause; hyperopia shows strong familial clustering and a positive family history, and severe forms accompany monogenic/structural disorders (e.g. nanophthalmos, microphthalmos, 16p11.2 microdeletion, MYRF mutations).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Corneal or lenticular flattening (curvature hyperopia): A congenitally flat cornea or reduced lens curvature lowers the eye's converging power.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Index (media) changes: Alteration in the refractive index of the lens with ageing, or transient shifts with fluctuating blood glucose in diabetes, produce index hyperopia and refractive instability.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Loss of accommodation with age: After about 40 years the weakening ciliary–lens accommodative mechanism can no longer mask latent hyperopia, converting facultative into absolute (symptomatic) hyperopia and hastening presbyopia.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Perinatal and environmental factors: Prematurity, low birth weight and maternal smoking during pregnancy are associated with childhood hyperopia.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Acquired/secondary causes: Aphakia (cataract surgery without an intraocular lens), retinal or choroidal lesions or oedema pushing the retina anteriorly, and flattening of the globe by orbital masses.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Failure of emmetropisation: Persistence of the physiological hyperopia present at birth, rather than the normal reduction of hyperopia during early childhood.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Most newborns are physiologically hyperopic and normally emmetropise during childhood; those who retain moderate-to-high hyperopia are prone to accommodative esotropia and refractive amblyopia during the critical period of visual development.</w:t>
            </w:r>
          </w:p>
          <w:p>
            <w:pPr>
              <w:spacing w:after="40" w:before="60" w:line="259" w:lineRule="auto"/>
            </w:pPr>
            <w:r>
              <w:rPr>
                <w:rFonts w:ascii="Calibri" w:hAnsi="Calibri"/>
                <w:b w:val="0"/>
                <w:i w:val="0"/>
                <w:color w:val="212121"/>
                <w:sz w:val="19"/>
              </w:rPr>
              <w:t>Moderate hyperopia (≥ +2 D) is found in about 13.2% of children at age 6, falling to 5.0% by age 12 as the eye grows.</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#hyperopia  #emmetropisation  #amblyopia  #accommodativeesotropia  #childvision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 40 years (Elderly)</w:t>
            </w:r>
          </w:p>
        </w:tc>
        <w:tc>
          <w:tcPr>
            <w:tcW w:type="dxa" w:w="4276"/>
            <w:vAlign w:val="top"/>
          </w:tcPr>
          <w:p>
            <w:pPr>
              <w:spacing w:after="60" w:line="259" w:lineRule="auto"/>
            </w:pPr>
            <w:r>
              <w:rPr>
                <w:rFonts w:ascii="Calibri" w:hAnsi="Calibri"/>
                <w:b w:val="0"/>
                <w:i w:val="0"/>
                <w:color w:val="212121"/>
                <w:sz w:val="19"/>
              </w:rPr>
              <w:t>With age the accommodative reserve falls and lens index changes occur, so previously latent or facultative hyperopia becomes manifest and absolute; near work becomes difficult and presbyopia arrives earlier in hyperopes.</w:t>
            </w:r>
          </w:p>
          <w:p>
            <w:pPr>
              <w:spacing w:after="40" w:before="60" w:line="259" w:lineRule="auto"/>
            </w:pPr>
            <w:r>
              <w:rPr>
                <w:rFonts w:ascii="Calibri" w:hAnsi="Calibri"/>
                <w:b w:val="0"/>
                <w:i w:val="0"/>
                <w:color w:val="212121"/>
                <w:sz w:val="19"/>
              </w:rPr>
              <w:t>Hyperopia prevalence rises with age, reported at about 9.9% in adults aged 40 and older.</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#presbyopia  #latenthyperopia  #ageing  #nearvision  #accommodation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Population data show a modestly higher prevalence of hyperopia in females, in part reflecting shorter average axial length; women also tend to present earlier with presbyopic/near-vision complaints.</w:t>
            </w:r>
          </w:p>
          <w:p>
            <w:pPr>
              <w:spacing w:after="40" w:before="60" w:line="259" w:lineRule="auto"/>
            </w:pPr>
            <w:r>
              <w:rPr>
                <w:rFonts w:ascii="Calibri" w:hAnsi="Calibri"/>
                <w:b w:val="0"/>
                <w:i w:val="0"/>
                <w:color w:val="212121"/>
                <w:sz w:val="19"/>
              </w:rPr>
              <w:t>Higher hyperopia prevalence is reported in females aged ≤ 15 years and ≥ 30 years.</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#female  #axiallength  #presbyopia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low-literacy households with poor access to eye care</w:t>
            </w:r>
          </w:p>
        </w:tc>
        <w:tc>
          <w:tcPr>
            <w:tcW w:type="dxa" w:w="4276"/>
            <w:vAlign w:val="top"/>
          </w:tcPr>
          <w:p>
            <w:pPr>
              <w:spacing w:after="60" w:line="259" w:lineRule="auto"/>
            </w:pPr>
            <w:r>
              <w:rPr>
                <w:rFonts w:ascii="Calibri" w:hAnsi="Calibri"/>
                <w:b w:val="0"/>
                <w:i w:val="0"/>
                <w:color w:val="212121"/>
                <w:sz w:val="19"/>
              </w:rPr>
              <w:t>Hyperopia and presbyopia in poorer, less literate communities are frequently uncorrected because of limited access to refraction and affordable spectacles, magnifying the impact on schooling, reading and work.</w:t>
            </w:r>
          </w:p>
          <w:p>
            <w:pPr>
              <w:spacing w:after="40" w:before="60" w:line="259" w:lineRule="auto"/>
            </w:pPr>
            <w:r>
              <w:rPr>
                <w:rFonts w:ascii="Calibri" w:hAnsi="Calibri"/>
                <w:b w:val="0"/>
                <w:i w:val="0"/>
                <w:color w:val="212121"/>
                <w:sz w:val="19"/>
              </w:rPr>
              <w:t>Globally, 2 out of 3 people in low-income countries who need spectacles do not have them; uncorrected refractive error impairs distance vision in about 88.4 million people.</w:t>
            </w:r>
          </w:p>
          <w:p>
            <w:pPr>
              <w:spacing w:after="40" w:line="252" w:lineRule="auto"/>
            </w:pPr>
            <w:hyperlink r:id="rId11">
              <w:r>
                <w:rPr>
                  <w:rFonts w:ascii="Calibri" w:hAnsi="Calibri" w:cs="Calibri"/>
                  <w:sz w:val="18"/>
                  <w:color w:val="1155CC"/>
                  <w:u w:val="single"/>
                </w:rPr>
                <w:t xml:space="preserve">who.int — Blindness and vision impairment</w:t>
              </w:r>
            </w:hyperlink>
          </w:p>
          <w:p>
            <w:pPr>
              <w:spacing w:before="60" w:after="40"/>
            </w:pPr>
            <w:r>
              <w:rPr>
                <w:rFonts w:ascii="Calibri" w:hAnsi="Calibri"/>
                <w:b w:val="0"/>
                <w:i w:val="0"/>
                <w:color w:val="5A5A5A"/>
                <w:sz w:val="18"/>
              </w:rPr>
              <w:t>#accesstocare  #uncorrectedRE  #spectaclecoverage  #equity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South-Asian (Indian) school children</w:t>
            </w:r>
          </w:p>
        </w:tc>
        <w:tc>
          <w:tcPr>
            <w:tcW w:type="dxa" w:w="4276"/>
            <w:vAlign w:val="top"/>
          </w:tcPr>
          <w:p>
            <w:pPr>
              <w:spacing w:after="60" w:line="259" w:lineRule="auto"/>
            </w:pPr>
            <w:r>
              <w:rPr>
                <w:rFonts w:ascii="Calibri" w:hAnsi="Calibri"/>
                <w:b w:val="0"/>
                <w:i w:val="0"/>
                <w:color w:val="212121"/>
                <w:sz w:val="19"/>
              </w:rPr>
              <w:t>Among school-aged children, hyperopia is comparatively uncommon in South-Asian populations, in whom myopia dominates the refractive-error burden; most physiological hyperopia has resolved by school age.</w:t>
            </w:r>
          </w:p>
          <w:p>
            <w:pPr>
              <w:spacing w:after="40" w:before="60" w:line="259" w:lineRule="auto"/>
            </w:pPr>
            <w:r>
              <w:rPr>
                <w:rFonts w:ascii="Calibri" w:hAnsi="Calibri"/>
                <w:b w:val="0"/>
                <w:i w:val="0"/>
                <w:color w:val="212121"/>
                <w:sz w:val="19"/>
              </w:rPr>
              <w:t>Pooled hyperopia among Indian school children is about 1% (overall refractive error ≈ 11%; myopia 8%, astigmatism 3%) in a 2025 meta-analysis of 43 studies.</w:t>
            </w:r>
          </w:p>
          <w:p>
            <w:pPr>
              <w:spacing w:after="40" w:line="252" w:lineRule="auto"/>
            </w:pPr>
            <w:hyperlink r:id="rId12">
              <w:r>
                <w:rPr>
                  <w:rFonts w:ascii="Calibri" w:hAnsi="Calibri" w:cs="Calibri"/>
                  <w:sz w:val="18"/>
                  <w:color w:val="1155CC"/>
                  <w:u w:val="single"/>
                </w:rPr>
                <w:t xml:space="preserve">Kumar 2025 — Ophthalmic Epidemiology (India RE meta-analysis)</w:t>
              </w:r>
            </w:hyperlink>
          </w:p>
          <w:p>
            <w:pPr>
              <w:spacing w:before="60" w:after="40"/>
            </w:pPr>
            <w:r>
              <w:rPr>
                <w:rFonts w:ascii="Calibri" w:hAnsi="Calibri"/>
                <w:b w:val="0"/>
                <w:i w:val="0"/>
                <w:color w:val="5A5A5A"/>
                <w:sz w:val="18"/>
              </w:rPr>
              <w:t>#India  #southasian  #childrefraction  #schoolscreening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Hispanic &amp; non-Hispanic White children</w:t>
            </w:r>
          </w:p>
        </w:tc>
        <w:tc>
          <w:tcPr>
            <w:tcW w:type="dxa" w:w="4276"/>
            <w:vAlign w:val="top"/>
          </w:tcPr>
          <w:p>
            <w:pPr>
              <w:spacing w:after="60" w:line="259" w:lineRule="auto"/>
            </w:pPr>
            <w:r>
              <w:rPr>
                <w:rFonts w:ascii="Calibri" w:hAnsi="Calibri"/>
                <w:b w:val="0"/>
                <w:i w:val="0"/>
                <w:color w:val="212121"/>
                <w:sz w:val="19"/>
              </w:rPr>
              <w:t>Axial hyperopia is more frequent in Hispanic and White children than in Asian-ancestry children, giving a higher childhood hyperopia prevalence in those groups.</w:t>
            </w:r>
          </w:p>
          <w:p>
            <w:pPr>
              <w:spacing w:after="40" w:before="60" w:line="259" w:lineRule="auto"/>
            </w:pPr>
            <w:r>
              <w:rPr>
                <w:rFonts w:ascii="Calibri" w:hAnsi="Calibri"/>
                <w:b w:val="0"/>
                <w:i w:val="0"/>
                <w:color w:val="212121"/>
                <w:sz w:val="19"/>
              </w:rPr>
              <w:t>In children, hyperopia prevalence is ~26.9% (Hispanic), 25% (non-Hispanic White), 20.8% (African-American) and ~13% (Asian-American).</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#ethnicity  #axialhyperopia  #childrenprevalence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of residence</w:t>
            </w:r>
          </w:p>
        </w:tc>
        <w:tc>
          <w:tcPr>
            <w:tcW w:type="dxa" w:w="2160"/>
            <w:vAlign w:val="top"/>
          </w:tcPr>
          <w:p>
            <w:pPr>
              <w:spacing w:after="40" w:before="0" w:line="259" w:lineRule="auto"/>
            </w:pPr>
            <w:r>
              <w:rPr>
                <w:rFonts w:ascii="Calibri" w:hAnsi="Calibri"/>
                <w:b w:val="0"/>
                <w:i w:val="0"/>
                <w:color w:val="212121"/>
                <w:sz w:val="19"/>
              </w:rPr>
              <w:t>Rural populations</w:t>
            </w:r>
          </w:p>
        </w:tc>
        <w:tc>
          <w:tcPr>
            <w:tcW w:type="dxa" w:w="4276"/>
            <w:vAlign w:val="top"/>
          </w:tcPr>
          <w:p>
            <w:pPr>
              <w:spacing w:after="60" w:line="259" w:lineRule="auto"/>
            </w:pPr>
            <w:r>
              <w:rPr>
                <w:rFonts w:ascii="Calibri" w:hAnsi="Calibri"/>
                <w:b w:val="0"/>
                <w:i w:val="0"/>
                <w:color w:val="212121"/>
                <w:sz w:val="19"/>
              </w:rPr>
              <w:t>Hyperopia is somewhat more common in rural than urban settings, where limited screening and spectacle supply leave more errors uncorrected; rural Indian schoolchildren carry a substantial burden of refractive error and ocular morbidity.</w:t>
            </w:r>
          </w:p>
          <w:p>
            <w:pPr>
              <w:spacing w:after="40" w:before="60" w:line="259" w:lineRule="auto"/>
            </w:pPr>
            <w:r>
              <w:rPr>
                <w:rFonts w:ascii="Calibri" w:hAnsi="Calibri"/>
                <w:b w:val="0"/>
                <w:i w:val="0"/>
                <w:color w:val="212121"/>
                <w:sz w:val="19"/>
              </w:rPr>
              <w:t>Hyperopia is more common in rural than urban areas (~4% overall).</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#rural  #screening  #India  #uncorrectedRE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Sustained near work</w:t>
            </w:r>
          </w:p>
        </w:tc>
        <w:tc>
          <w:tcPr>
            <w:tcW w:type="dxa" w:w="2160"/>
            <w:vAlign w:val="top"/>
          </w:tcPr>
          <w:p>
            <w:pPr>
              <w:spacing w:after="40" w:before="0" w:line="259" w:lineRule="auto"/>
            </w:pPr>
            <w:r>
              <w:rPr>
                <w:rFonts w:ascii="Calibri" w:hAnsi="Calibri"/>
                <w:b w:val="0"/>
                <w:i w:val="0"/>
                <w:color w:val="212121"/>
                <w:sz w:val="19"/>
              </w:rPr>
              <w:t>Students, IT/screen workers, tailors, jewellers</w:t>
            </w:r>
          </w:p>
        </w:tc>
        <w:tc>
          <w:tcPr>
            <w:tcW w:type="dxa" w:w="4276"/>
            <w:vAlign w:val="top"/>
          </w:tcPr>
          <w:p>
            <w:pPr>
              <w:spacing w:after="60" w:line="259" w:lineRule="auto"/>
            </w:pPr>
            <w:r>
              <w:rPr>
                <w:rFonts w:ascii="Calibri" w:hAnsi="Calibri"/>
                <w:b w:val="0"/>
                <w:i w:val="0"/>
                <w:color w:val="212121"/>
                <w:sz w:val="19"/>
              </w:rPr>
              <w:t>Prolonged, close near work does not cause hyperopia but greatly increases the accommodative demand on a hyperopic eye, unmasking asthenopia, headache, intermittent blurring and, in children, accommodative esotropia.</w:t>
            </w:r>
          </w:p>
          <w:p>
            <w:pPr>
              <w:spacing w:after="40" w:before="60" w:line="259" w:lineRule="auto"/>
            </w:pPr>
            <w:r>
              <w:rPr>
                <w:rFonts w:ascii="Calibri" w:hAnsi="Calibri"/>
                <w:b w:val="0"/>
                <w:i w:val="0"/>
                <w:color w:val="212121"/>
                <w:sz w:val="19"/>
              </w:rPr>
              <w:t>Symptoms are precipitated by sustained near tasks; a 20-20-20 pattern (every 20 min, look 20 ft away for 20 s) and adequate correction relieve accommodative strain.</w:t>
            </w:r>
          </w:p>
          <w:p>
            <w:pPr>
              <w:spacing w:before="60" w:after="40"/>
            </w:pPr>
            <w:r>
              <w:rPr>
                <w:rFonts w:ascii="Calibri" w:hAnsi="Calibri"/>
                <w:b w:val="0"/>
                <w:i w:val="0"/>
                <w:color w:val="5A5A5A"/>
                <w:sz w:val="18"/>
              </w:rPr>
              <w:t>#nearwork  #asthenopia  #screens  #accommodativestrain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Spectacle adherence</w:t>
            </w:r>
          </w:p>
        </w:tc>
        <w:tc>
          <w:tcPr>
            <w:tcW w:type="dxa" w:w="2160"/>
            <w:vAlign w:val="top"/>
          </w:tcPr>
          <w:p>
            <w:pPr>
              <w:spacing w:after="40" w:before="0" w:line="259" w:lineRule="auto"/>
            </w:pPr>
            <w:r>
              <w:rPr>
                <w:rFonts w:ascii="Calibri" w:hAnsi="Calibri"/>
                <w:b w:val="0"/>
                <w:i w:val="0"/>
                <w:color w:val="212121"/>
                <w:sz w:val="19"/>
              </w:rPr>
              <w:t>Children prescribed glasses who do not wear them</w:t>
            </w:r>
          </w:p>
        </w:tc>
        <w:tc>
          <w:tcPr>
            <w:tcW w:type="dxa" w:w="4276"/>
            <w:vAlign w:val="top"/>
          </w:tcPr>
          <w:p>
            <w:pPr>
              <w:spacing w:after="60" w:line="259" w:lineRule="auto"/>
            </w:pPr>
            <w:r>
              <w:rPr>
                <w:rFonts w:ascii="Calibri" w:hAnsi="Calibri"/>
                <w:b w:val="0"/>
                <w:i w:val="0"/>
                <w:color w:val="212121"/>
                <w:sz w:val="19"/>
              </w:rPr>
              <w:t>Even when hyperopia/refractive error is detected, poor spectacle adherence in schoolchildren leaves it functionally uncorrected, perpetuating amblyopia risk and academic impact and undermining screening programmes.</w:t>
            </w:r>
          </w:p>
          <w:p>
            <w:pPr>
              <w:spacing w:after="40" w:before="60" w:line="259" w:lineRule="auto"/>
            </w:pPr>
            <w:r>
              <w:rPr>
                <w:rFonts w:ascii="Calibri" w:hAnsi="Calibri"/>
                <w:b w:val="0"/>
                <w:i w:val="0"/>
                <w:color w:val="212121"/>
                <w:sz w:val="19"/>
              </w:rPr>
              <w:t>Spectacle adherence among Indian school children is frequently suboptimal, limiting the benefit of vision-screening programmes (multicentre Indian study).</w:t>
            </w:r>
          </w:p>
          <w:p>
            <w:pPr>
              <w:spacing w:after="40" w:line="252" w:lineRule="auto"/>
            </w:pPr>
            <w:hyperlink r:id="rId13">
              <w:r>
                <w:rPr>
                  <w:rFonts w:ascii="Calibri" w:hAnsi="Calibri" w:cs="Calibri"/>
                  <w:sz w:val="18"/>
                  <w:color w:val="1155CC"/>
                  <w:u w:val="single"/>
                </w:rPr>
                <w:t xml:space="preserve">Kuyyadiyil 2025 — Br J Ophthalmol (multicentre Indian study)</w:t>
              </w:r>
            </w:hyperlink>
          </w:p>
          <w:p>
            <w:pPr>
              <w:spacing w:before="60" w:after="40"/>
            </w:pPr>
            <w:r>
              <w:rPr>
                <w:rFonts w:ascii="Calibri" w:hAnsi="Calibri"/>
                <w:b w:val="0"/>
                <w:i w:val="0"/>
                <w:color w:val="5A5A5A"/>
                <w:sz w:val="18"/>
              </w:rPr>
              <w:t>#spectacleadherence  #compliance  #India  #schoolscreening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Children of mothers who smoked in pregnancy</w:t>
            </w:r>
          </w:p>
        </w:tc>
        <w:tc>
          <w:tcPr>
            <w:tcW w:type="dxa" w:w="4276"/>
            <w:vAlign w:val="top"/>
          </w:tcPr>
          <w:p>
            <w:pPr>
              <w:spacing w:after="60" w:line="259" w:lineRule="auto"/>
            </w:pPr>
            <w:r>
              <w:rPr>
                <w:rFonts w:ascii="Calibri" w:hAnsi="Calibri"/>
                <w:b w:val="0"/>
                <w:i w:val="0"/>
                <w:color w:val="212121"/>
                <w:sz w:val="19"/>
              </w:rPr>
              <w:t>Maternal smoking during pregnancy is a recognised risk factor for childhood hyperopia, probably through effects on fetal ocular growth.</w:t>
            </w:r>
          </w:p>
          <w:p>
            <w:pPr>
              <w:spacing w:after="40" w:before="60" w:line="259" w:lineRule="auto"/>
            </w:pPr>
            <w:r>
              <w:rPr>
                <w:rFonts w:ascii="Calibri" w:hAnsi="Calibri"/>
                <w:b w:val="0"/>
                <w:i w:val="0"/>
                <w:color w:val="212121"/>
                <w:sz w:val="19"/>
              </w:rPr>
              <w:t>Maternal smoking in pregnancy is listed among the established risk factors for hyperopia in children.</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#maternalsmoking  #prenatal  #oculargrowth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Prenatal alcohol exposure (fetal alcohol spectrum)</w:t>
            </w:r>
          </w:p>
        </w:tc>
        <w:tc>
          <w:tcPr>
            <w:tcW w:type="dxa" w:w="4276"/>
            <w:vAlign w:val="top"/>
          </w:tcPr>
          <w:p>
            <w:pPr>
              <w:spacing w:after="60" w:line="259" w:lineRule="auto"/>
            </w:pPr>
            <w:r>
              <w:rPr>
                <w:rFonts w:ascii="Calibri" w:hAnsi="Calibri"/>
                <w:b w:val="0"/>
                <w:i w:val="0"/>
                <w:color w:val="212121"/>
                <w:sz w:val="19"/>
              </w:rPr>
              <w:t>Heavy maternal alcohol use can cause fetal alcohol spectrum disorder with ocular anomalies and refractive errors including hyperopia; there is no meaningful causal link with adult drinking.</w:t>
            </w:r>
          </w:p>
          <w:p>
            <w:pPr>
              <w:spacing w:after="40" w:before="60" w:line="259" w:lineRule="auto"/>
            </w:pPr>
            <w:r>
              <w:rPr>
                <w:rFonts w:ascii="Calibri" w:hAnsi="Calibri"/>
                <w:b w:val="0"/>
                <w:i w:val="0"/>
                <w:color w:val="212121"/>
                <w:sz w:val="19"/>
              </w:rPr>
              <w:t>Refractive errors, including hyperopia, are described among the ocular features of fetal alcohol spectrum disorder.</w:t>
            </w:r>
          </w:p>
          <w:p>
            <w:pPr>
              <w:spacing w:before="60" w:after="40"/>
            </w:pPr>
            <w:r>
              <w:rPr>
                <w:rFonts w:ascii="Calibri" w:hAnsi="Calibri"/>
                <w:b w:val="0"/>
                <w:i w:val="0"/>
                <w:color w:val="5A5A5A"/>
                <w:sz w:val="18"/>
              </w:rPr>
              <w:t>#prenatalalcohol  #FASD  #refractiveerror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Poorly controlled, diabetogenic (high-glycaemic) diet</w:t>
            </w:r>
          </w:p>
        </w:tc>
        <w:tc>
          <w:tcPr>
            <w:tcW w:type="dxa" w:w="4276"/>
            <w:vAlign w:val="top"/>
          </w:tcPr>
          <w:p>
            <w:pPr>
              <w:spacing w:after="60" w:line="259" w:lineRule="auto"/>
            </w:pPr>
            <w:r>
              <w:rPr>
                <w:rFonts w:ascii="Calibri" w:hAnsi="Calibri"/>
                <w:b w:val="0"/>
                <w:i w:val="0"/>
                <w:color w:val="212121"/>
                <w:sz w:val="19"/>
              </w:rPr>
              <w:t>Marked swings in blood glucose alter the refractive index and hydration of the lens, producing transient hyperopic (or myopic) shifts and unstable refraction; index hyperopia can also accompany chronic hyperglycaemia.</w:t>
            </w:r>
          </w:p>
          <w:p>
            <w:pPr>
              <w:spacing w:after="40" w:before="60" w:line="259" w:lineRule="auto"/>
            </w:pPr>
            <w:r>
              <w:rPr>
                <w:rFonts w:ascii="Calibri" w:hAnsi="Calibri"/>
                <w:b w:val="0"/>
                <w:i w:val="0"/>
                <w:color w:val="212121"/>
                <w:sz w:val="19"/>
              </w:rPr>
              <w:t>Diabetes/hyperglycaemia is a recognised cause of index changes and transient refractive shifts; prescriptions should be deferred until glycaemia is stable.</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#indexhyperopia  #glycaemia  #refractiveshift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Perinatal nutrition</w:t>
            </w:r>
          </w:p>
        </w:tc>
        <w:tc>
          <w:tcPr>
            <w:tcW w:type="dxa" w:w="2160"/>
            <w:vAlign w:val="top"/>
          </w:tcPr>
          <w:p>
            <w:pPr>
              <w:spacing w:after="40" w:before="0" w:line="259" w:lineRule="auto"/>
            </w:pPr>
            <w:r>
              <w:rPr>
                <w:rFonts w:ascii="Calibri" w:hAnsi="Calibri"/>
                <w:b w:val="0"/>
                <w:i w:val="0"/>
                <w:color w:val="212121"/>
                <w:sz w:val="19"/>
              </w:rPr>
              <w:t>Low-birth-weight / undernourished infants</w:t>
            </w:r>
          </w:p>
        </w:tc>
        <w:tc>
          <w:tcPr>
            <w:tcW w:type="dxa" w:w="4276"/>
            <w:vAlign w:val="top"/>
          </w:tcPr>
          <w:p>
            <w:pPr>
              <w:spacing w:after="60" w:line="259" w:lineRule="auto"/>
            </w:pPr>
            <w:r>
              <w:rPr>
                <w:rFonts w:ascii="Calibri" w:hAnsi="Calibri"/>
                <w:b w:val="0"/>
                <w:i w:val="0"/>
                <w:color w:val="212121"/>
                <w:sz w:val="19"/>
              </w:rPr>
              <w:t>Impaired fetal and infant growth from poor maternal and early nutrition can disturb normal ocular development and emmetropisation, contributing to persistent hyperopia and other refractive errors.</w:t>
            </w:r>
          </w:p>
          <w:p>
            <w:pPr>
              <w:spacing w:after="40" w:before="60" w:line="259" w:lineRule="auto"/>
            </w:pPr>
            <w:r>
              <w:rPr>
                <w:rFonts w:ascii="Calibri" w:hAnsi="Calibri"/>
                <w:b w:val="0"/>
                <w:i w:val="0"/>
                <w:color w:val="212121"/>
                <w:sz w:val="19"/>
              </w:rPr>
              <w:t>Low birth weight and impaired early growth are associated with a higher burden of childhood refractive error.</w:t>
            </w:r>
          </w:p>
          <w:p>
            <w:pPr>
              <w:spacing w:before="60" w:after="40"/>
            </w:pPr>
            <w:r>
              <w:rPr>
                <w:rFonts w:ascii="Calibri" w:hAnsi="Calibri"/>
                <w:b w:val="0"/>
                <w:i w:val="0"/>
                <w:color w:val="5A5A5A"/>
                <w:sz w:val="18"/>
              </w:rPr>
              <w:t>#perinatalnutrition  #lowbirthweight  #emmetropisation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hyperopia</w:t>
            </w:r>
          </w:p>
        </w:tc>
        <w:tc>
          <w:tcPr>
            <w:tcW w:type="dxa" w:w="4276"/>
            <w:vAlign w:val="top"/>
          </w:tcPr>
          <w:p>
            <w:pPr>
              <w:spacing w:after="60" w:line="259" w:lineRule="auto"/>
            </w:pPr>
            <w:r>
              <w:rPr>
                <w:rFonts w:ascii="Calibri" w:hAnsi="Calibri"/>
                <w:b w:val="0"/>
                <w:i w:val="0"/>
                <w:color w:val="212121"/>
                <w:sz w:val="19"/>
              </w:rPr>
              <w:t>Hyperopia clusters strongly in families; a positive family history is one of the most consistent risk factors, reflecting inherited control of axial length and corneal/lens curvature.</w:t>
            </w:r>
          </w:p>
          <w:p>
            <w:pPr>
              <w:spacing w:after="40" w:before="60" w:line="259" w:lineRule="auto"/>
            </w:pPr>
            <w:r>
              <w:rPr>
                <w:rFonts w:ascii="Calibri" w:hAnsi="Calibri"/>
                <w:b w:val="0"/>
                <w:i w:val="0"/>
                <w:color w:val="212121"/>
                <w:sz w:val="19"/>
              </w:rPr>
              <w:t>A positive family history plays a crucial role and hyperopia is highly heritable.</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#familyhistory  #heritability  #axiallength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&amp; structural</w:t>
            </w:r>
          </w:p>
        </w:tc>
        <w:tc>
          <w:tcPr>
            <w:tcW w:type="dxa" w:w="2160"/>
            <w:vAlign w:val="top"/>
          </w:tcPr>
          <w:p>
            <w:pPr>
              <w:spacing w:after="40" w:before="0" w:line="259" w:lineRule="auto"/>
            </w:pPr>
            <w:r>
              <w:rPr>
                <w:rFonts w:ascii="Calibri" w:hAnsi="Calibri"/>
                <w:b w:val="0"/>
                <w:i w:val="0"/>
                <w:color w:val="212121"/>
                <w:sz w:val="19"/>
              </w:rPr>
              <w:t>Nanophthalmos, microphthalmos, chromosomal syndromes</w:t>
            </w:r>
          </w:p>
        </w:tc>
        <w:tc>
          <w:tcPr>
            <w:tcW w:type="dxa" w:w="4276"/>
            <w:vAlign w:val="top"/>
          </w:tcPr>
          <w:p>
            <w:pPr>
              <w:spacing w:after="60" w:line="259" w:lineRule="auto"/>
            </w:pPr>
            <w:r>
              <w:rPr>
                <w:rFonts w:ascii="Calibri" w:hAnsi="Calibri"/>
                <w:b w:val="0"/>
                <w:i w:val="0"/>
                <w:color w:val="212121"/>
                <w:sz w:val="19"/>
              </w:rPr>
              <w:t>Very high hyperopia accompanies structurally small eyes (nanophthalmos, posterior microphthalmos) and certain genetic syndromes and chromosomal disorders (e.g. Down syndrome), with added risk of uveal effusion and serous retinal detachment.</w:t>
            </w:r>
          </w:p>
          <w:p>
            <w:pPr>
              <w:spacing w:after="40" w:before="60" w:line="259" w:lineRule="auto"/>
            </w:pPr>
            <w:r>
              <w:rPr>
                <w:rFonts w:ascii="Calibri" w:hAnsi="Calibri"/>
                <w:b w:val="0"/>
                <w:i w:val="0"/>
                <w:color w:val="212121"/>
                <w:sz w:val="19"/>
              </w:rPr>
              <w:t>High hyperopia is associated with nanophthalmos/microphthalmos and syndromic/monogenic causes (e.g. 16p11.2 microdeletion, MYRF mutations).</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#nanophthalmos  #microphthalmos  #syndromic  #highhyperopia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Perinatal</w:t>
            </w:r>
          </w:p>
        </w:tc>
        <w:tc>
          <w:tcPr>
            <w:tcW w:type="dxa" w:w="2160"/>
            <w:vAlign w:val="top"/>
          </w:tcPr>
          <w:p>
            <w:pPr>
              <w:spacing w:after="40" w:before="0" w:line="259" w:lineRule="auto"/>
            </w:pPr>
            <w:r>
              <w:rPr>
                <w:rFonts w:ascii="Calibri" w:hAnsi="Calibri"/>
                <w:b w:val="0"/>
                <w:i w:val="0"/>
                <w:color w:val="212121"/>
                <w:sz w:val="19"/>
              </w:rPr>
              <w:t>Preterm &amp; low-birth-weight infants</w:t>
            </w:r>
          </w:p>
        </w:tc>
        <w:tc>
          <w:tcPr>
            <w:tcW w:type="dxa" w:w="4276"/>
            <w:vAlign w:val="top"/>
          </w:tcPr>
          <w:p>
            <w:pPr>
              <w:spacing w:after="60" w:line="259" w:lineRule="auto"/>
            </w:pPr>
            <w:r>
              <w:rPr>
                <w:rFonts w:ascii="Calibri" w:hAnsi="Calibri"/>
                <w:b w:val="0"/>
                <w:i w:val="0"/>
                <w:color w:val="212121"/>
                <w:sz w:val="19"/>
              </w:rPr>
              <w:t>Preterm and low-birth-weight infants (including those with retinopathy of prematurity) have a higher risk of hyperopia and other refractive errors due to altered eye growth.</w:t>
            </w:r>
          </w:p>
          <w:p>
            <w:pPr>
              <w:spacing w:after="40" w:before="60" w:line="259" w:lineRule="auto"/>
            </w:pPr>
            <w:r>
              <w:rPr>
                <w:rFonts w:ascii="Calibri" w:hAnsi="Calibri"/>
                <w:b w:val="0"/>
                <w:i w:val="0"/>
                <w:color w:val="212121"/>
                <w:sz w:val="19"/>
              </w:rPr>
              <w:t>Prematurity and low birth weight are established risk factors for hyperopia.</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#prematurity  #lowbirthweight  #ROP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fluctuating glycaemia</w:t>
            </w:r>
          </w:p>
        </w:tc>
        <w:tc>
          <w:tcPr>
            <w:tcW w:type="dxa" w:w="4276"/>
            <w:vAlign w:val="top"/>
          </w:tcPr>
          <w:p>
            <w:pPr>
              <w:spacing w:after="60" w:line="259" w:lineRule="auto"/>
            </w:pPr>
            <w:r>
              <w:rPr>
                <w:rFonts w:ascii="Calibri" w:hAnsi="Calibri"/>
                <w:b w:val="0"/>
                <w:i w:val="0"/>
                <w:color w:val="212121"/>
                <w:sz w:val="19"/>
              </w:rPr>
              <w:t>Diabetes causes osmotic changes in the lens that shift refraction (often a hyperopic swing as marked hyperglycaemia is corrected) and index hyperopia; refraction is unstable until control is achieved.</w:t>
            </w:r>
          </w:p>
          <w:p>
            <w:pPr>
              <w:spacing w:after="40" w:before="60" w:line="259" w:lineRule="auto"/>
            </w:pPr>
            <w:r>
              <w:rPr>
                <w:rFonts w:ascii="Calibri" w:hAnsi="Calibri"/>
                <w:b w:val="0"/>
                <w:i w:val="0"/>
                <w:color w:val="212121"/>
                <w:sz w:val="19"/>
              </w:rPr>
              <w:t>Hyperglycaemia is a recognised cause of index refractive changes; spectacle prescription is deferred until glucose is stable.</w:t>
            </w:r>
          </w:p>
          <w:p>
            <w:pPr>
              <w:spacing w:after="40" w:line="252" w:lineRule="auto"/>
            </w:pPr>
            <w:hyperlink r:id="rId9">
              <w:r>
                <w:rPr>
                  <w:rFonts w:ascii="Calibri" w:hAnsi="Calibri" w:cs="Calibri"/>
                  <w:sz w:val="18"/>
                  <w:color w:val="1155CC"/>
                  <w:u w:val="single"/>
                </w:rPr>
                <w:t xml:space="preserve">ncbi.nlm.nih.gov — StatPearls: Hyperopia</w:t>
              </w:r>
            </w:hyperlink>
          </w:p>
          <w:p>
            <w:pPr>
              <w:spacing w:before="60" w:after="40"/>
            </w:pPr>
            <w:r>
              <w:rPr>
                <w:rFonts w:ascii="Calibri" w:hAnsi="Calibri"/>
                <w:b w:val="0"/>
                <w:i w:val="0"/>
                <w:color w:val="5A5A5A"/>
                <w:sz w:val="18"/>
              </w:rPr>
              <w:t>#diabetes  #indexhyperopia  #refractiveinstability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Accommodative esotropia</w:t>
            </w:r>
          </w:p>
        </w:tc>
        <w:tc>
          <w:tcPr>
            <w:tcW w:type="dxa" w:w="2160"/>
            <w:vAlign w:val="top"/>
          </w:tcPr>
          <w:p>
            <w:pPr>
              <w:spacing w:after="40" w:before="0" w:line="259" w:lineRule="auto"/>
            </w:pPr>
            <w:r>
              <w:rPr>
                <w:rFonts w:ascii="Calibri" w:hAnsi="Calibri"/>
                <w:b w:val="0"/>
                <w:i w:val="0"/>
                <w:color w:val="212121"/>
                <w:sz w:val="19"/>
              </w:rPr>
              <w:t>Hyperopic children with a convergent squint</w:t>
            </w:r>
          </w:p>
        </w:tc>
        <w:tc>
          <w:tcPr>
            <w:tcW w:type="dxa" w:w="4276"/>
            <w:vAlign w:val="top"/>
          </w:tcPr>
          <w:p>
            <w:pPr>
              <w:spacing w:after="60" w:line="259" w:lineRule="auto"/>
            </w:pPr>
            <w:r>
              <w:rPr>
                <w:rFonts w:ascii="Calibri" w:hAnsi="Calibri"/>
                <w:b w:val="0"/>
                <w:i w:val="0"/>
                <w:color w:val="212121"/>
                <w:sz w:val="19"/>
              </w:rPr>
              <w:t>Uncorrected hyperopia drives excessive accommodation and its linked convergence, producing a convergent squint (accommodative esotropia); full hyperopic correction is the mainstay of treatment.</w:t>
            </w:r>
          </w:p>
          <w:p>
            <w:pPr>
              <w:spacing w:after="40" w:before="60" w:line="259" w:lineRule="auto"/>
            </w:pPr>
            <w:r>
              <w:rPr>
                <w:rFonts w:ascii="Calibri" w:hAnsi="Calibri"/>
                <w:b w:val="0"/>
                <w:i w:val="0"/>
                <w:color w:val="212121"/>
                <w:sz w:val="19"/>
              </w:rPr>
              <w:t>Infants with &gt; +3.50 D are up to 13 times more likely to develop strabismus by age 4 if left uncorrected; about 20% of hyperopic infants develop strabismus.</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#accommodativeesotropia  #squint  #convergence  #children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Primary angle-closure glaucoma</w:t>
            </w:r>
          </w:p>
        </w:tc>
        <w:tc>
          <w:tcPr>
            <w:tcW w:type="dxa" w:w="2160"/>
            <w:vAlign w:val="top"/>
          </w:tcPr>
          <w:p>
            <w:pPr>
              <w:spacing w:after="40" w:before="0" w:line="259" w:lineRule="auto"/>
            </w:pPr>
            <w:r>
              <w:rPr>
                <w:rFonts w:ascii="Calibri" w:hAnsi="Calibri"/>
                <w:b w:val="0"/>
                <w:i w:val="0"/>
                <w:color w:val="212121"/>
                <w:sz w:val="19"/>
              </w:rPr>
              <w:t>Hyperopic (short) eyes with a shallow anterior chamber</w:t>
            </w:r>
          </w:p>
        </w:tc>
        <w:tc>
          <w:tcPr>
            <w:tcW w:type="dxa" w:w="4276"/>
            <w:vAlign w:val="top"/>
          </w:tcPr>
          <w:p>
            <w:pPr>
              <w:spacing w:after="60" w:line="259" w:lineRule="auto"/>
            </w:pPr>
            <w:r>
              <w:rPr>
                <w:rFonts w:ascii="Calibri" w:hAnsi="Calibri"/>
                <w:b w:val="0"/>
                <w:i w:val="0"/>
                <w:color w:val="212121"/>
                <w:sz w:val="19"/>
              </w:rPr>
              <w:t>Short, hyperopic eyes have a shallow anterior chamber and crowded, narrow (occludable) angle, predisposing to primary angle-closure and angle-closure glaucoma — a major cause of glaucoma blindness across Asia; mydriasis or dim light can precipitate an acute attack.</w:t>
            </w:r>
          </w:p>
          <w:p>
            <w:pPr>
              <w:spacing w:after="40" w:before="60" w:line="259" w:lineRule="auto"/>
            </w:pPr>
            <w:r>
              <w:rPr>
                <w:rFonts w:ascii="Calibri" w:hAnsi="Calibri"/>
                <w:b w:val="0"/>
                <w:i w:val="0"/>
                <w:color w:val="212121"/>
                <w:sz w:val="19"/>
              </w:rPr>
              <w:t>Hyperopia is an established risk factor for (acute) angle-closure glaucoma.</w:t>
            </w:r>
          </w:p>
          <w:p>
            <w:pPr>
              <w:spacing w:after="40" w:line="252" w:lineRule="auto"/>
            </w:pPr>
            <w:hyperlink r:id="rId10">
              <w:r>
                <w:rPr>
                  <w:rFonts w:ascii="Calibri" w:hAnsi="Calibri" w:cs="Calibri"/>
                  <w:sz w:val="18"/>
                  <w:color w:val="1155CC"/>
                  <w:u w:val="single"/>
                </w:rPr>
                <w:t xml:space="preserve">eyewiki.aao.org — Hyperopia (AAO)</w:t>
              </w:r>
            </w:hyperlink>
          </w:p>
          <w:p>
            <w:pPr>
              <w:spacing w:before="60" w:after="40"/>
            </w:pPr>
            <w:r>
              <w:rPr>
                <w:rFonts w:ascii="Calibri" w:hAnsi="Calibri"/>
                <w:b w:val="0"/>
                <w:i w:val="0"/>
                <w:color w:val="5A5A5A"/>
                <w:sz w:val="18"/>
              </w:rPr>
              <w:t>#angleclosure  #PACG  #shallowAC  #glaucoma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Hyperopia is largely a structural/genetic trait, so physical activity has little direct effect on the refractive error itself. Outdoor time and activity mainly protect against myopia and support general ocular health; they help balance heavy near work but do not correct hyperopia.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diet causes hyperopia. However, poorly controlled diabetes/large blood-glucose swings cause transient hyperopic (index) refractive shifts, so glycaemic control matters for refractive stability.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causal link between sleep and hyperopia, but fatigue lowers the comfortable accommodative reserve and worsens asthenopic symptoms in an uncorrected hyperope.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smoking during pregnancy is a recognised risk factor for childhood hyperopia; adult smoking is not causal but adds to overall ocular and vascular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prenatal alcohol (fetal alcohol spectrum disorder) is associated with ocular anomalies and refractive errors including hyperopia; adult alcohol has no meaningful causal role.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link is largely reverse — uncorrected hyperopia/asthenopia causes headaches, poor concentration and, in children, frustration and underperformance, which improve once the error is corrected.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hydration and hyperopia.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hyperopia.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lid/hand hygiene and eye rubbing predispose uncorrected hyperopes to recurrent hordeolum and blepharoconjunctivitis; contact-lens hygiene is important when hyperopia is corrected with lenses.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near work, small print, dim light and screen use provoke asthenopia, headache, intermittent blurring and accommodative esotropia; pupil dilation (mydriatics) or darkness can precipitate acute angle closure in short hyperopic eyes.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very close working distance and stooped near-work posture increase accommodative/convergence demand and worsen eye strain; maintaining an adequate reading distance reduces symptoms, though posture does not alter the refractive error.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near-work duration</w:t>
            </w:r>
          </w:p>
        </w:tc>
        <w:tc>
          <w:tcPr>
            <w:tcW w:type="dxa" w:w="1655"/>
            <w:vAlign w:val="top"/>
          </w:tcPr>
          <w:p>
            <w:pPr>
              <w:spacing w:after="40" w:before="0" w:line="259" w:lineRule="auto"/>
            </w:pPr>
            <w:r>
              <w:rPr>
                <w:rFonts w:ascii="Calibri" w:hAnsi="Calibri"/>
                <w:b w:val="0"/>
                <w:i w:val="0"/>
                <w:color w:val="212121"/>
                <w:sz w:val="19"/>
              </w:rPr>
              <w:t>Students, screen/IT workers, hyperopes</w:t>
            </w:r>
          </w:p>
        </w:tc>
        <w:tc>
          <w:tcPr>
            <w:tcW w:type="dxa" w:w="1512"/>
            <w:vAlign w:val="top"/>
          </w:tcPr>
          <w:p>
            <w:pPr>
              <w:spacing w:after="40" w:before="0" w:line="259" w:lineRule="auto"/>
            </w:pPr>
            <w:r>
              <w:rPr>
                <w:rFonts w:ascii="Calibri" w:hAnsi="Calibri"/>
                <w:b w:val="0"/>
                <w:i w:val="0"/>
                <w:color w:val="212121"/>
                <w:sz w:val="19"/>
              </w:rPr>
              <w:t>≤ 20 min then a 20-second distance break (20-20-20 rule)</w:t>
            </w:r>
          </w:p>
        </w:tc>
        <w:tc>
          <w:tcPr>
            <w:tcW w:type="dxa" w:w="1512"/>
            <w:vAlign w:val="top"/>
          </w:tcPr>
          <w:p>
            <w:pPr>
              <w:spacing w:after="40" w:before="0" w:line="259" w:lineRule="auto"/>
            </w:pPr>
            <w:r>
              <w:rPr>
                <w:rFonts w:ascii="Calibri" w:hAnsi="Calibri"/>
                <w:b w:val="0"/>
                <w:i w:val="0"/>
                <w:color w:val="212121"/>
                <w:sz w:val="19"/>
              </w:rPr>
              <w:t>&gt; 1–2 h uninterrupted near work</w:t>
            </w:r>
          </w:p>
        </w:tc>
        <w:tc>
          <w:tcPr>
            <w:tcW w:type="dxa" w:w="1468"/>
            <w:vAlign w:val="top"/>
          </w:tcPr>
          <w:p>
            <w:pPr>
              <w:spacing w:after="40" w:before="0" w:line="259" w:lineRule="auto"/>
            </w:pPr>
            <w:r>
              <w:rPr>
                <w:rFonts w:ascii="Calibri" w:hAnsi="Calibri"/>
                <w:b w:val="0"/>
                <w:i w:val="0"/>
                <w:color w:val="212121"/>
                <w:sz w:val="19"/>
              </w:rPr>
              <w:t>Regular distance breaks reduce accommodative fatigue, asthenopia and headache in hyperopes.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Near working / reading distance</w:t>
            </w:r>
          </w:p>
        </w:tc>
        <w:tc>
          <w:tcPr>
            <w:tcW w:type="dxa" w:w="1655"/>
            <w:vAlign w:val="top"/>
          </w:tcPr>
          <w:p>
            <w:pPr>
              <w:spacing w:after="40" w:before="0" w:line="259" w:lineRule="auto"/>
            </w:pPr>
            <w:r>
              <w:rPr>
                <w:rFonts w:ascii="Calibri" w:hAnsi="Calibri"/>
                <w:b w:val="0"/>
                <w:i w:val="0"/>
                <w:color w:val="212121"/>
                <w:sz w:val="19"/>
              </w:rPr>
              <w:t>Children and adults doing near work</w:t>
            </w:r>
          </w:p>
        </w:tc>
        <w:tc>
          <w:tcPr>
            <w:tcW w:type="dxa" w:w="1512"/>
            <w:vAlign w:val="top"/>
          </w:tcPr>
          <w:p>
            <w:pPr>
              <w:spacing w:after="40" w:before="0" w:line="259" w:lineRule="auto"/>
            </w:pPr>
            <w:r>
              <w:rPr>
                <w:rFonts w:ascii="Calibri" w:hAnsi="Calibri"/>
                <w:b w:val="0"/>
                <w:i w:val="0"/>
                <w:color w:val="212121"/>
                <w:sz w:val="19"/>
              </w:rPr>
              <w:t>≥ 33–40 cm (approx. Harmon/elbow distance)</w:t>
            </w:r>
          </w:p>
        </w:tc>
        <w:tc>
          <w:tcPr>
            <w:tcW w:type="dxa" w:w="1512"/>
            <w:vAlign w:val="top"/>
          </w:tcPr>
          <w:p>
            <w:pPr>
              <w:spacing w:after="40" w:before="0" w:line="259" w:lineRule="auto"/>
            </w:pPr>
            <w:r>
              <w:rPr>
                <w:rFonts w:ascii="Calibri" w:hAnsi="Calibri"/>
                <w:b w:val="0"/>
                <w:i w:val="0"/>
                <w:color w:val="212121"/>
                <w:sz w:val="19"/>
              </w:rPr>
              <w:t>&lt; 25 cm sustained</w:t>
            </w:r>
          </w:p>
        </w:tc>
        <w:tc>
          <w:tcPr>
            <w:tcW w:type="dxa" w:w="1468"/>
            <w:vAlign w:val="top"/>
          </w:tcPr>
          <w:p>
            <w:pPr>
              <w:spacing w:after="40" w:before="0" w:line="259" w:lineRule="auto"/>
            </w:pPr>
            <w:r>
              <w:rPr>
                <w:rFonts w:ascii="Calibri" w:hAnsi="Calibri"/>
                <w:b w:val="0"/>
                <w:i w:val="0"/>
                <w:color w:val="212121"/>
                <w:sz w:val="19"/>
              </w:rPr>
              <w:t>Very close distance raises accommodative and convergence demand, provoking esotropia and strain.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Cycloplegic spherical equivalent (grade)</w:t>
            </w:r>
          </w:p>
        </w:tc>
        <w:tc>
          <w:tcPr>
            <w:tcW w:type="dxa" w:w="1655"/>
            <w:vAlign w:val="top"/>
          </w:tcPr>
          <w:p>
            <w:pPr>
              <w:spacing w:after="40" w:before="0" w:line="259" w:lineRule="auto"/>
            </w:pPr>
            <w:r>
              <w:rPr>
                <w:rFonts w:ascii="Calibri" w:hAnsi="Calibri"/>
                <w:b w:val="0"/>
                <w:i w:val="0"/>
                <w:color w:val="212121"/>
                <w:sz w:val="19"/>
              </w:rPr>
              <w:t>Children, symptomatic adults</w:t>
            </w:r>
          </w:p>
        </w:tc>
        <w:tc>
          <w:tcPr>
            <w:tcW w:type="dxa" w:w="1512"/>
            <w:vAlign w:val="top"/>
          </w:tcPr>
          <w:p>
            <w:pPr>
              <w:spacing w:after="40" w:before="0" w:line="259" w:lineRule="auto"/>
            </w:pPr>
            <w:r>
              <w:rPr>
                <w:rFonts w:ascii="Calibri" w:hAnsi="Calibri"/>
                <w:b w:val="0"/>
                <w:i w:val="0"/>
                <w:color w:val="212121"/>
                <w:sz w:val="19"/>
              </w:rPr>
              <w:t>Age-appropriate; low ≤ +2.00 D is usually asymptomatic</w:t>
            </w:r>
          </w:p>
        </w:tc>
        <w:tc>
          <w:tcPr>
            <w:tcW w:type="dxa" w:w="1512"/>
            <w:vAlign w:val="top"/>
          </w:tcPr>
          <w:p>
            <w:pPr>
              <w:spacing w:after="40" w:before="0" w:line="259" w:lineRule="auto"/>
            </w:pPr>
            <w:r>
              <w:rPr>
                <w:rFonts w:ascii="Calibri" w:hAnsi="Calibri"/>
                <w:b w:val="0"/>
                <w:i w:val="0"/>
                <w:color w:val="212121"/>
                <w:sz w:val="19"/>
              </w:rPr>
              <w:t>≥ +2.00 D (moderate) or &gt; +5.00 D (high), or any degree with esotropia/amblyopia/asthenopia</w:t>
            </w:r>
          </w:p>
        </w:tc>
        <w:tc>
          <w:tcPr>
            <w:tcW w:type="dxa" w:w="1468"/>
            <w:vAlign w:val="top"/>
          </w:tcPr>
          <w:p>
            <w:pPr>
              <w:spacing w:after="60" w:line="259" w:lineRule="auto"/>
            </w:pPr>
            <w:r>
              <w:rPr>
                <w:rFonts w:ascii="Calibri" w:hAnsi="Calibri"/>
                <w:b w:val="0"/>
                <w:i w:val="0"/>
                <w:color w:val="212121"/>
                <w:sz w:val="19"/>
              </w:rPr>
              <w:t>Guides the need for and the power of convex (plus) correction.</w:t>
            </w:r>
          </w:p>
          <w:p>
            <w:pPr>
              <w:spacing w:after="40" w:line="252" w:lineRule="auto"/>
            </w:pPr>
            <w:hyperlink r:id="rId9">
              <w:r>
                <w:rPr>
                  <w:rFonts w:ascii="Calibri" w:hAnsi="Calibri" w:cs="Calibri"/>
                  <w:sz w:val="18"/>
                  <w:color w:val="1155CC"/>
                  <w:u w:val="single"/>
                </w:rPr>
                <w:t xml:space="preserve">https://www.ncbi.nlm.nih.gov/books/NBK560716/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Anterior chamber depth / angle status</w:t>
            </w:r>
          </w:p>
        </w:tc>
        <w:tc>
          <w:tcPr>
            <w:tcW w:type="dxa" w:w="1655"/>
            <w:vAlign w:val="top"/>
          </w:tcPr>
          <w:p>
            <w:pPr>
              <w:spacing w:after="40" w:before="0" w:line="259" w:lineRule="auto"/>
            </w:pPr>
            <w:r>
              <w:rPr>
                <w:rFonts w:ascii="Calibri" w:hAnsi="Calibri"/>
                <w:b w:val="0"/>
                <w:i w:val="0"/>
                <w:color w:val="212121"/>
                <w:sz w:val="19"/>
              </w:rPr>
              <w:t>Hyperopic (short) eyes, older adults</w:t>
            </w:r>
          </w:p>
        </w:tc>
        <w:tc>
          <w:tcPr>
            <w:tcW w:type="dxa" w:w="1512"/>
            <w:vAlign w:val="top"/>
          </w:tcPr>
          <w:p>
            <w:pPr>
              <w:spacing w:after="40" w:before="0" w:line="259" w:lineRule="auto"/>
            </w:pPr>
            <w:r>
              <w:rPr>
                <w:rFonts w:ascii="Calibri" w:hAnsi="Calibri"/>
                <w:b w:val="0"/>
                <w:i w:val="0"/>
                <w:color w:val="212121"/>
                <w:sz w:val="19"/>
              </w:rPr>
              <w:t>Open angle; anterior chamber depth ≥ ~2.5 mm</w:t>
            </w:r>
          </w:p>
        </w:tc>
        <w:tc>
          <w:tcPr>
            <w:tcW w:type="dxa" w:w="1512"/>
            <w:vAlign w:val="top"/>
          </w:tcPr>
          <w:p>
            <w:pPr>
              <w:spacing w:after="40" w:before="0" w:line="259" w:lineRule="auto"/>
            </w:pPr>
            <w:r>
              <w:rPr>
                <w:rFonts w:ascii="Calibri" w:hAnsi="Calibri"/>
                <w:b w:val="0"/>
                <w:i w:val="0"/>
                <w:color w:val="212121"/>
                <w:sz w:val="19"/>
              </w:rPr>
              <w:t>Shallow chamber / narrow, occludable angle</w:t>
            </w:r>
          </w:p>
        </w:tc>
        <w:tc>
          <w:tcPr>
            <w:tcW w:type="dxa" w:w="1468"/>
            <w:vAlign w:val="top"/>
          </w:tcPr>
          <w:p>
            <w:pPr>
              <w:spacing w:after="60" w:line="259" w:lineRule="auto"/>
            </w:pPr>
            <w:r>
              <w:rPr>
                <w:rFonts w:ascii="Calibri" w:hAnsi="Calibri"/>
                <w:b w:val="0"/>
                <w:i w:val="0"/>
                <w:color w:val="212121"/>
                <w:sz w:val="19"/>
              </w:rPr>
              <w:t>A shallow chamber flags angle-closure risk; avoid unmonitored pupil dilation.</w:t>
            </w:r>
          </w:p>
          <w:p>
            <w:pPr>
              <w:spacing w:after="40" w:line="252" w:lineRule="auto"/>
            </w:pPr>
            <w:hyperlink r:id="rId9">
              <w:r>
                <w:rPr>
                  <w:rFonts w:ascii="Calibri" w:hAnsi="Calibri" w:cs="Calibri"/>
                  <w:sz w:val="18"/>
                  <w:color w:val="1155CC"/>
                  <w:u w:val="single"/>
                </w:rPr>
                <w:t xml:space="preserve">https://www.ncbi.nlm.nih.gov/books/NBK560716/</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Daily outdoor / physical-activity time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 60–120 min/day outdoors</w:t>
            </w:r>
          </w:p>
        </w:tc>
        <w:tc>
          <w:tcPr>
            <w:tcW w:type="dxa" w:w="1512"/>
            <w:vAlign w:val="top"/>
          </w:tcPr>
          <w:p>
            <w:pPr>
              <w:spacing w:after="40" w:before="0" w:line="259" w:lineRule="auto"/>
            </w:pPr>
            <w:r>
              <w:rPr>
                <w:rFonts w:ascii="Calibri" w:hAnsi="Calibri"/>
                <w:b w:val="0"/>
                <w:i w:val="0"/>
                <w:color w:val="212121"/>
                <w:sz w:val="19"/>
              </w:rPr>
              <w:t>&lt; 60 min/day</w:t>
            </w:r>
          </w:p>
        </w:tc>
        <w:tc>
          <w:tcPr>
            <w:tcW w:type="dxa" w:w="1468"/>
            <w:vAlign w:val="top"/>
          </w:tcPr>
          <w:p>
            <w:pPr>
              <w:spacing w:after="40" w:before="0" w:line="259" w:lineRule="auto"/>
            </w:pPr>
            <w:r>
              <w:rPr>
                <w:rFonts w:ascii="Calibri" w:hAnsi="Calibri"/>
                <w:b w:val="0"/>
                <w:i w:val="0"/>
                <w:color w:val="212121"/>
                <w:sz w:val="19"/>
              </w:rPr>
              <w:t>Outdoor time supports overall ocular health and offsets heavy near work (chief benefit is myopia protection).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cigarettes/day in pregnancy</w:t>
            </w:r>
          </w:p>
        </w:tc>
        <w:tc>
          <w:tcPr>
            <w:tcW w:type="dxa" w:w="1655"/>
            <w:vAlign w:val="top"/>
          </w:tcPr>
          <w:p>
            <w:pPr>
              <w:spacing w:after="40" w:before="0" w:line="259" w:lineRule="auto"/>
            </w:pPr>
            <w:r>
              <w:rPr>
                <w:rFonts w:ascii="Calibri" w:hAnsi="Calibri"/>
                <w:b w:val="0"/>
                <w:i w:val="0"/>
                <w:color w:val="212121"/>
                <w:sz w:val="19"/>
              </w:rPr>
              <w:t>Pregnant women / offspring</w:t>
            </w:r>
          </w:p>
        </w:tc>
        <w:tc>
          <w:tcPr>
            <w:tcW w:type="dxa" w:w="1512"/>
            <w:vAlign w:val="top"/>
          </w:tcPr>
          <w:p>
            <w:pPr>
              <w:spacing w:after="40" w:before="0" w:line="259" w:lineRule="auto"/>
            </w:pPr>
            <w:r>
              <w:rPr>
                <w:rFonts w:ascii="Calibri" w:hAnsi="Calibri"/>
                <w:b w:val="0"/>
                <w:i w:val="0"/>
                <w:color w:val="212121"/>
                <w:sz w:val="19"/>
              </w:rPr>
              <w:t>0 (smoke-free pregnancy)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Maternal smoking is an established risk factor for childhood hyperopia.</w:t>
            </w:r>
          </w:p>
          <w:p>
            <w:pPr>
              <w:spacing w:after="40" w:line="252" w:lineRule="auto"/>
            </w:pPr>
            <w:hyperlink r:id="rId10">
              <w:r>
                <w:rPr>
                  <w:rFonts w:ascii="Calibri" w:hAnsi="Calibri" w:cs="Calibri"/>
                  <w:sz w:val="18"/>
                  <w:color w:val="1155CC"/>
                  <w:u w:val="single"/>
                </w:rPr>
                <w:t xml:space="preserve">https://eyewiki.aao.org/Hyperopia</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Prenatal alcohol intake</w:t>
            </w:r>
          </w:p>
        </w:tc>
        <w:tc>
          <w:tcPr>
            <w:tcW w:type="dxa" w:w="1655"/>
            <w:vAlign w:val="top"/>
          </w:tcPr>
          <w:p>
            <w:pPr>
              <w:spacing w:after="40" w:before="0" w:line="259" w:lineRule="auto"/>
            </w:pPr>
            <w:r>
              <w:rPr>
                <w:rFonts w:ascii="Calibri" w:hAnsi="Calibri"/>
                <w:b w:val="0"/>
                <w:i w:val="0"/>
                <w:color w:val="212121"/>
                <w:sz w:val="19"/>
              </w:rPr>
              <w:t>Pregnant women / offspring</w:t>
            </w:r>
          </w:p>
        </w:tc>
        <w:tc>
          <w:tcPr>
            <w:tcW w:type="dxa" w:w="1512"/>
            <w:vAlign w:val="top"/>
          </w:tcPr>
          <w:p>
            <w:pPr>
              <w:spacing w:after="40" w:before="0" w:line="259" w:lineRule="auto"/>
            </w:pPr>
            <w:r>
              <w:rPr>
                <w:rFonts w:ascii="Calibri" w:hAnsi="Calibri"/>
                <w:b w:val="0"/>
                <w:i w:val="0"/>
                <w:color w:val="212121"/>
                <w:sz w:val="19"/>
              </w:rPr>
              <w:t>0 units</w:t>
            </w:r>
          </w:p>
        </w:tc>
        <w:tc>
          <w:tcPr>
            <w:tcW w:type="dxa" w:w="1512"/>
            <w:vAlign w:val="top"/>
          </w:tcPr>
          <w:p>
            <w:pPr>
              <w:spacing w:after="40" w:before="0" w:line="259" w:lineRule="auto"/>
            </w:pPr>
            <w:r>
              <w:rPr>
                <w:rFonts w:ascii="Calibri" w:hAnsi="Calibri"/>
                <w:b w:val="0"/>
                <w:i w:val="0"/>
                <w:color w:val="212121"/>
                <w:sz w:val="19"/>
              </w:rPr>
              <w:t>Any regular / heavy intake</w:t>
            </w:r>
          </w:p>
        </w:tc>
        <w:tc>
          <w:tcPr>
            <w:tcW w:type="dxa" w:w="1468"/>
            <w:vAlign w:val="top"/>
          </w:tcPr>
          <w:p>
            <w:pPr>
              <w:spacing w:after="40" w:before="0" w:line="259" w:lineRule="auto"/>
            </w:pPr>
            <w:r>
              <w:rPr>
                <w:rFonts w:ascii="Calibri" w:hAnsi="Calibri"/>
                <w:b w:val="0"/>
                <w:i w:val="0"/>
                <w:color w:val="212121"/>
                <w:sz w:val="19"/>
              </w:rPr>
              <w:t>Prenatal alcohol (FASD) is linked with ocular anomalies and refractive error.</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 / fasting glucose)</w:t>
            </w:r>
          </w:p>
        </w:tc>
        <w:tc>
          <w:tcPr>
            <w:tcW w:type="dxa" w:w="1655"/>
            <w:vAlign w:val="top"/>
          </w:tcPr>
          <w:p>
            <w:pPr>
              <w:spacing w:after="40" w:before="0" w:line="259" w:lineRule="auto"/>
            </w:pPr>
            <w:r>
              <w:rPr>
                <w:rFonts w:ascii="Calibri" w:hAnsi="Calibri"/>
                <w:b w:val="0"/>
                <w:i w:val="0"/>
                <w:color w:val="212121"/>
                <w:sz w:val="19"/>
              </w:rPr>
              <w:t>Diabetic or pre-diabetic patients</w:t>
            </w:r>
          </w:p>
        </w:tc>
        <w:tc>
          <w:tcPr>
            <w:tcW w:type="dxa" w:w="1512"/>
            <w:vAlign w:val="top"/>
          </w:tcPr>
          <w:p>
            <w:pPr>
              <w:spacing w:after="40" w:before="0" w:line="259" w:lineRule="auto"/>
            </w:pPr>
            <w:r>
              <w:rPr>
                <w:rFonts w:ascii="Calibri" w:hAnsi="Calibri"/>
                <w:b w:val="0"/>
                <w:i w:val="0"/>
                <w:color w:val="212121"/>
                <w:sz w:val="19"/>
              </w:rPr>
              <w:t>HbA1c &lt; 7%; fasting glucose 70–99 mg/dL</w:t>
            </w:r>
          </w:p>
        </w:tc>
        <w:tc>
          <w:tcPr>
            <w:tcW w:type="dxa" w:w="1512"/>
            <w:vAlign w:val="top"/>
          </w:tcPr>
          <w:p>
            <w:pPr>
              <w:spacing w:after="40" w:before="0" w:line="259" w:lineRule="auto"/>
            </w:pPr>
            <w:r>
              <w:rPr>
                <w:rFonts w:ascii="Calibri" w:hAnsi="Calibri"/>
                <w:b w:val="0"/>
                <w:i w:val="0"/>
                <w:color w:val="212121"/>
                <w:sz w:val="19"/>
              </w:rPr>
              <w:t>Poor or fluctuating control</w:t>
            </w:r>
          </w:p>
        </w:tc>
        <w:tc>
          <w:tcPr>
            <w:tcW w:type="dxa" w:w="1468"/>
            <w:vAlign w:val="top"/>
          </w:tcPr>
          <w:p>
            <w:pPr>
              <w:spacing w:after="60" w:line="259" w:lineRule="auto"/>
            </w:pPr>
            <w:r>
              <w:rPr>
                <w:rFonts w:ascii="Calibri" w:hAnsi="Calibri"/>
                <w:b w:val="0"/>
                <w:i w:val="0"/>
                <w:color w:val="212121"/>
                <w:sz w:val="19"/>
              </w:rPr>
              <w:t>Unstable glucose causes transient hyperopic shifts; defer new spectacles until stable.</w:t>
            </w:r>
          </w:p>
          <w:p>
            <w:pPr>
              <w:spacing w:after="40" w:line="252" w:lineRule="auto"/>
            </w:pPr>
            <w:hyperlink r:id="rId9">
              <w:r>
                <w:rPr>
                  <w:rFonts w:ascii="Calibri" w:hAnsi="Calibri" w:cs="Calibri"/>
                  <w:sz w:val="18"/>
                  <w:color w:val="1155CC"/>
                  <w:u w:val="single"/>
                </w:rPr>
                <w:t xml:space="preserve">https://www.ncbi.nlm.nih.gov/books/NBK560716/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Students, screen workers</w:t>
            </w:r>
          </w:p>
        </w:tc>
        <w:tc>
          <w:tcPr>
            <w:tcW w:type="dxa" w:w="1512"/>
            <w:vAlign w:val="top"/>
          </w:tcPr>
          <w:p>
            <w:pPr>
              <w:spacing w:after="40" w:before="0" w:line="259" w:lineRule="auto"/>
            </w:pPr>
            <w:r>
              <w:rPr>
                <w:rFonts w:ascii="Calibri" w:hAnsi="Calibri"/>
                <w:b w:val="0"/>
                <w:i w:val="0"/>
                <w:color w:val="212121"/>
                <w:sz w:val="19"/>
              </w:rPr>
              <w:t>7–9 h/night (age-appropriate)</w:t>
            </w:r>
          </w:p>
        </w:tc>
        <w:tc>
          <w:tcPr>
            <w:tcW w:type="dxa" w:w="1512"/>
            <w:vAlign w:val="top"/>
          </w:tcPr>
          <w:p>
            <w:pPr>
              <w:spacing w:after="40" w:before="0" w:line="259" w:lineRule="auto"/>
            </w:pPr>
            <w:r>
              <w:rPr>
                <w:rFonts w:ascii="Calibri" w:hAnsi="Calibri"/>
                <w:b w:val="0"/>
                <w:i w:val="0"/>
                <w:color w:val="212121"/>
                <w:sz w:val="19"/>
              </w:rPr>
              <w:t>&lt; 6 h/night</w:t>
            </w:r>
          </w:p>
        </w:tc>
        <w:tc>
          <w:tcPr>
            <w:tcW w:type="dxa" w:w="1468"/>
            <w:vAlign w:val="top"/>
          </w:tcPr>
          <w:p>
            <w:pPr>
              <w:spacing w:after="40" w:before="0" w:line="259" w:lineRule="auto"/>
            </w:pPr>
            <w:r>
              <w:rPr>
                <w:rFonts w:ascii="Calibri" w:hAnsi="Calibri"/>
                <w:b w:val="0"/>
                <w:i w:val="0"/>
                <w:color w:val="212121"/>
                <w:sz w:val="19"/>
              </w:rPr>
              <w:t>Fatigue lowers the comfortable accommodative reserve and worsens asthenopic symptoms in uncorrected hyperopes.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Eye-rubbing / lid &amp; contact-lens hygiene</w:t>
            </w:r>
          </w:p>
        </w:tc>
        <w:tc>
          <w:tcPr>
            <w:tcW w:type="dxa" w:w="1655"/>
            <w:vAlign w:val="top"/>
          </w:tcPr>
          <w:p>
            <w:pPr>
              <w:spacing w:after="40" w:before="0" w:line="259" w:lineRule="auto"/>
            </w:pPr>
            <w:r>
              <w:rPr>
                <w:rFonts w:ascii="Calibri" w:hAnsi="Calibri"/>
                <w:b w:val="0"/>
                <w:i w:val="0"/>
                <w:color w:val="212121"/>
                <w:sz w:val="19"/>
              </w:rPr>
              <w:t>Symptomatic hyperopes, contact-lens wearers</w:t>
            </w:r>
          </w:p>
        </w:tc>
        <w:tc>
          <w:tcPr>
            <w:tcW w:type="dxa" w:w="1512"/>
            <w:vAlign w:val="top"/>
          </w:tcPr>
          <w:p>
            <w:pPr>
              <w:spacing w:after="40" w:before="0" w:line="259" w:lineRule="auto"/>
            </w:pPr>
            <w:r>
              <w:rPr>
                <w:rFonts w:ascii="Calibri" w:hAnsi="Calibri"/>
                <w:b w:val="0"/>
                <w:i w:val="0"/>
                <w:color w:val="212121"/>
                <w:sz w:val="19"/>
              </w:rPr>
              <w:t>Minimal rubbing; daily lid hygiene; strict contact-lens hygiene</w:t>
            </w:r>
          </w:p>
        </w:tc>
        <w:tc>
          <w:tcPr>
            <w:tcW w:type="dxa" w:w="1512"/>
            <w:vAlign w:val="top"/>
          </w:tcPr>
          <w:p>
            <w:pPr>
              <w:spacing w:after="40" w:before="0" w:line="259" w:lineRule="auto"/>
            </w:pPr>
            <w:r>
              <w:rPr>
                <w:rFonts w:ascii="Calibri" w:hAnsi="Calibri"/>
                <w:b w:val="0"/>
                <w:i w:val="0"/>
                <w:color w:val="212121"/>
                <w:sz w:val="19"/>
              </w:rPr>
              <w:t>Frequent eye rubbing; poor lens hygiene</w:t>
            </w:r>
          </w:p>
        </w:tc>
        <w:tc>
          <w:tcPr>
            <w:tcW w:type="dxa" w:w="1468"/>
            <w:vAlign w:val="top"/>
          </w:tcPr>
          <w:p>
            <w:pPr>
              <w:spacing w:after="40" w:before="0" w:line="259" w:lineRule="auto"/>
            </w:pPr>
            <w:r>
              <w:rPr>
                <w:rFonts w:ascii="Calibri" w:hAnsi="Calibri"/>
                <w:b w:val="0"/>
                <w:i w:val="0"/>
                <w:color w:val="212121"/>
                <w:sz w:val="19"/>
              </w:rPr>
              <w:t>Reduces recurrent hordeolum/blepharoconjunctivitis and contact-lens-related keratitis.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Cycloplegic spherical equivalent (D)</w:t>
            </w:r>
          </w:p>
        </w:tc>
        <w:tc>
          <w:tcPr>
            <w:tcW w:type="dxa" w:w="892"/>
            <w:vAlign w:val="top"/>
          </w:tcPr>
          <w:p>
            <w:pPr>
              <w:spacing w:after="40" w:before="0" w:line="259" w:lineRule="auto"/>
            </w:pPr>
            <w:r>
              <w:rPr>
                <w:rFonts w:ascii="Calibri" w:hAnsi="Calibri"/>
                <w:b w:val="0"/>
                <w:i w:val="0"/>
                <w:color w:val="212121"/>
                <w:sz w:val="16"/>
              </w:rPr>
              <w:t>Cycloplegic retinoscopy / autorefraction</w:t>
            </w:r>
          </w:p>
        </w:tc>
        <w:tc>
          <w:tcPr>
            <w:tcW w:type="dxa" w:w="950"/>
            <w:vAlign w:val="top"/>
          </w:tcPr>
          <w:p>
            <w:pPr>
              <w:spacing w:after="40" w:before="0" w:line="259" w:lineRule="auto"/>
            </w:pPr>
            <w:r>
              <w:rPr>
                <w:rFonts w:ascii="Calibri" w:hAnsi="Calibri"/>
                <w:b w:val="0"/>
                <w:i w:val="0"/>
                <w:color w:val="212121"/>
                <w:sz w:val="16"/>
              </w:rPr>
              <w:t>Age-appropriate (near emmetropia in older children/adults)</w:t>
            </w:r>
          </w:p>
        </w:tc>
        <w:tc>
          <w:tcPr>
            <w:tcW w:type="dxa" w:w="950"/>
            <w:vAlign w:val="top"/>
          </w:tcPr>
          <w:p>
            <w:pPr>
              <w:spacing w:after="40" w:before="0" w:line="259" w:lineRule="auto"/>
            </w:pPr>
            <w:r>
              <w:rPr>
                <w:rFonts w:ascii="Calibri" w:hAnsi="Calibri"/>
                <w:b w:val="0"/>
                <w:i w:val="0"/>
                <w:color w:val="212121"/>
                <w:sz w:val="16"/>
              </w:rPr>
              <w:t>Plus SE beyond age norm; ≥ +2.00 D moderate, &gt; +5.00 D high</w:t>
            </w:r>
          </w:p>
        </w:tc>
        <w:tc>
          <w:tcPr>
            <w:tcW w:type="dxa" w:w="1036"/>
            <w:vAlign w:val="top"/>
          </w:tcPr>
          <w:p>
            <w:pPr>
              <w:spacing w:after="40" w:before="0" w:line="259" w:lineRule="auto"/>
            </w:pPr>
            <w:r>
              <w:rPr>
                <w:rFonts w:ascii="Calibri" w:hAnsi="Calibri"/>
                <w:b w:val="0"/>
                <w:i w:val="0"/>
                <w:color w:val="212121"/>
                <w:sz w:val="16"/>
              </w:rPr>
              <w:t>Quantifies total (latent + manifest) hyperopia</w:t>
            </w:r>
          </w:p>
        </w:tc>
        <w:tc>
          <w:tcPr>
            <w:tcW w:type="dxa" w:w="1036"/>
            <w:vAlign w:val="top"/>
          </w:tcPr>
          <w:p>
            <w:pPr>
              <w:spacing w:after="40" w:before="0" w:line="259" w:lineRule="auto"/>
            </w:pPr>
            <w:r>
              <w:rPr>
                <w:rFonts w:ascii="Calibri" w:hAnsi="Calibri"/>
                <w:b w:val="0"/>
                <w:i w:val="0"/>
                <w:color w:val="212121"/>
                <w:sz w:val="16"/>
              </w:rPr>
              <w:t>Children, symptomatic adults, squint/amblyopia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Cycloplegia is essential in children to reveal the latent error.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Best-corrected visual acuity with plus lenses</w:t>
            </w:r>
          </w:p>
        </w:tc>
        <w:tc>
          <w:tcPr>
            <w:tcW w:type="dxa" w:w="892"/>
            <w:vAlign w:val="top"/>
          </w:tcPr>
          <w:p>
            <w:pPr>
              <w:spacing w:after="40" w:before="0" w:line="259" w:lineRule="auto"/>
            </w:pPr>
            <w:r>
              <w:rPr>
                <w:rFonts w:ascii="Calibri" w:hAnsi="Calibri"/>
                <w:b w:val="0"/>
                <w:i w:val="0"/>
                <w:color w:val="212121"/>
                <w:sz w:val="16"/>
              </w:rPr>
              <w:t>Subjective refraction</w:t>
            </w:r>
          </w:p>
        </w:tc>
        <w:tc>
          <w:tcPr>
            <w:tcW w:type="dxa" w:w="950"/>
            <w:vAlign w:val="top"/>
          </w:tcPr>
          <w:p>
            <w:pPr>
              <w:spacing w:after="40" w:before="0" w:line="259" w:lineRule="auto"/>
            </w:pPr>
            <w:r>
              <w:rPr>
                <w:rFonts w:ascii="Calibri" w:hAnsi="Calibri"/>
                <w:b w:val="0"/>
                <w:i w:val="0"/>
                <w:color w:val="212121"/>
                <w:sz w:val="16"/>
              </w:rPr>
              <w:t>6/6 (20/20) achievable with convex correction</w:t>
            </w:r>
          </w:p>
        </w:tc>
        <w:tc>
          <w:tcPr>
            <w:tcW w:type="dxa" w:w="950"/>
            <w:vAlign w:val="top"/>
          </w:tcPr>
          <w:p>
            <w:pPr>
              <w:spacing w:after="40" w:before="0" w:line="259" w:lineRule="auto"/>
            </w:pPr>
            <w:r>
              <w:rPr>
                <w:rFonts w:ascii="Calibri" w:hAnsi="Calibri"/>
                <w:b w:val="0"/>
                <w:i w:val="0"/>
                <w:color w:val="212121"/>
                <w:sz w:val="16"/>
              </w:rPr>
              <w:t>Sub-normal best-corrected acuity despite correction (amblyopia)</w:t>
            </w:r>
          </w:p>
        </w:tc>
        <w:tc>
          <w:tcPr>
            <w:tcW w:type="dxa" w:w="1036"/>
            <w:vAlign w:val="top"/>
          </w:tcPr>
          <w:p>
            <w:pPr>
              <w:spacing w:after="40" w:before="0" w:line="259" w:lineRule="auto"/>
            </w:pPr>
            <w:r>
              <w:rPr>
                <w:rFonts w:ascii="Calibri" w:hAnsi="Calibri"/>
                <w:b w:val="0"/>
                <w:i w:val="0"/>
                <w:color w:val="212121"/>
                <w:sz w:val="16"/>
              </w:rPr>
              <w:t>Confirms plus acceptance and detects amblyopia</w:t>
            </w:r>
          </w:p>
        </w:tc>
        <w:tc>
          <w:tcPr>
            <w:tcW w:type="dxa" w:w="1036"/>
            <w:vAlign w:val="top"/>
          </w:tcPr>
          <w:p>
            <w:pPr>
              <w:spacing w:after="40" w:before="0" w:line="259" w:lineRule="auto"/>
            </w:pPr>
            <w:r>
              <w:rPr>
                <w:rFonts w:ascii="Calibri" w:hAnsi="Calibri"/>
                <w:b w:val="0"/>
                <w:i w:val="0"/>
                <w:color w:val="212121"/>
                <w:sz w:val="16"/>
              </w:rPr>
              <w:t>Children, anisometropes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Near acuity is often affected before distance acuity.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Biometry</w:t>
            </w:r>
          </w:p>
        </w:tc>
        <w:tc>
          <w:tcPr>
            <w:tcW w:type="dxa" w:w="1036"/>
            <w:vAlign w:val="top"/>
          </w:tcPr>
          <w:p>
            <w:pPr>
              <w:spacing w:after="40" w:before="0" w:line="259" w:lineRule="auto"/>
            </w:pPr>
            <w:r>
              <w:rPr>
                <w:rFonts w:ascii="Calibri" w:hAnsi="Calibri"/>
                <w:b w:val="0"/>
                <w:i w:val="0"/>
                <w:color w:val="212121"/>
                <w:sz w:val="16"/>
              </w:rPr>
              <w:t>Axial length (mm)</w:t>
            </w:r>
          </w:p>
        </w:tc>
        <w:tc>
          <w:tcPr>
            <w:tcW w:type="dxa" w:w="892"/>
            <w:vAlign w:val="top"/>
          </w:tcPr>
          <w:p>
            <w:pPr>
              <w:spacing w:after="40" w:before="0" w:line="259" w:lineRule="auto"/>
            </w:pPr>
            <w:r>
              <w:rPr>
                <w:rFonts w:ascii="Calibri" w:hAnsi="Calibri"/>
                <w:b w:val="0"/>
                <w:i w:val="0"/>
                <w:color w:val="212121"/>
                <w:sz w:val="16"/>
              </w:rPr>
              <w:t>A-scan / optical biometry</w:t>
            </w:r>
          </w:p>
        </w:tc>
        <w:tc>
          <w:tcPr>
            <w:tcW w:type="dxa" w:w="950"/>
            <w:vAlign w:val="top"/>
          </w:tcPr>
          <w:p>
            <w:pPr>
              <w:spacing w:after="40" w:before="0" w:line="259" w:lineRule="auto"/>
            </w:pPr>
            <w:r>
              <w:rPr>
                <w:rFonts w:ascii="Calibri" w:hAnsi="Calibri"/>
                <w:b w:val="0"/>
                <w:i w:val="0"/>
                <w:color w:val="212121"/>
                <w:sz w:val="16"/>
              </w:rPr>
              <w:t>~23–24 mm</w:t>
            </w:r>
          </w:p>
        </w:tc>
        <w:tc>
          <w:tcPr>
            <w:tcW w:type="dxa" w:w="950"/>
            <w:vAlign w:val="top"/>
          </w:tcPr>
          <w:p>
            <w:pPr>
              <w:spacing w:after="40" w:before="0" w:line="259" w:lineRule="auto"/>
            </w:pPr>
            <w:r>
              <w:rPr>
                <w:rFonts w:ascii="Calibri" w:hAnsi="Calibri"/>
                <w:b w:val="0"/>
                <w:i w:val="0"/>
                <w:color w:val="212121"/>
                <w:sz w:val="16"/>
              </w:rPr>
              <w:t>Short (&lt; 22 mm); &lt; 20 mm suggests nanophthalmos</w:t>
            </w:r>
          </w:p>
        </w:tc>
        <w:tc>
          <w:tcPr>
            <w:tcW w:type="dxa" w:w="1036"/>
            <w:vAlign w:val="top"/>
          </w:tcPr>
          <w:p>
            <w:pPr>
              <w:spacing w:after="40" w:before="0" w:line="259" w:lineRule="auto"/>
            </w:pPr>
            <w:r>
              <w:rPr>
                <w:rFonts w:ascii="Calibri" w:hAnsi="Calibri"/>
                <w:b w:val="0"/>
                <w:i w:val="0"/>
                <w:color w:val="212121"/>
                <w:sz w:val="16"/>
              </w:rPr>
              <w:t>Identifies axial hyperopia and small-eye syndromes</w:t>
            </w:r>
          </w:p>
        </w:tc>
        <w:tc>
          <w:tcPr>
            <w:tcW w:type="dxa" w:w="1036"/>
            <w:vAlign w:val="top"/>
          </w:tcPr>
          <w:p>
            <w:pPr>
              <w:spacing w:after="40" w:before="0" w:line="259" w:lineRule="auto"/>
            </w:pPr>
            <w:r>
              <w:rPr>
                <w:rFonts w:ascii="Calibri" w:hAnsi="Calibri"/>
                <w:b w:val="0"/>
                <w:i w:val="0"/>
                <w:color w:val="212121"/>
                <w:sz w:val="16"/>
              </w:rPr>
              <w:t>High hyperopes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required for IOL power calculation if surgery is planned.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Keratometry / topography</w:t>
            </w:r>
          </w:p>
        </w:tc>
        <w:tc>
          <w:tcPr>
            <w:tcW w:type="dxa" w:w="1036"/>
            <w:vAlign w:val="top"/>
          </w:tcPr>
          <w:p>
            <w:pPr>
              <w:spacing w:after="40" w:before="0" w:line="259" w:lineRule="auto"/>
            </w:pPr>
            <w:r>
              <w:rPr>
                <w:rFonts w:ascii="Calibri" w:hAnsi="Calibri"/>
                <w:b w:val="0"/>
                <w:i w:val="0"/>
                <w:color w:val="212121"/>
                <w:sz w:val="16"/>
              </w:rPr>
              <w:t>Corneal power (D) / radius</w:t>
            </w:r>
          </w:p>
        </w:tc>
        <w:tc>
          <w:tcPr>
            <w:tcW w:type="dxa" w:w="892"/>
            <w:vAlign w:val="top"/>
          </w:tcPr>
          <w:p>
            <w:pPr>
              <w:spacing w:after="40" w:before="0" w:line="259" w:lineRule="auto"/>
            </w:pPr>
            <w:r>
              <w:rPr>
                <w:rFonts w:ascii="Calibri" w:hAnsi="Calibri"/>
                <w:b w:val="0"/>
                <w:i w:val="0"/>
                <w:color w:val="212121"/>
                <w:sz w:val="16"/>
              </w:rPr>
              <w:t>Keratometry / corneal topography</w:t>
            </w:r>
          </w:p>
        </w:tc>
        <w:tc>
          <w:tcPr>
            <w:tcW w:type="dxa" w:w="950"/>
            <w:vAlign w:val="top"/>
          </w:tcPr>
          <w:p>
            <w:pPr>
              <w:spacing w:after="40" w:before="0" w:line="259" w:lineRule="auto"/>
            </w:pPr>
            <w:r>
              <w:rPr>
                <w:rFonts w:ascii="Calibri" w:hAnsi="Calibri"/>
                <w:b w:val="0"/>
                <w:i w:val="0"/>
                <w:color w:val="212121"/>
                <w:sz w:val="16"/>
              </w:rPr>
              <w:t>~42–44 D (radius ~7.8 mm)</w:t>
            </w:r>
          </w:p>
        </w:tc>
        <w:tc>
          <w:tcPr>
            <w:tcW w:type="dxa" w:w="950"/>
            <w:vAlign w:val="top"/>
          </w:tcPr>
          <w:p>
            <w:pPr>
              <w:spacing w:after="40" w:before="0" w:line="259" w:lineRule="auto"/>
            </w:pPr>
            <w:r>
              <w:rPr>
                <w:rFonts w:ascii="Calibri" w:hAnsi="Calibri"/>
                <w:b w:val="0"/>
                <w:i w:val="0"/>
                <w:color w:val="212121"/>
                <w:sz w:val="16"/>
              </w:rPr>
              <w:t>Flat cornea (&lt; ~41 D)</w:t>
            </w:r>
          </w:p>
        </w:tc>
        <w:tc>
          <w:tcPr>
            <w:tcW w:type="dxa" w:w="1036"/>
            <w:vAlign w:val="top"/>
          </w:tcPr>
          <w:p>
            <w:pPr>
              <w:spacing w:after="40" w:before="0" w:line="259" w:lineRule="auto"/>
            </w:pPr>
            <w:r>
              <w:rPr>
                <w:rFonts w:ascii="Calibri" w:hAnsi="Calibri"/>
                <w:b w:val="0"/>
                <w:i w:val="0"/>
                <w:color w:val="212121"/>
                <w:sz w:val="16"/>
              </w:rPr>
              <w:t>Detects curvature hyperopia</w:t>
            </w:r>
          </w:p>
        </w:tc>
        <w:tc>
          <w:tcPr>
            <w:tcW w:type="dxa" w:w="1036"/>
            <w:vAlign w:val="top"/>
          </w:tcPr>
          <w:p>
            <w:pPr>
              <w:spacing w:after="40" w:before="0" w:line="259" w:lineRule="auto"/>
            </w:pPr>
            <w:r>
              <w:rPr>
                <w:rFonts w:ascii="Calibri" w:hAnsi="Calibri"/>
                <w:b w:val="0"/>
                <w:i w:val="0"/>
                <w:color w:val="212121"/>
                <w:sz w:val="16"/>
              </w:rPr>
              <w:t>Curvature hyperopes, pre-refractive-surgery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suitability and planning for refractive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Biometry</w:t>
            </w:r>
          </w:p>
        </w:tc>
        <w:tc>
          <w:tcPr>
            <w:tcW w:type="dxa" w:w="1036"/>
            <w:vAlign w:val="top"/>
          </w:tcPr>
          <w:p>
            <w:pPr>
              <w:spacing w:after="40" w:before="0" w:line="259" w:lineRule="auto"/>
            </w:pPr>
            <w:r>
              <w:rPr>
                <w:rFonts w:ascii="Calibri" w:hAnsi="Calibri"/>
                <w:b w:val="0"/>
                <w:i w:val="0"/>
                <w:color w:val="212121"/>
                <w:sz w:val="16"/>
              </w:rPr>
              <w:t>Anterior chamber depth (mm)</w:t>
            </w:r>
          </w:p>
        </w:tc>
        <w:tc>
          <w:tcPr>
            <w:tcW w:type="dxa" w:w="892"/>
            <w:vAlign w:val="top"/>
          </w:tcPr>
          <w:p>
            <w:pPr>
              <w:spacing w:after="40" w:before="0" w:line="259" w:lineRule="auto"/>
            </w:pPr>
            <w:r>
              <w:rPr>
                <w:rFonts w:ascii="Calibri" w:hAnsi="Calibri"/>
                <w:b w:val="0"/>
                <w:i w:val="0"/>
                <w:color w:val="212121"/>
                <w:sz w:val="16"/>
              </w:rPr>
              <w:t>Optical / ultrasound biometry</w:t>
            </w:r>
          </w:p>
        </w:tc>
        <w:tc>
          <w:tcPr>
            <w:tcW w:type="dxa" w:w="950"/>
            <w:vAlign w:val="top"/>
          </w:tcPr>
          <w:p>
            <w:pPr>
              <w:spacing w:after="40" w:before="0" w:line="259" w:lineRule="auto"/>
            </w:pPr>
            <w:r>
              <w:rPr>
                <w:rFonts w:ascii="Calibri" w:hAnsi="Calibri"/>
                <w:b w:val="0"/>
                <w:i w:val="0"/>
                <w:color w:val="212121"/>
                <w:sz w:val="16"/>
              </w:rPr>
              <w:t>≥ ~2.5 mm</w:t>
            </w:r>
          </w:p>
        </w:tc>
        <w:tc>
          <w:tcPr>
            <w:tcW w:type="dxa" w:w="950"/>
            <w:vAlign w:val="top"/>
          </w:tcPr>
          <w:p>
            <w:pPr>
              <w:spacing w:after="40" w:before="0" w:line="259" w:lineRule="auto"/>
            </w:pPr>
            <w:r>
              <w:rPr>
                <w:rFonts w:ascii="Calibri" w:hAnsi="Calibri"/>
                <w:b w:val="0"/>
                <w:i w:val="0"/>
                <w:color w:val="212121"/>
                <w:sz w:val="16"/>
              </w:rPr>
              <w:t>Shallow (&lt; 2.5 mm)</w:t>
            </w:r>
          </w:p>
        </w:tc>
        <w:tc>
          <w:tcPr>
            <w:tcW w:type="dxa" w:w="1036"/>
            <w:vAlign w:val="top"/>
          </w:tcPr>
          <w:p>
            <w:pPr>
              <w:spacing w:after="40" w:before="0" w:line="259" w:lineRule="auto"/>
            </w:pPr>
            <w:r>
              <w:rPr>
                <w:rFonts w:ascii="Calibri" w:hAnsi="Calibri"/>
                <w:b w:val="0"/>
                <w:i w:val="0"/>
                <w:color w:val="212121"/>
                <w:sz w:val="16"/>
              </w:rPr>
              <w:t>Flags angle-closure predisposition in short eyes</w:t>
            </w:r>
          </w:p>
        </w:tc>
        <w:tc>
          <w:tcPr>
            <w:tcW w:type="dxa" w:w="1036"/>
            <w:vAlign w:val="top"/>
          </w:tcPr>
          <w:p>
            <w:pPr>
              <w:spacing w:after="40" w:before="0" w:line="259" w:lineRule="auto"/>
            </w:pPr>
            <w:r>
              <w:rPr>
                <w:rFonts w:ascii="Calibri" w:hAnsi="Calibri"/>
                <w:b w:val="0"/>
                <w:i w:val="0"/>
                <w:color w:val="212121"/>
                <w:sz w:val="16"/>
              </w:rPr>
              <w:t>Hyperopes, older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Correlates with gonioscopic angle width.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Tonometry</w:t>
            </w:r>
          </w:p>
        </w:tc>
        <w:tc>
          <w:tcPr>
            <w:tcW w:type="dxa" w:w="1036"/>
            <w:vAlign w:val="top"/>
          </w:tcPr>
          <w:p>
            <w:pPr>
              <w:spacing w:after="40" w:before="0" w:line="259" w:lineRule="auto"/>
            </w:pPr>
            <w:r>
              <w:rPr>
                <w:rFonts w:ascii="Calibri" w:hAnsi="Calibri"/>
                <w:b w:val="0"/>
                <w:i w:val="0"/>
                <w:color w:val="212121"/>
                <w:sz w:val="16"/>
              </w:rPr>
              <w:t>Intraocular pressure (mmHg)</w:t>
            </w:r>
          </w:p>
        </w:tc>
        <w:tc>
          <w:tcPr>
            <w:tcW w:type="dxa" w:w="892"/>
            <w:vAlign w:val="top"/>
          </w:tcPr>
          <w:p>
            <w:pPr>
              <w:spacing w:after="40" w:before="0" w:line="259" w:lineRule="auto"/>
            </w:pPr>
            <w:r>
              <w:rPr>
                <w:rFonts w:ascii="Calibri" w:hAnsi="Calibri"/>
                <w:b w:val="0"/>
                <w:i w:val="0"/>
                <w:color w:val="212121"/>
                <w:sz w:val="16"/>
              </w:rPr>
              <w:t>Applanation / non-contact tonometry</w:t>
            </w:r>
          </w:p>
        </w:tc>
        <w:tc>
          <w:tcPr>
            <w:tcW w:type="dxa" w:w="950"/>
            <w:vAlign w:val="top"/>
          </w:tcPr>
          <w:p>
            <w:pPr>
              <w:spacing w:after="40" w:before="0" w:line="259" w:lineRule="auto"/>
            </w:pPr>
            <w:r>
              <w:rPr>
                <w:rFonts w:ascii="Calibri" w:hAnsi="Calibri"/>
                <w:b w:val="0"/>
                <w:i w:val="0"/>
                <w:color w:val="212121"/>
                <w:sz w:val="16"/>
              </w:rPr>
              <w:t>10–21 mmHg</w:t>
            </w:r>
          </w:p>
        </w:tc>
        <w:tc>
          <w:tcPr>
            <w:tcW w:type="dxa" w:w="950"/>
            <w:vAlign w:val="top"/>
          </w:tcPr>
          <w:p>
            <w:pPr>
              <w:spacing w:after="40" w:before="0" w:line="259" w:lineRule="auto"/>
            </w:pPr>
            <w:r>
              <w:rPr>
                <w:rFonts w:ascii="Calibri" w:hAnsi="Calibri"/>
                <w:b w:val="0"/>
                <w:i w:val="0"/>
                <w:color w:val="212121"/>
                <w:sz w:val="16"/>
              </w:rPr>
              <w:t>&gt; 21 mmHg or marked asymmetry</w:t>
            </w:r>
          </w:p>
        </w:tc>
        <w:tc>
          <w:tcPr>
            <w:tcW w:type="dxa" w:w="1036"/>
            <w:vAlign w:val="top"/>
          </w:tcPr>
          <w:p>
            <w:pPr>
              <w:spacing w:after="40" w:before="0" w:line="259" w:lineRule="auto"/>
            </w:pPr>
            <w:r>
              <w:rPr>
                <w:rFonts w:ascii="Calibri" w:hAnsi="Calibri"/>
                <w:b w:val="0"/>
                <w:i w:val="0"/>
                <w:color w:val="212121"/>
                <w:sz w:val="16"/>
              </w:rPr>
              <w:t>Screens for (angle-closure) glaucoma</w:t>
            </w:r>
          </w:p>
        </w:tc>
        <w:tc>
          <w:tcPr>
            <w:tcW w:type="dxa" w:w="1036"/>
            <w:vAlign w:val="top"/>
          </w:tcPr>
          <w:p>
            <w:pPr>
              <w:spacing w:after="40" w:before="0" w:line="259" w:lineRule="auto"/>
            </w:pPr>
            <w:r>
              <w:rPr>
                <w:rFonts w:ascii="Calibri" w:hAnsi="Calibri"/>
                <w:b w:val="0"/>
                <w:i w:val="0"/>
                <w:color w:val="212121"/>
                <w:sz w:val="16"/>
              </w:rPr>
              <w:t>Hyperopes with narrow angles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high pressure with pain/redness suggests acute angle closure.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Asthenopia, frontal headache, near blur worse with sustained near work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worse at day's end / on near work</w:t>
            </w:r>
          </w:p>
        </w:tc>
        <w:tc>
          <w:tcPr>
            <w:tcW w:type="dxa" w:w="1036"/>
            <w:vAlign w:val="top"/>
          </w:tcPr>
          <w:p>
            <w:pPr>
              <w:spacing w:after="40" w:before="0" w:line="259" w:lineRule="auto"/>
            </w:pPr>
            <w:r>
              <w:rPr>
                <w:rFonts w:ascii="Calibri" w:hAnsi="Calibri"/>
                <w:b w:val="0"/>
                <w:i w:val="0"/>
                <w:color w:val="212121"/>
                <w:sz w:val="16"/>
              </w:rPr>
              <w:t>Suggests uncorrected or latent hyperopia</w:t>
            </w:r>
          </w:p>
        </w:tc>
        <w:tc>
          <w:tcPr>
            <w:tcW w:type="dxa" w:w="1036"/>
            <w:vAlign w:val="top"/>
          </w:tcPr>
          <w:p>
            <w:pPr>
              <w:spacing w:after="40" w:before="0" w:line="259" w:lineRule="auto"/>
            </w:pPr>
            <w:r>
              <w:rPr>
                <w:rFonts w:ascii="Calibri" w:hAnsi="Calibri"/>
                <w:b w:val="0"/>
                <w:i w:val="0"/>
                <w:color w:val="212121"/>
                <w:sz w:val="16"/>
              </w:rPr>
              <w:t>Students, screen workers, adults &gt; 40</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Distance vision may be normal early 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perinatal history</w:t>
            </w:r>
          </w:p>
        </w:tc>
        <w:tc>
          <w:tcPr>
            <w:tcW w:type="dxa" w:w="979"/>
            <w:vAlign w:val="top"/>
          </w:tcPr>
          <w:p>
            <w:pPr>
              <w:spacing w:after="40" w:before="0" w:line="259" w:lineRule="auto"/>
            </w:pPr>
            <w:r>
              <w:rPr>
                <w:rFonts w:ascii="Calibri" w:hAnsi="Calibri"/>
                <w:b w:val="0"/>
                <w:i w:val="0"/>
                <w:color w:val="212121"/>
                <w:sz w:val="16"/>
              </w:rPr>
              <w:t>Family hyperopia/squint/glaucoma; prematurity, low birth weight, maternal smoking</w:t>
            </w:r>
          </w:p>
        </w:tc>
        <w:tc>
          <w:tcPr>
            <w:tcW w:type="dxa" w:w="950"/>
            <w:vAlign w:val="top"/>
          </w:tcPr>
          <w:p>
            <w:pPr>
              <w:spacing w:after="40" w:before="0" w:line="259" w:lineRule="auto"/>
            </w:pPr>
            <w:r>
              <w:rPr>
                <w:rFonts w:ascii="Calibri" w:hAnsi="Calibri"/>
                <w:b w:val="0"/>
                <w:i w:val="0"/>
                <w:color w:val="212121"/>
                <w:sz w:val="16"/>
              </w:rPr>
              <w:t>Nil relevant</w:t>
            </w:r>
          </w:p>
        </w:tc>
        <w:tc>
          <w:tcPr>
            <w:tcW w:type="dxa" w:w="950"/>
            <w:vAlign w:val="top"/>
          </w:tcPr>
          <w:p>
            <w:pPr>
              <w:spacing w:after="40" w:before="0" w:line="259" w:lineRule="auto"/>
            </w:pPr>
            <w:r>
              <w:rPr>
                <w:rFonts w:ascii="Calibri" w:hAnsi="Calibri"/>
                <w:b w:val="0"/>
                <w:i w:val="0"/>
                <w:color w:val="212121"/>
                <w:sz w:val="16"/>
              </w:rPr>
              <w:t>Positive history</w:t>
            </w:r>
          </w:p>
        </w:tc>
        <w:tc>
          <w:tcPr>
            <w:tcW w:type="dxa" w:w="1036"/>
            <w:vAlign w:val="top"/>
          </w:tcPr>
          <w:p>
            <w:pPr>
              <w:spacing w:after="40" w:before="0" w:line="259" w:lineRule="auto"/>
            </w:pPr>
            <w:r>
              <w:rPr>
                <w:rFonts w:ascii="Calibri" w:hAnsi="Calibri"/>
                <w:b w:val="0"/>
                <w:i w:val="0"/>
                <w:color w:val="212121"/>
                <w:sz w:val="16"/>
              </w:rPr>
              <w:t>Genetic and perinatal predisposition</w:t>
            </w:r>
          </w:p>
        </w:tc>
        <w:tc>
          <w:tcPr>
            <w:tcW w:type="dxa" w:w="1036"/>
            <w:vAlign w:val="top"/>
          </w:tcPr>
          <w:p>
            <w:pPr>
              <w:spacing w:after="40" w:before="0" w:line="259" w:lineRule="auto"/>
            </w:pPr>
            <w:r>
              <w:rPr>
                <w:rFonts w:ascii="Calibri" w:hAnsi="Calibri"/>
                <w:b w:val="0"/>
                <w:i w:val="0"/>
                <w:color w:val="212121"/>
                <w:sz w:val="16"/>
              </w:rPr>
              <w:t>Children of affected parents, preterm infants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screening age and the need for cycloplegic refraction.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Visual acuity</w:t>
            </w:r>
          </w:p>
        </w:tc>
        <w:tc>
          <w:tcPr>
            <w:tcW w:type="dxa" w:w="950"/>
            <w:vAlign w:val="top"/>
          </w:tcPr>
          <w:p>
            <w:pPr>
              <w:spacing w:after="40" w:before="0" w:line="259" w:lineRule="auto"/>
            </w:pPr>
            <w:r>
              <w:rPr>
                <w:rFonts w:ascii="Calibri" w:hAnsi="Calibri"/>
                <w:b w:val="0"/>
                <w:i w:val="0"/>
                <w:color w:val="212121"/>
                <w:sz w:val="16"/>
              </w:rPr>
              <w:t>Distance &amp; near acuity, pinhole, plus-lens test</w:t>
            </w:r>
          </w:p>
        </w:tc>
        <w:tc>
          <w:tcPr>
            <w:tcW w:type="dxa" w:w="979"/>
            <w:vAlign w:val="top"/>
          </w:tcPr>
          <w:p>
            <w:pPr>
              <w:spacing w:after="40" w:before="0" w:line="259" w:lineRule="auto"/>
            </w:pPr>
            <w:r>
              <w:rPr>
                <w:rFonts w:ascii="Calibri" w:hAnsi="Calibri"/>
                <w:b w:val="0"/>
                <w:i w:val="0"/>
                <w:color w:val="212121"/>
                <w:sz w:val="16"/>
              </w:rPr>
              <w:t>Uncorrected/near acuity and plus acceptance</w:t>
            </w:r>
          </w:p>
        </w:tc>
        <w:tc>
          <w:tcPr>
            <w:tcW w:type="dxa" w:w="950"/>
            <w:vAlign w:val="top"/>
          </w:tcPr>
          <w:p>
            <w:pPr>
              <w:spacing w:after="40" w:before="0" w:line="259" w:lineRule="auto"/>
            </w:pPr>
            <w:r>
              <w:rPr>
                <w:rFonts w:ascii="Calibri" w:hAnsi="Calibri"/>
                <w:b w:val="0"/>
                <w:i w:val="0"/>
                <w:color w:val="212121"/>
                <w:sz w:val="16"/>
              </w:rPr>
              <w:t>6/6 distance; N6 near</w:t>
            </w:r>
          </w:p>
        </w:tc>
        <w:tc>
          <w:tcPr>
            <w:tcW w:type="dxa" w:w="950"/>
            <w:vAlign w:val="top"/>
          </w:tcPr>
          <w:p>
            <w:pPr>
              <w:spacing w:after="40" w:before="0" w:line="259" w:lineRule="auto"/>
            </w:pPr>
            <w:r>
              <w:rPr>
                <w:rFonts w:ascii="Calibri" w:hAnsi="Calibri"/>
                <w:b w:val="0"/>
                <w:i w:val="0"/>
                <w:color w:val="212121"/>
                <w:sz w:val="16"/>
              </w:rPr>
              <w:t>Near reduced more than distance; improves with plus lens</w:t>
            </w:r>
          </w:p>
        </w:tc>
        <w:tc>
          <w:tcPr>
            <w:tcW w:type="dxa" w:w="1036"/>
            <w:vAlign w:val="top"/>
          </w:tcPr>
          <w:p>
            <w:pPr>
              <w:spacing w:after="40" w:before="0" w:line="259" w:lineRule="auto"/>
            </w:pPr>
            <w:r>
              <w:rPr>
                <w:rFonts w:ascii="Calibri" w:hAnsi="Calibri"/>
                <w:b w:val="0"/>
                <w:i w:val="0"/>
                <w:color w:val="212121"/>
                <w:sz w:val="16"/>
              </w:rPr>
              <w:t>Functional confirmation of hyperopia</w:t>
            </w:r>
          </w:p>
        </w:tc>
        <w:tc>
          <w:tcPr>
            <w:tcW w:type="dxa" w:w="1036"/>
            <w:vAlign w:val="top"/>
          </w:tcPr>
          <w:p>
            <w:pPr>
              <w:spacing w:after="40" w:before="0" w:line="259" w:lineRule="auto"/>
            </w:pPr>
            <w:r>
              <w:rPr>
                <w:rFonts w:ascii="Calibri" w:hAnsi="Calibri"/>
                <w:b w:val="0"/>
                <w:i w:val="0"/>
                <w:color w:val="212121"/>
                <w:sz w:val="16"/>
              </w:rPr>
              <w:t>All ages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age-appropriate charts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alignment</w:t>
            </w:r>
          </w:p>
        </w:tc>
        <w:tc>
          <w:tcPr>
            <w:tcW w:type="dxa" w:w="950"/>
            <w:vAlign w:val="top"/>
          </w:tcPr>
          <w:p>
            <w:pPr>
              <w:spacing w:after="40" w:before="0" w:line="259" w:lineRule="auto"/>
            </w:pPr>
            <w:r>
              <w:rPr>
                <w:rFonts w:ascii="Calibri" w:hAnsi="Calibri"/>
                <w:b w:val="0"/>
                <w:i w:val="0"/>
                <w:color w:val="212121"/>
                <w:sz w:val="16"/>
              </w:rPr>
              <w:t>Cover–uncover &amp; Hirschberg tests</w:t>
            </w:r>
          </w:p>
        </w:tc>
        <w:tc>
          <w:tcPr>
            <w:tcW w:type="dxa" w:w="979"/>
            <w:vAlign w:val="top"/>
          </w:tcPr>
          <w:p>
            <w:pPr>
              <w:spacing w:after="40" w:before="0" w:line="259" w:lineRule="auto"/>
            </w:pPr>
            <w:r>
              <w:rPr>
                <w:rFonts w:ascii="Calibri" w:hAnsi="Calibri"/>
                <w:b w:val="0"/>
                <w:i w:val="0"/>
                <w:color w:val="212121"/>
                <w:sz w:val="16"/>
              </w:rPr>
              <w:t>Manifest / latent convergent deviation</w:t>
            </w:r>
          </w:p>
        </w:tc>
        <w:tc>
          <w:tcPr>
            <w:tcW w:type="dxa" w:w="950"/>
            <w:vAlign w:val="top"/>
          </w:tcPr>
          <w:p>
            <w:pPr>
              <w:spacing w:after="40" w:before="0" w:line="259" w:lineRule="auto"/>
            </w:pPr>
            <w:r>
              <w:rPr>
                <w:rFonts w:ascii="Calibri" w:hAnsi="Calibri"/>
                <w:b w:val="0"/>
                <w:i w:val="0"/>
                <w:color w:val="212121"/>
                <w:sz w:val="16"/>
              </w:rPr>
              <w:t>Orthophoria</w:t>
            </w:r>
          </w:p>
        </w:tc>
        <w:tc>
          <w:tcPr>
            <w:tcW w:type="dxa" w:w="950"/>
            <w:vAlign w:val="top"/>
          </w:tcPr>
          <w:p>
            <w:pPr>
              <w:spacing w:after="40" w:before="0" w:line="259" w:lineRule="auto"/>
            </w:pPr>
            <w:r>
              <w:rPr>
                <w:rFonts w:ascii="Calibri" w:hAnsi="Calibri"/>
                <w:b w:val="0"/>
                <w:i w:val="0"/>
                <w:color w:val="212121"/>
                <w:sz w:val="16"/>
              </w:rPr>
              <w:t>Esophoria / accommodative esotropia</w:t>
            </w:r>
          </w:p>
        </w:tc>
        <w:tc>
          <w:tcPr>
            <w:tcW w:type="dxa" w:w="1036"/>
            <w:vAlign w:val="top"/>
          </w:tcPr>
          <w:p>
            <w:pPr>
              <w:spacing w:after="40" w:before="0" w:line="259" w:lineRule="auto"/>
            </w:pPr>
            <w:r>
              <w:rPr>
                <w:rFonts w:ascii="Calibri" w:hAnsi="Calibri"/>
                <w:b w:val="0"/>
                <w:i w:val="0"/>
                <w:color w:val="212121"/>
                <w:sz w:val="16"/>
              </w:rPr>
              <w:t>Detects accommodative esotropia driven by hyperopia</w:t>
            </w:r>
          </w:p>
        </w:tc>
        <w:tc>
          <w:tcPr>
            <w:tcW w:type="dxa" w:w="1036"/>
            <w:vAlign w:val="top"/>
          </w:tcPr>
          <w:p>
            <w:pPr>
              <w:spacing w:after="40" w:before="0" w:line="259" w:lineRule="auto"/>
            </w:pPr>
            <w:r>
              <w:rPr>
                <w:rFonts w:ascii="Calibri" w:hAnsi="Calibri"/>
                <w:b w:val="0"/>
                <w:i w:val="0"/>
                <w:color w:val="212121"/>
                <w:sz w:val="16"/>
              </w:rPr>
              <w:t>Hyperopic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Reassess alignment with full hyperopic correction in place.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Slit-lamp / gonioscopy</w:t>
            </w:r>
          </w:p>
        </w:tc>
        <w:tc>
          <w:tcPr>
            <w:tcW w:type="dxa" w:w="950"/>
            <w:vAlign w:val="top"/>
          </w:tcPr>
          <w:p>
            <w:pPr>
              <w:spacing w:after="40" w:before="0" w:line="259" w:lineRule="auto"/>
            </w:pPr>
            <w:r>
              <w:rPr>
                <w:rFonts w:ascii="Calibri" w:hAnsi="Calibri"/>
                <w:b w:val="0"/>
                <w:i w:val="0"/>
                <w:color w:val="212121"/>
                <w:sz w:val="16"/>
              </w:rPr>
              <w:t>Anterior-segment &amp; angle assessment</w:t>
            </w:r>
          </w:p>
        </w:tc>
        <w:tc>
          <w:tcPr>
            <w:tcW w:type="dxa" w:w="979"/>
            <w:vAlign w:val="top"/>
          </w:tcPr>
          <w:p>
            <w:pPr>
              <w:spacing w:after="40" w:before="0" w:line="259" w:lineRule="auto"/>
            </w:pPr>
            <w:r>
              <w:rPr>
                <w:rFonts w:ascii="Calibri" w:hAnsi="Calibri"/>
                <w:b w:val="0"/>
                <w:i w:val="0"/>
                <w:color w:val="212121"/>
                <w:sz w:val="16"/>
              </w:rPr>
              <w:t>Anterior chamber depth, angle width, corneal size</w:t>
            </w:r>
          </w:p>
        </w:tc>
        <w:tc>
          <w:tcPr>
            <w:tcW w:type="dxa" w:w="950"/>
            <w:vAlign w:val="top"/>
          </w:tcPr>
          <w:p>
            <w:pPr>
              <w:spacing w:after="40" w:before="0" w:line="259" w:lineRule="auto"/>
            </w:pPr>
            <w:r>
              <w:rPr>
                <w:rFonts w:ascii="Calibri" w:hAnsi="Calibri"/>
                <w:b w:val="0"/>
                <w:i w:val="0"/>
                <w:color w:val="212121"/>
                <w:sz w:val="16"/>
              </w:rPr>
              <w:t>Deep chamber, open angle</w:t>
            </w:r>
          </w:p>
        </w:tc>
        <w:tc>
          <w:tcPr>
            <w:tcW w:type="dxa" w:w="950"/>
            <w:vAlign w:val="top"/>
          </w:tcPr>
          <w:p>
            <w:pPr>
              <w:spacing w:after="40" w:before="0" w:line="259" w:lineRule="auto"/>
            </w:pPr>
            <w:r>
              <w:rPr>
                <w:rFonts w:ascii="Calibri" w:hAnsi="Calibri"/>
                <w:b w:val="0"/>
                <w:i w:val="0"/>
                <w:color w:val="212121"/>
                <w:sz w:val="16"/>
              </w:rPr>
              <w:t>Shallow chamber, narrow/occludable angle, small cornea</w:t>
            </w:r>
          </w:p>
        </w:tc>
        <w:tc>
          <w:tcPr>
            <w:tcW w:type="dxa" w:w="1036"/>
            <w:vAlign w:val="top"/>
          </w:tcPr>
          <w:p>
            <w:pPr>
              <w:spacing w:after="40" w:before="0" w:line="259" w:lineRule="auto"/>
            </w:pPr>
            <w:r>
              <w:rPr>
                <w:rFonts w:ascii="Calibri" w:hAnsi="Calibri"/>
                <w:b w:val="0"/>
                <w:i w:val="0"/>
                <w:color w:val="212121"/>
                <w:sz w:val="16"/>
              </w:rPr>
              <w:t>Angle-closure risk stratification in short eyes</w:t>
            </w:r>
          </w:p>
        </w:tc>
        <w:tc>
          <w:tcPr>
            <w:tcW w:type="dxa" w:w="1036"/>
            <w:vAlign w:val="top"/>
          </w:tcPr>
          <w:p>
            <w:pPr>
              <w:spacing w:after="40" w:before="0" w:line="259" w:lineRule="auto"/>
            </w:pPr>
            <w:r>
              <w:rPr>
                <w:rFonts w:ascii="Calibri" w:hAnsi="Calibri"/>
                <w:b w:val="0"/>
                <w:i w:val="0"/>
                <w:color w:val="212121"/>
                <w:sz w:val="16"/>
              </w:rPr>
              <w:t>Short/hyperopic eyes, older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Perform gonioscopy before dilating a narrow-angle eye.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Fundoscopy</w:t>
            </w:r>
          </w:p>
        </w:tc>
        <w:tc>
          <w:tcPr>
            <w:tcW w:type="dxa" w:w="950"/>
            <w:vAlign w:val="top"/>
          </w:tcPr>
          <w:p>
            <w:pPr>
              <w:spacing w:after="40" w:before="0" w:line="259" w:lineRule="auto"/>
            </w:pPr>
            <w:r>
              <w:rPr>
                <w:rFonts w:ascii="Calibri" w:hAnsi="Calibri"/>
                <w:b w:val="0"/>
                <w:i w:val="0"/>
                <w:color w:val="212121"/>
                <w:sz w:val="16"/>
              </w:rPr>
              <w:t>Cautious dilated fundus examination</w:t>
            </w:r>
          </w:p>
        </w:tc>
        <w:tc>
          <w:tcPr>
            <w:tcW w:type="dxa" w:w="979"/>
            <w:vAlign w:val="top"/>
          </w:tcPr>
          <w:p>
            <w:pPr>
              <w:spacing w:after="40" w:before="0" w:line="259" w:lineRule="auto"/>
            </w:pPr>
            <w:r>
              <w:rPr>
                <w:rFonts w:ascii="Calibri" w:hAnsi="Calibri"/>
                <w:b w:val="0"/>
                <w:i w:val="0"/>
                <w:color w:val="212121"/>
                <w:sz w:val="16"/>
              </w:rPr>
              <w:t>Optic disc &amp; retina</w:t>
            </w:r>
          </w:p>
        </w:tc>
        <w:tc>
          <w:tcPr>
            <w:tcW w:type="dxa" w:w="950"/>
            <w:vAlign w:val="top"/>
          </w:tcPr>
          <w:p>
            <w:pPr>
              <w:spacing w:after="40" w:before="0" w:line="259" w:lineRule="auto"/>
            </w:pPr>
            <w:r>
              <w:rPr>
                <w:rFonts w:ascii="Calibri" w:hAnsi="Calibri"/>
                <w:b w:val="0"/>
                <w:i w:val="0"/>
                <w:color w:val="212121"/>
                <w:sz w:val="16"/>
              </w:rPr>
              <w:t>Normal disc and retina</w:t>
            </w:r>
          </w:p>
        </w:tc>
        <w:tc>
          <w:tcPr>
            <w:tcW w:type="dxa" w:w="950"/>
            <w:vAlign w:val="top"/>
          </w:tcPr>
          <w:p>
            <w:pPr>
              <w:spacing w:after="40" w:before="0" w:line="259" w:lineRule="auto"/>
            </w:pPr>
            <w:r>
              <w:rPr>
                <w:rFonts w:ascii="Calibri" w:hAnsi="Calibri"/>
                <w:b w:val="0"/>
                <w:i w:val="0"/>
                <w:color w:val="212121"/>
                <w:sz w:val="16"/>
              </w:rPr>
              <w:t>Small crowded disc (pseudopapillitis/pseudopapilloedema), shot-silk reflex, choroidal folds</w:t>
            </w:r>
          </w:p>
        </w:tc>
        <w:tc>
          <w:tcPr>
            <w:tcW w:type="dxa" w:w="1036"/>
            <w:vAlign w:val="top"/>
          </w:tcPr>
          <w:p>
            <w:pPr>
              <w:spacing w:after="40" w:before="0" w:line="259" w:lineRule="auto"/>
            </w:pPr>
            <w:r>
              <w:rPr>
                <w:rFonts w:ascii="Calibri" w:hAnsi="Calibri"/>
                <w:b w:val="0"/>
                <w:i w:val="0"/>
                <w:color w:val="212121"/>
                <w:sz w:val="16"/>
              </w:rPr>
              <w:t>Distinguish benign hyperopic disc from true swelling; detect high-hyperopia changes</w:t>
            </w:r>
          </w:p>
        </w:tc>
        <w:tc>
          <w:tcPr>
            <w:tcW w:type="dxa" w:w="1036"/>
            <w:vAlign w:val="top"/>
          </w:tcPr>
          <w:p>
            <w:pPr>
              <w:spacing w:after="40" w:before="0" w:line="259" w:lineRule="auto"/>
            </w:pPr>
            <w:r>
              <w:rPr>
                <w:rFonts w:ascii="Calibri" w:hAnsi="Calibri"/>
                <w:b w:val="0"/>
                <w:i w:val="0"/>
                <w:color w:val="212121"/>
                <w:sz w:val="16"/>
              </w:rPr>
              <w:t>High hyperopes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Avoid misdiagnosing pseudopapilloedema as true papilloedema.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Eye strain / asthenopia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tired eyes after reading or other sustained near work, from continuous accommodative effort.</w:t>
            </w:r>
          </w:p>
        </w:tc>
      </w:tr>
      <w:tr>
        <w:trPr>
          <w:cantSplit/>
        </w:trPr>
        <w:tc>
          <w:tcPr>
            <w:tcW w:type="dxa" w:w="2304"/>
            <w:vAlign w:val="top"/>
          </w:tcPr>
          <w:p>
            <w:pPr>
              <w:spacing w:after="40" w:before="0" w:line="259" w:lineRule="auto"/>
            </w:pPr>
            <w:r>
              <w:rPr>
                <w:rFonts w:ascii="Calibri" w:hAnsi="Calibri"/>
                <w:b/>
                <w:i w:val="0"/>
                <w:color w:val="212121"/>
                <w:sz w:val="19"/>
              </w:rPr>
              <w:t>Frontal or frontotemporal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worse after near work and towards the end of the day; relieved by rest or correction.</w:t>
            </w:r>
          </w:p>
        </w:tc>
      </w:tr>
      <w:tr>
        <w:trPr>
          <w:cantSplit/>
        </w:trPr>
        <w:tc>
          <w:tcPr>
            <w:tcW w:type="dxa" w:w="2304"/>
            <w:vAlign w:val="top"/>
          </w:tcPr>
          <w:p>
            <w:pPr>
              <w:spacing w:after="40" w:before="0" w:line="259" w:lineRule="auto"/>
            </w:pPr>
            <w:r>
              <w:rPr>
                <w:rFonts w:ascii="Calibri" w:hAnsi="Calibri"/>
                <w:b/>
                <w:i w:val="0"/>
                <w:color w:val="212121"/>
                <w:sz w:val="19"/>
              </w:rPr>
              <w:t>Blurred near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Near vision is affected earlier and more than distance vision; worse when tired.</w:t>
            </w:r>
          </w:p>
        </w:tc>
      </w:tr>
      <w:tr>
        <w:trPr>
          <w:cantSplit/>
        </w:trPr>
        <w:tc>
          <w:tcPr>
            <w:tcW w:type="dxa" w:w="2304"/>
            <w:vAlign w:val="top"/>
          </w:tcPr>
          <w:p>
            <w:pPr>
              <w:spacing w:after="40" w:before="0" w:line="259" w:lineRule="auto"/>
            </w:pPr>
            <w:r>
              <w:rPr>
                <w:rFonts w:ascii="Calibri" w:hAnsi="Calibri"/>
                <w:b/>
                <w:i w:val="0"/>
                <w:color w:val="212121"/>
                <w:sz w:val="19"/>
              </w:rPr>
              <w:t>Difficulty sustaining clear focus / intermittent distance blur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Accommodative fatigue causes fluctuating blur, including at distance in higher degrees.</w:t>
            </w:r>
          </w:p>
        </w:tc>
      </w:tr>
      <w:tr>
        <w:trPr>
          <w:cantSplit/>
        </w:trPr>
        <w:tc>
          <w:tcPr>
            <w:tcW w:type="dxa" w:w="2304"/>
            <w:vAlign w:val="top"/>
          </w:tcPr>
          <w:p>
            <w:pPr>
              <w:spacing w:after="40" w:before="0" w:line="259" w:lineRule="auto"/>
            </w:pPr>
            <w:r>
              <w:rPr>
                <w:rFonts w:ascii="Calibri" w:hAnsi="Calibri"/>
                <w:b/>
                <w:i w:val="0"/>
                <w:color w:val="212121"/>
                <w:sz w:val="19"/>
              </w:rPr>
              <w:t>Fatigue and poor concentration during reading/screen work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Effort of accommodation reduces reading stamina and, in children, attention to near tasks.</w:t>
            </w:r>
          </w:p>
        </w:tc>
      </w:tr>
      <w:tr>
        <w:trPr>
          <w:cantSplit/>
        </w:trPr>
        <w:tc>
          <w:tcPr>
            <w:tcW w:type="dxa" w:w="2304"/>
            <w:vAlign w:val="top"/>
          </w:tcPr>
          <w:p>
            <w:pPr>
              <w:spacing w:after="40" w:before="0" w:line="259" w:lineRule="auto"/>
            </w:pPr>
            <w:r>
              <w:rPr>
                <w:rFonts w:ascii="Calibri" w:hAnsi="Calibri"/>
                <w:b/>
                <w:i w:val="0"/>
                <w:color w:val="212121"/>
                <w:sz w:val="19"/>
              </w:rPr>
              <w:t>Watering, burning or mild redness after near tasks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ocular-surface irritation accompanying asthenopia.</w:t>
            </w:r>
          </w:p>
        </w:tc>
      </w:tr>
      <w:tr>
        <w:trPr>
          <w:cantSplit/>
        </w:trPr>
        <w:tc>
          <w:tcPr>
            <w:tcW w:type="dxa" w:w="2304"/>
            <w:vAlign w:val="top"/>
          </w:tcPr>
          <w:p>
            <w:pPr>
              <w:spacing w:after="40" w:before="0" w:line="259" w:lineRule="auto"/>
            </w:pPr>
            <w:r>
              <w:rPr>
                <w:rFonts w:ascii="Calibri" w:hAnsi="Calibri"/>
                <w:b/>
                <w:i w:val="0"/>
                <w:color w:val="212121"/>
                <w:sz w:val="19"/>
              </w:rPr>
              <w:t>Recurrent styes (hordeola) / lid-margin infections and eye rubbing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Associated with frequent eye rubbing in uncorrected hyperopes.</w:t>
            </w:r>
          </w:p>
        </w:tc>
      </w:tr>
      <w:tr>
        <w:trPr>
          <w:cantSplit/>
        </w:trPr>
        <w:tc>
          <w:tcPr>
            <w:tcW w:type="dxa" w:w="2304"/>
            <w:vAlign w:val="top"/>
          </w:tcPr>
          <w:p>
            <w:pPr>
              <w:spacing w:after="40" w:before="0" w:line="259" w:lineRule="auto"/>
            </w:pPr>
            <w:r>
              <w:rPr>
                <w:rFonts w:ascii="Calibri" w:hAnsi="Calibri"/>
                <w:b/>
                <w:i w:val="0"/>
                <w:color w:val="212121"/>
                <w:sz w:val="19"/>
              </w:rPr>
              <w:t>Crossed eyes / squint noticed by parents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Accommodative esotropia in hyperopic children, often the presenting sign.</w:t>
            </w:r>
          </w:p>
        </w:tc>
      </w:tr>
      <w:tr>
        <w:trPr>
          <w:cantSplit/>
        </w:trPr>
        <w:tc>
          <w:tcPr>
            <w:tcW w:type="dxa" w:w="2304"/>
            <w:vAlign w:val="top"/>
          </w:tcPr>
          <w:p>
            <w:pPr>
              <w:spacing w:after="40" w:before="0" w:line="259" w:lineRule="auto"/>
            </w:pPr>
            <w:r>
              <w:rPr>
                <w:rFonts w:ascii="Calibri" w:hAnsi="Calibri"/>
                <w:b/>
                <w:i w:val="0"/>
                <w:color w:val="212121"/>
                <w:sz w:val="19"/>
              </w:rPr>
              <w:t>Premature presbyopia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moderate hyperopia the near point recedes and reading glasses are needed before the age of 40.</w:t>
            </w:r>
          </w:p>
        </w:tc>
      </w:tr>
      <w:tr>
        <w:trPr>
          <w:cantSplit/>
        </w:trPr>
        <w:tc>
          <w:tcPr>
            <w:tcW w:type="dxa" w:w="2304"/>
            <w:vAlign w:val="top"/>
          </w:tcPr>
          <w:p>
            <w:pPr>
              <w:spacing w:after="40" w:before="0" w:line="259" w:lineRule="auto"/>
            </w:pPr>
            <w:r>
              <w:rPr>
                <w:rFonts w:ascii="Calibri" w:hAnsi="Calibri"/>
                <w:b/>
                <w:i w:val="0"/>
                <w:color w:val="212121"/>
                <w:sz w:val="19"/>
              </w:rPr>
              <w:t>Sudden transient blurring from accommodative spasm (pseudomyopia)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teenagers/young adults after intense near work.</w:t>
            </w:r>
          </w:p>
        </w:tc>
      </w:tr>
      <w:tr>
        <w:trPr>
          <w:cantSplit/>
        </w:trPr>
        <w:tc>
          <w:tcPr>
            <w:tcW w:type="dxa" w:w="2304"/>
            <w:vAlign w:val="top"/>
          </w:tcPr>
          <w:p>
            <w:pPr>
              <w:spacing w:after="40" w:before="0" w:line="259" w:lineRule="auto"/>
            </w:pPr>
            <w:r>
              <w:rPr>
                <w:rFonts w:ascii="Calibri" w:hAnsi="Calibri"/>
                <w:b/>
                <w:i w:val="0"/>
                <w:color w:val="212121"/>
                <w:sz w:val="19"/>
              </w:rPr>
              <w:t>Holding reading material at arm's length or avoiding near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Adaptive behaviour of older, presbyopic hyperopes.</w:t>
            </w:r>
          </w:p>
        </w:tc>
      </w:tr>
      <w:tr>
        <w:trPr>
          <w:cantSplit/>
        </w:trPr>
        <w:tc>
          <w:tcPr>
            <w:tcW w:type="dxa" w:w="2304"/>
            <w:vAlign w:val="top"/>
          </w:tcPr>
          <w:p>
            <w:pPr>
              <w:spacing w:after="40" w:before="0" w:line="259" w:lineRule="auto"/>
            </w:pPr>
            <w:r>
              <w:rPr>
                <w:rFonts w:ascii="Calibri" w:hAnsi="Calibri"/>
                <w:b/>
                <w:i w:val="0"/>
                <w:color w:val="212121"/>
                <w:sz w:val="19"/>
              </w:rPr>
              <w:t>Severe eye pain, haloes and headache with nausea/vomiting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an acute angle-closure attack in a short hyperopic eye — an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Improvement of acuity with a convex (plus) lens ('plus acceptance')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Distance and near acuity improve when plus power is added on refraction.</w:t>
            </w:r>
          </w:p>
        </w:tc>
      </w:tr>
      <w:tr>
        <w:trPr>
          <w:cantSplit/>
        </w:trPr>
        <w:tc>
          <w:tcPr>
            <w:tcW w:type="dxa" w:w="3456"/>
            <w:vAlign w:val="top"/>
          </w:tcPr>
          <w:p>
            <w:pPr>
              <w:spacing w:after="40" w:before="0" w:line="259" w:lineRule="auto"/>
            </w:pPr>
            <w:r>
              <w:rPr>
                <w:rFonts w:ascii="Calibri" w:hAnsi="Calibri"/>
                <w:b/>
                <w:i w:val="0"/>
                <w:color w:val="212121"/>
                <w:sz w:val="19"/>
              </w:rPr>
              <w:t>Reduced near visual acuity out of proportion to distance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functional finding, especially with latent/early-presbyopic hyperopia.</w:t>
            </w:r>
          </w:p>
        </w:tc>
      </w:tr>
      <w:tr>
        <w:trPr>
          <w:cantSplit/>
        </w:trPr>
        <w:tc>
          <w:tcPr>
            <w:tcW w:type="dxa" w:w="3456"/>
            <w:vAlign w:val="top"/>
          </w:tcPr>
          <w:p>
            <w:pPr>
              <w:spacing w:after="40" w:before="0" w:line="259" w:lineRule="auto"/>
            </w:pPr>
            <w:r>
              <w:rPr>
                <w:rFonts w:ascii="Calibri" w:hAnsi="Calibri"/>
                <w:b/>
                <w:i w:val="0"/>
                <w:color w:val="212121"/>
                <w:sz w:val="19"/>
              </w:rPr>
              <w:t>Shallow anterior chamber with a narrow, occludable angle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Short-eye anatomy; the basis of angle-closure risk.</w:t>
            </w:r>
          </w:p>
        </w:tc>
      </w:tr>
      <w:tr>
        <w:trPr>
          <w:cantSplit/>
        </w:trPr>
        <w:tc>
          <w:tcPr>
            <w:tcW w:type="dxa" w:w="3456"/>
            <w:vAlign w:val="top"/>
          </w:tcPr>
          <w:p>
            <w:pPr>
              <w:spacing w:after="40" w:before="0" w:line="259" w:lineRule="auto"/>
            </w:pPr>
            <w:r>
              <w:rPr>
                <w:rFonts w:ascii="Calibri" w:hAnsi="Calibri"/>
                <w:b/>
                <w:i w:val="0"/>
                <w:color w:val="212121"/>
                <w:sz w:val="19"/>
              </w:rPr>
              <w:t>Small cornea / clinically small (short) eye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high hyperopia and nanophthalmos/microphthalmos.</w:t>
            </w:r>
          </w:p>
        </w:tc>
      </w:tr>
      <w:tr>
        <w:trPr>
          <w:cantSplit/>
        </w:trPr>
        <w:tc>
          <w:tcPr>
            <w:tcW w:type="dxa" w:w="3456"/>
            <w:vAlign w:val="top"/>
          </w:tcPr>
          <w:p>
            <w:pPr>
              <w:spacing w:after="40" w:before="0" w:line="259" w:lineRule="auto"/>
            </w:pPr>
            <w:r>
              <w:rPr>
                <w:rFonts w:ascii="Calibri" w:hAnsi="Calibri"/>
                <w:b/>
                <w:i w:val="0"/>
                <w:color w:val="212121"/>
                <w:sz w:val="19"/>
              </w:rPr>
              <w:t>Small, crowded optic disc with a small or absent cup (pseudopapillitis / pseudopapilloedema)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Benign hyperopic disc appearance that can mimic true disc swelling.</w:t>
            </w:r>
          </w:p>
        </w:tc>
      </w:tr>
      <w:tr>
        <w:trPr>
          <w:cantSplit/>
        </w:trPr>
        <w:tc>
          <w:tcPr>
            <w:tcW w:type="dxa" w:w="3456"/>
            <w:vAlign w:val="top"/>
          </w:tcPr>
          <w:p>
            <w:pPr>
              <w:spacing w:after="40" w:before="0" w:line="259" w:lineRule="auto"/>
            </w:pPr>
            <w:r>
              <w:rPr>
                <w:rFonts w:ascii="Calibri" w:hAnsi="Calibri"/>
                <w:b/>
                <w:i w:val="0"/>
                <w:color w:val="212121"/>
                <w:sz w:val="19"/>
              </w:rPr>
              <w:t>Shot-silk retinal reflex and/or choroidal folds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Reflective 'wet' retina and folds in higher hyperopia.</w:t>
            </w:r>
          </w:p>
        </w:tc>
      </w:tr>
      <w:tr>
        <w:trPr>
          <w:cantSplit/>
        </w:trPr>
        <w:tc>
          <w:tcPr>
            <w:tcW w:type="dxa" w:w="3456"/>
            <w:vAlign w:val="top"/>
          </w:tcPr>
          <w:p>
            <w:pPr>
              <w:spacing w:after="40" w:before="0" w:line="259" w:lineRule="auto"/>
            </w:pPr>
            <w:r>
              <w:rPr>
                <w:rFonts w:ascii="Calibri" w:hAnsi="Calibri"/>
                <w:b/>
                <w:i w:val="0"/>
                <w:color w:val="212121"/>
                <w:sz w:val="19"/>
              </w:rPr>
              <w:t>Convergent squint / accommodative esotropia on cover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Convergent deviation, typically in hyperopic children; corrects with full plus glasses.</w:t>
            </w:r>
          </w:p>
        </w:tc>
      </w:tr>
      <w:tr>
        <w:trPr>
          <w:cantSplit/>
        </w:trPr>
        <w:tc>
          <w:tcPr>
            <w:tcW w:type="dxa" w:w="3456"/>
            <w:vAlign w:val="top"/>
          </w:tcPr>
          <w:p>
            <w:pPr>
              <w:spacing w:after="40" w:before="0" w:line="259" w:lineRule="auto"/>
            </w:pPr>
            <w:r>
              <w:rPr>
                <w:rFonts w:ascii="Calibri" w:hAnsi="Calibri"/>
                <w:b/>
                <w:i w:val="0"/>
                <w:color w:val="212121"/>
                <w:sz w:val="19"/>
              </w:rPr>
              <w:t>Reduced best-corrected acuity (refractive or anisometropic amblyopia)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significant bilateral or unequal uncorrected hyperopia in childhood.</w:t>
            </w:r>
          </w:p>
        </w:tc>
      </w:tr>
      <w:tr>
        <w:trPr>
          <w:cantSplit/>
        </w:trPr>
        <w:tc>
          <w:tcPr>
            <w:tcW w:type="dxa" w:w="3456"/>
            <w:vAlign w:val="top"/>
          </w:tcPr>
          <w:p>
            <w:pPr>
              <w:spacing w:after="40" w:before="0" w:line="259" w:lineRule="auto"/>
            </w:pPr>
            <w:r>
              <w:rPr>
                <w:rFonts w:ascii="Calibri" w:hAnsi="Calibri"/>
                <w:b/>
                <w:i w:val="0"/>
                <w:color w:val="212121"/>
                <w:sz w:val="19"/>
              </w:rPr>
              <w:t>Raised intraocular pressure with a red, painful eye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During an acute angle-closure attack; often with a mid-dilated, fixed pupil and corneal haze.</w:t>
            </w:r>
          </w:p>
        </w:tc>
      </w:tr>
      <w:tr>
        <w:trPr>
          <w:cantSplit/>
        </w:trPr>
        <w:tc>
          <w:tcPr>
            <w:tcW w:type="dxa" w:w="3456"/>
            <w:vAlign w:val="top"/>
          </w:tcPr>
          <w:p>
            <w:pPr>
              <w:spacing w:after="40" w:before="0" w:line="259" w:lineRule="auto"/>
            </w:pPr>
            <w:r>
              <w:rPr>
                <w:rFonts w:ascii="Calibri" w:hAnsi="Calibri"/>
                <w:b/>
                <w:i w:val="0"/>
                <w:color w:val="212121"/>
                <w:sz w:val="19"/>
              </w:rPr>
              <w:t>Hypermetropic ('wet', shiny) fundus with mildly tortuous vessels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General fundus appearance of the short hyperopic eye.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Uncorrected blurred near vision (and distance vision in higher degrees)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Asthenopia and recurrent frontal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Accommodative fatigue and reduced reading/near-work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schooling, reading and occupational performance</w:t>
            </w:r>
          </w:p>
        </w:tc>
        <w:tc>
          <w:tcPr>
            <w:tcW w:type="dxa" w:w="2980"/>
            <w:vAlign w:val="top"/>
          </w:tcPr>
          <w:p>
            <w:pPr>
              <w:spacing w:after="40" w:before="0" w:line="259" w:lineRule="auto"/>
            </w:pPr>
            <w:r>
              <w:rPr>
                <w:rFonts w:ascii="Calibri" w:hAnsi="Calibri"/>
                <w:b w:val="0"/>
                <w:i w:val="0"/>
                <w:color w:val="212121"/>
                <w:sz w:val="19"/>
              </w:rPr>
              <w:t>Direct optical and functional consequences of the unfocused retinal image and sustained accommodative effort.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Accommodative esotropia (convergent squint)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Refractive and anisometropic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 earlier-onset presbyopia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Predisposition to primary angle-closure and angle-closure glaucoma (shallow chamber, narrow angle)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hordeolum / blepharoconjunctivitis from eye rubbing</w:t>
            </w:r>
          </w:p>
        </w:tc>
        <w:tc>
          <w:tcPr>
            <w:tcW w:type="dxa" w:w="2980"/>
            <w:vAlign w:val="top"/>
          </w:tcPr>
          <w:p>
            <w:pPr>
              <w:spacing w:after="40" w:before="0" w:line="259" w:lineRule="auto"/>
            </w:pPr>
            <w:r>
              <w:rPr>
                <w:rFonts w:ascii="Calibri" w:hAnsi="Calibri"/>
                <w:b w:val="0"/>
                <w:i w:val="0"/>
                <w:color w:val="212121"/>
                <w:sz w:val="19"/>
              </w:rPr>
              <w:t>Arise from chronic over-accommodation, abnormal ocular development and the short-eye anatomy.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amblyopia if significant hyperopia is left uncorrected during the critical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or chronic angle-closure glaucoma with optic-nerve damage and irreversible visual-field loss /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high hyperopia and nanophthalmos: uveal effusion, serous (exudative) retinal detachment, macular folds/cysts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Non-arteritic anterior ischaemic optic neuropathy in the crowded 'disc-at-risk' hyperopic eye</w:t>
            </w:r>
          </w:p>
        </w:tc>
        <w:tc>
          <w:tcPr>
            <w:tcW w:type="dxa" w:w="2980"/>
            <w:vAlign w:val="top"/>
          </w:tcPr>
          <w:p>
            <w:pPr>
              <w:spacing w:after="40" w:before="0" w:line="259" w:lineRule="auto"/>
            </w:pPr>
            <w:r>
              <w:rPr>
                <w:rFonts w:ascii="Calibri" w:hAnsi="Calibri"/>
                <w:b w:val="0"/>
                <w:i w:val="0"/>
                <w:color w:val="212121"/>
                <w:sz w:val="19"/>
              </w:rPr>
              <w:t>Irreversible, sight-threatening outcomes of untreated or advanced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Accommodative esotropia (strabismus)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Uncorrected hyperopia drives excess accommodation–convergence, producing a convergent squint; treated with full hyperopic correction.</w:t>
            </w:r>
          </w:p>
          <w:p>
            <w:pPr>
              <w:spacing w:after="40" w:before="0" w:line="259" w:lineRule="auto"/>
            </w:pPr>
            <w:r>
              <w:rPr>
                <w:rFonts w:ascii="Calibri" w:hAnsi="Calibri"/>
                <w:b/>
                <w:i w:val="0"/>
                <w:color w:val="212121"/>
                <w:sz w:val="19"/>
              </w:rPr>
              <w:t>Up to ~20% (of hyperopic infants develop strabismus)</w:t>
            </w:r>
          </w:p>
        </w:tc>
      </w:tr>
      <w:tr>
        <w:trPr>
          <w:cantSplit/>
        </w:trPr>
        <w:tc>
          <w:tcPr>
            <w:tcW w:type="dxa" w:w="2232"/>
            <w:vAlign w:val="top"/>
          </w:tcPr>
          <w:p>
            <w:pPr>
              <w:spacing w:after="40" w:before="0" w:line="259" w:lineRule="auto"/>
            </w:pPr>
            <w:r>
              <w:rPr>
                <w:rFonts w:ascii="Calibri" w:hAnsi="Calibri"/>
                <w:b/>
                <w:i w:val="0"/>
                <w:color w:val="212121"/>
                <w:sz w:val="19"/>
              </w:rPr>
              <w:t>Amblyopia (refractive / anisometropic)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Significant bilateral or unequal hyperopia degrades the developing retinal image; risk rises with anisometropia &gt; 1 D or isometropic hyperopia ≥ 5 D, and it needs correction ± patching within the critical period.</w:t>
            </w:r>
          </w:p>
        </w:tc>
      </w:tr>
      <w:tr>
        <w:trPr>
          <w:cantSplit/>
        </w:trPr>
        <w:tc>
          <w:tcPr>
            <w:tcW w:type="dxa" w:w="2232"/>
            <w:vAlign w:val="top"/>
          </w:tcPr>
          <w:p>
            <w:pPr>
              <w:spacing w:after="40" w:before="0" w:line="259" w:lineRule="auto"/>
            </w:pPr>
            <w:r>
              <w:rPr>
                <w:rFonts w:ascii="Calibri" w:hAnsi="Calibri"/>
                <w:b/>
                <w:i w:val="0"/>
                <w:color w:val="212121"/>
                <w:sz w:val="19"/>
              </w:rPr>
              <w:t>Primary angle-closure glaucoma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Short hyperopic eyes have shallow anterior chambers and narrow, occludable angles, predisposing to angle closure; mydriasis can precipitate acute attacks.</w:t>
            </w:r>
          </w:p>
        </w:tc>
      </w:tr>
      <w:tr>
        <w:trPr>
          <w:cantSplit/>
        </w:trPr>
        <w:tc>
          <w:tcPr>
            <w:tcW w:type="dxa" w:w="2232"/>
            <w:vAlign w:val="top"/>
          </w:tcPr>
          <w:p>
            <w:pPr>
              <w:spacing w:after="40" w:before="0" w:line="259" w:lineRule="auto"/>
            </w:pPr>
            <w:r>
              <w:rPr>
                <w:rFonts w:ascii="Calibri" w:hAnsi="Calibri"/>
                <w:b/>
                <w:i w:val="0"/>
                <w:color w:val="212121"/>
                <w:sz w:val="19"/>
              </w:rPr>
              <w:t>Presbyopia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Age-related loss of accommodation unmasks latent hyperopia, so hyperopes become symptomatically presbyopic earlier and need stronger reading additions.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Glycaemic swings cause transient hyperopic/myopic refractive shifts and index hyperopia; refraction is deferred until glucose is stable.</w:t>
            </w:r>
          </w:p>
        </w:tc>
      </w:tr>
      <w:tr>
        <w:trPr>
          <w:cantSplit/>
        </w:trPr>
        <w:tc>
          <w:tcPr>
            <w:tcW w:type="dxa" w:w="2232"/>
            <w:vAlign w:val="top"/>
          </w:tcPr>
          <w:p>
            <w:pPr>
              <w:spacing w:after="40" w:before="0" w:line="259" w:lineRule="auto"/>
            </w:pPr>
            <w:r>
              <w:rPr>
                <w:rFonts w:ascii="Calibri" w:hAnsi="Calibri"/>
                <w:b/>
                <w:i w:val="0"/>
                <w:color w:val="212121"/>
                <w:sz w:val="19"/>
              </w:rPr>
              <w:t>Nanophthalmos / posterior microphthalmos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Extremely short eyes cause very high hyperopia with a risk of uveal effusion and exudative retinal detachment; intraocular surgery is high-risk.</w:t>
            </w:r>
          </w:p>
        </w:tc>
      </w:tr>
      <w:tr>
        <w:trPr>
          <w:cantSplit/>
        </w:trPr>
        <w:tc>
          <w:tcPr>
            <w:tcW w:type="dxa" w:w="2232"/>
            <w:vAlign w:val="top"/>
          </w:tcPr>
          <w:p>
            <w:pPr>
              <w:spacing w:after="40" w:before="0" w:line="259" w:lineRule="auto"/>
            </w:pPr>
            <w:r>
              <w:rPr>
                <w:rFonts w:ascii="Calibri" w:hAnsi="Calibri"/>
                <w:b/>
                <w:i w:val="0"/>
                <w:color w:val="212121"/>
                <w:sz w:val="19"/>
              </w:rPr>
              <w:t>Non-arteritic anterior ischaemic optic neuropathy (NAION)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small, crowded 'disc at risk' of the hyperopic eye predisposes to NAION.</w:t>
            </w:r>
          </w:p>
        </w:tc>
      </w:tr>
      <w:tr>
        <w:trPr>
          <w:cantSplit/>
        </w:trPr>
        <w:tc>
          <w:tcPr>
            <w:tcW w:type="dxa" w:w="2232"/>
            <w:vAlign w:val="top"/>
          </w:tcPr>
          <w:p>
            <w:pPr>
              <w:spacing w:after="40" w:before="0" w:line="259" w:lineRule="auto"/>
            </w:pPr>
            <w:r>
              <w:rPr>
                <w:rFonts w:ascii="Calibri" w:hAnsi="Calibri"/>
                <w:b/>
                <w:i w:val="0"/>
                <w:color w:val="212121"/>
                <w:sz w:val="19"/>
              </w:rPr>
              <w:t>Prematurity / retinopathy of prematurity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Preterm, low-birth-weight infants (and treated ROP) show a higher prevalence of hyperopia through altered eye growth.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newborn red-reflex screening and vision checks at preschool and school entry, with cycloplegic refraction for any squint, reduced vision or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clinically significant hyperopia (typically ≥ +2 D, or any degree with esotropia, amblyopia or asthenopia) with convex (plus) spectacles, worn full-time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the 20-20-20 rule and encourage an adequate reading distance (≥ 33–40 cm) with good lighting for near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eye strain, frontal headache after reading, a child sitting close or rubbing the eyes, a new squint — and seek timely refraction.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 comprehensive eye examination every 1–2 years after age 40, both for the presbyopic hyperopic shift and to screen narrow angles for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persistent headache and asthenopia often resolve simply with the correct plus glasses.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over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full cycloplegic hyperopic correction as first-line treatment for accommodative esotropia and review alignment on glasses before considering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associated amblyopia promptly with refractive correction plus occlusion (patching) or atropine penalisation within the critical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contact lenses from adolescence, and refractive surgery (LASIK, refractive lens exchange or phakic IOL) only after the refraction has stabilised (usually the third decade).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laser peripheral iridotomy/iridoplasty or early lens extraction for occludable angles or angle-closure in short hyperopic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near-vision additions and low-vision aids for presbyopic hyperopes, and manage nanophthalmos-related complications in specialist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Hyperopic children with esotropia/amblyopia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seeking spectacle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narrow/occludable angles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Presbyopic hyperopes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hyperopes / nanophthalmos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at least 60–120 minutes of outdoor play daily for children to support overall eye health and balance heavy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regular movement and visual breaks into study and screen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physical activity does not correct hyperopia but reduces near-work strain and supports general ocular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Screen/IT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in diabetes/pre-diabetes to avoid transient refractive shifts, and defer new spectacle prescriptions until glucose is stable.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whole-food diet supporting a healthy weight and lens/retinal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maternal and early-childhood nutrition to support normal ocular growth and emmetropisation.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 pre-diabetic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age-appropriate, regular sleep (about 7–9 hours for adults) to preserve a comfortable accommodative reserve.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late-night near/screen work, which compounds asthenopic symptoms in uncorrected hyperopes.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hyperopes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 completely smoke-free pregnancy, as maternal smoking raises the risk of childhood hyperopia.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smoke-free homes to protect children's eye development and general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in pregnancy to prevent fetal alcohol spectrum disorder, which includes ocular anomalies and refractive errors.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uncorrected hyperopia can cause chronic headache, poor concentration and, in children, frustration, underperformance or being mislabelled as inattentive.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the refractive error early to relieve asthenopic distress and improve concentration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a benign hyperopic 'pseudo-swollen' optic disc is not a brain tumour, to reduce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Underperforming schoolchildren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chronic asthenopic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 with pseudopapilloedema</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0716/" TargetMode="External"/><Relationship Id="rId10" Type="http://schemas.openxmlformats.org/officeDocument/2006/relationships/hyperlink" Target="https://eyewiki.aao.org/Hyperopia" TargetMode="External"/><Relationship Id="rId11" Type="http://schemas.openxmlformats.org/officeDocument/2006/relationships/hyperlink" Target="https://www.who.int/news-room/fact-sheets/detail/blindness-and-visual-impairment" TargetMode="External"/><Relationship Id="rId12" Type="http://schemas.openxmlformats.org/officeDocument/2006/relationships/hyperlink" Target="https://doi.org/10.1080/09286586.2025.2450346" TargetMode="External"/><Relationship Id="rId13" Type="http://schemas.openxmlformats.org/officeDocument/2006/relationships/hyperlink" Target="https://doi.org/10.1136/bjo-2024-326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