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Cataract</w:t>
      </w:r>
    </w:p>
    <w:p>
      <w:pPr>
        <w:spacing w:before="0" w:after="160"/>
      </w:pPr>
      <w:r>
        <w:rPr>
          <w:rFonts w:ascii="Calibri" w:hAnsi="Calibri"/>
          <w:b/>
          <w:i w:val="0"/>
          <w:color w:val="212121"/>
          <w:sz w:val="22"/>
        </w:rPr>
        <w:t xml:space="preserve">AKA </w:t>
      </w:r>
      <w:r>
        <w:rPr>
          <w:rFonts w:ascii="Calibri" w:hAnsi="Calibri"/>
          <w:b w:val="0"/>
          <w:i w:val="0"/>
          <w:color w:val="212121"/>
          <w:sz w:val="22"/>
        </w:rPr>
        <w:t>i.e., Motiyabind, Safed Motia, Lens opacity, Clouding of the eye lens, Senile cataract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Cataract is a clouding (opacification) of the normally transparent crystalline lens of the eye, or of its capsule, that obstructs the passage of light to the retina and produces a gradual, painless decline in vision. Most cataracts are age-related (senile) and bilateral, though they often progress asymmetrically. It is the leading cause of curable (reversible) blindness worldwide and in India, and is corrected by surgical removal of the opaque lens with implantation of an intraocular lens (IOL).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Cataract is the single largest cause of blindness in India, responsible for roughly two-thirds of blindness in adults aged 50 years and above. Age-related lens opacity is highly prevalent in the elderly, affecting an estimated 58-74% of persons aged 60 years and older, and the burden is rising as the population ages. Globally, cataract causes distance-vision impairment or blindness in about 94 million people, and roughly 1 in 2 people who need cataract surgery do not have access to it.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Cataract is a clinical diagnosis made on dilated slit-lamp biomicroscopy; the following features support the diagnosis and guide the decision to operate: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visually significant lens opacity on slit-lamp examination after pupillary dilation, graded with systems such as LOCS III (Lens Opacities Classification System III) for nuclear colour/opalescence, cortical, and posterior subcapsular changes;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best-corrected visual acuity (BCVA) not explained by other pathology (e.g., Snellen worse than 6/12), or disabling glare on glare testing despite a reasonable chart acuity;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diminished, darkened, or absent red reflex on distant direct ophthalmoscopy, with obscuration of fundal detail;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myopic shift on refraction (nuclear sclerosis) or new near-vision change (“second sight”);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causes of reduced vision (macular disease, glaucoma, corneal opacity) by fundus examination and intraocular pressure, and—where the fundus cannot be seen—B-scan ultrasonography of the posterior segment before surgery.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Cataracts are classified by anatomical location of the opacity within the lens, by aetiology, and by maturity:</w:t>
      </w:r>
    </w:p>
    <w:p>
      <w:pPr>
        <w:spacing w:before="0" w:after="80"/>
      </w:pPr>
      <w:r>
        <w:rPr>
          <w:rFonts w:ascii="Calibri" w:hAnsi="Calibri"/>
          <w:b w:val="0"/>
          <w:i w:val="0"/>
          <w:color w:val="212121"/>
          <w:sz w:val="21"/>
        </w:rPr>
        <w:t>(1) By location (morphology): Nuclear (nuclear sclerotic) cataract—central yellow-brown hardening of the lens nucleus, the commonest age-related form, causing a myopic (“index”) shift; Cortical cataract—wedge-shaped (“cuneiform”) spoke-like peripheral opacities that produce marked glare; and Posterior subcapsular cataract (PSC)—a granular/plaque opacity just in front of the posterior capsule that is disproportionately disabling for near work and in bright light and is common with diabetes, steroid use, and in younger patients.</w:t>
      </w:r>
    </w:p>
    <w:p>
      <w:pPr>
        <w:spacing w:before="0" w:after="80"/>
      </w:pPr>
      <w:r>
        <w:rPr>
          <w:rFonts w:ascii="Calibri" w:hAnsi="Calibri"/>
          <w:b w:val="0"/>
          <w:i w:val="0"/>
          <w:color w:val="212121"/>
          <w:sz w:val="21"/>
        </w:rPr>
        <w:t>(2) By aetiology: Age-related (senile)—by far the most common; Congenital/developmental—present at or soon after birth (e.g., maternal rubella, galactosaemia, hereditary); Traumatic—after blunt or penetrating injury or radiation, the commonest cause of unilateral cataract in young adults; Metabolic—diabetes (early-onset “snowflake”), hypocalcaemia, Wilson disease; Drug-induced—chiefly corticosteroids (topical or systemic), also chlorpromazine and amiodarone; and Secondary (complicated)—from chronic uveitis, high myopia, retinitis pigmentosa, or prior intraocular surgery.</w:t>
      </w:r>
    </w:p>
    <w:p>
      <w:pPr>
        <w:spacing w:before="0" w:after="80"/>
      </w:pPr>
      <w:r>
        <w:rPr>
          <w:rFonts w:ascii="Calibri" w:hAnsi="Calibri"/>
          <w:b w:val="0"/>
          <w:i w:val="0"/>
          <w:color w:val="212121"/>
          <w:sz w:val="21"/>
        </w:rPr>
        <w:t>(3) By maturity: Immature (lens partly clear), Mature (entire cortex opaque, iris shadow absent), Hypermature (Morgagnian—liquefied cortex with a sunken nucleus), and Intumescent (swollen) cataract, which can precipitate phacomorphic angle-closure glaucoma. In India a large proportion of patients still present late with mature or hypermature “white” cataracts.</w:t>
      </w:r>
    </w:p>
    <w:p>
      <w:pPr>
        <w:spacing w:before="0" w:after="80"/>
      </w:pPr>
      <w:r>
        <w:rPr>
          <w:rFonts w:ascii="Calibri" w:hAnsi="Calibri"/>
          <w:b w:val="0"/>
          <w:i w:val="0"/>
          <w:color w:val="212121"/>
          <w:sz w:val="21"/>
        </w:rPr>
        <w:t>(4) By grading: Severity is standardised with LOCS III and, clinically, with the maturity scale to time surgery and anticipate surgical difficulty.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(senescent lens change): Lifelong oxidative damage, aggregation of lens crystallin proteins, and loss of transparency; the dominant cause, with prevalence rising steeply after age 50.</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Ultraviolet (UV-B)/sunlight exposure: Cumulative solar UV drives photo-oxidative lens damage; the high ambient sunlight across much of India raises cortical cataract risk, especially in outdoor and agricultural workers.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Diabetes mellitus and metabolic factors: Sorbitol accumulation and protein glycation opacify the lens, producing earlier and faster-progressing cataract (classically posterior subcapsular / “snowflake”).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Oxidative stress and undernutrition: Deficiency of antioxidant defences (vitamin C, carotenoids, glutathione) and protein-energy/micronutrient malnutrition—still common in parts of India—accelerate lens opacification; severe dehydrating diarrhoeal illness has also been implicated.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and biomass-fuel smoke: The oxidant load from cigarette/bidi smoke and indoor cooking-fire (chulha) smoke, common in rural Indian kitchens, promotes nuclear cataract.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Corticosteroids and other drugs: Chronic topical or systemic steroids induce posterior subcapsular cataract; ionising/infrared radiation and drugs such as chlorpromazine and amiodarone are additional causes.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Trauma and ocular disease: Blunt or penetrating eye injury, chronic uveitis, high myopia, and prior intraocular surgery cause secondary/complicated cataract.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(40-59 years)</w:t>
            </w:r>
          </w:p>
        </w:tc>
        <w:tc>
          <w:tcPr>
            <w:tcW w:type="dxa" w:w="4276"/>
            <w:vAlign w:val="top"/>
          </w:tcPr>
          <w:p>
            <w:pPr>
              <w:spacing w:after="60" w:line="259" w:lineRule="auto"/>
            </w:pPr>
            <w:r>
              <w:rPr>
                <w:rFonts w:ascii="Calibri" w:hAnsi="Calibri"/>
                <w:b w:val="0"/>
                <w:i w:val="0"/>
                <w:color w:val="212121"/>
                <w:sz w:val="19"/>
              </w:rPr>
              <w:t>Early lens changes begin in mid-life as oxidative damage accumulates and crystallin proteins start to aggregate; nuclear and cortical opacities become detectable well before they are visually disabling.</w:t>
            </w:r>
          </w:p>
          <w:p>
            <w:pPr>
              <w:spacing w:after="40" w:before="60" w:line="259" w:lineRule="auto"/>
            </w:pPr>
            <w:r>
              <w:rPr>
                <w:rFonts w:ascii="Calibri" w:hAnsi="Calibri"/>
                <w:b w:val="0"/>
                <w:i w:val="0"/>
                <w:color w:val="212121"/>
                <w:sz w:val="19"/>
              </w:rPr>
              <w:t>Age-related cataract onset is typically in the fifth and sixth decade of life.</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#cataract  #ageing  #nuclearsclerosis  #oxidativestress  #earlylenschange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The dominant at-risk group: cumulative UV exposure, comorbidity, and lens senescence make cataract nearly universal with advancing age, and it is the leading cause of avoidable blindness in Indian elders.</w:t>
            </w:r>
          </w:p>
          <w:p>
            <w:pPr>
              <w:spacing w:after="40" w:before="60" w:line="259" w:lineRule="auto"/>
            </w:pPr>
            <w:r>
              <w:rPr>
                <w:rFonts w:ascii="Calibri" w:hAnsi="Calibri"/>
                <w:b w:val="0"/>
                <w:i w:val="0"/>
                <w:color w:val="212121"/>
                <w:sz w:val="19"/>
              </w:rPr>
              <w:t>An estimated 58-74% of persons aged 60 years and older in India have age-related lens opacity; dedicated Indian cohorts (e.g., the LEADS study) are quantifying vision loss and multimorbidity in those aged 60+.</w:t>
            </w:r>
          </w:p>
          <w:p>
            <w:pPr>
              <w:spacing w:after="40" w:line="252" w:lineRule="auto"/>
            </w:pPr>
            <w:hyperlink r:id="rId10">
              <w:r>
                <w:rPr>
                  <w:rFonts w:ascii="Calibri" w:hAnsi="Calibri" w:cs="Calibri"/>
                  <w:sz w:val="18"/>
                  <w:color w:val="1155CC"/>
                  <w:u w:val="single"/>
                </w:rPr>
                <w:t xml:space="preserve">doi.org/10.1136/bmjph-2025-004598 — LEADS (South India, ≥60y)</w:t>
              </w:r>
            </w:hyperlink>
          </w:p>
          <w:p>
            <w:pPr>
              <w:spacing w:before="60" w:after="40"/>
            </w:pPr>
            <w:r>
              <w:rPr>
                <w:rFonts w:ascii="Calibri" w:hAnsi="Calibri"/>
                <w:b w:val="0"/>
                <w:i w:val="0"/>
                <w:color w:val="5A5A5A"/>
                <w:sz w:val="18"/>
              </w:rPr>
              <w:t>#elderly  #senilecataract  #avoidableblindness  #ageingIndia  #multimorbidity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Women have a somewhat higher prevalence of cataract and, in India, lower uptake of cataract surgery because of gender inequities in access, mobility, and health-seeking—widening the female share of cataract blindness.</w:t>
            </w:r>
          </w:p>
          <w:p>
            <w:pPr>
              <w:spacing w:after="40" w:before="60" w:line="259" w:lineRule="auto"/>
            </w:pPr>
            <w:r>
              <w:rPr>
                <w:rFonts w:ascii="Calibri" w:hAnsi="Calibri"/>
                <w:b w:val="0"/>
                <w:i w:val="0"/>
                <w:color w:val="212121"/>
                <w:sz w:val="19"/>
              </w:rPr>
              <w:t>Cataract is more common in women than men, with a male-to-female ratio of about 1 : 1.3.</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#women  #gendergap  #surgicalaccess  #healthequity  #ruralwomen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poor</w:t>
            </w:r>
          </w:p>
        </w:tc>
        <w:tc>
          <w:tcPr>
            <w:tcW w:type="dxa" w:w="4276"/>
            <w:vAlign w:val="top"/>
          </w:tcPr>
          <w:p>
            <w:pPr>
              <w:spacing w:after="60" w:line="259" w:lineRule="auto"/>
            </w:pPr>
            <w:r>
              <w:rPr>
                <w:rFonts w:ascii="Calibri" w:hAnsi="Calibri"/>
                <w:b w:val="0"/>
                <w:i w:val="0"/>
                <w:color w:val="212121"/>
                <w:sz w:val="19"/>
              </w:rPr>
              <w:t>Poverty, distance from services, cost, and fear of surgery lead to late presentation with mature/hypermature cataract and a large untreated backlog; these groups carry most of the world's cataract blindness.</w:t>
            </w:r>
          </w:p>
          <w:p>
            <w:pPr>
              <w:spacing w:after="40" w:before="60" w:line="259" w:lineRule="auto"/>
            </w:pPr>
            <w:r>
              <w:rPr>
                <w:rFonts w:ascii="Calibri" w:hAnsi="Calibri"/>
                <w:b w:val="0"/>
                <w:i w:val="0"/>
                <w:color w:val="212121"/>
                <w:sz w:val="19"/>
              </w:rPr>
              <w:t>Roughly 1 in 2 people globally who need cataract surgery do not have access to it.</w:t>
            </w:r>
          </w:p>
          <w:p>
            <w:pPr>
              <w:spacing w:after="40" w:line="252" w:lineRule="auto"/>
            </w:pPr>
            <w:hyperlink r:id="rId11">
              <w:r>
                <w:rPr>
                  <w:rFonts w:ascii="Calibri" w:hAnsi="Calibri" w:cs="Calibri"/>
                  <w:sz w:val="18"/>
                  <w:color w:val="1155CC"/>
                  <w:u w:val="single"/>
                </w:rPr>
                <w:t xml:space="preserve">who.int — Blindness and visual impairment fact sheet</w:t>
              </w:r>
            </w:hyperlink>
          </w:p>
          <w:p>
            <w:pPr>
              <w:spacing w:before="60" w:after="40"/>
            </w:pPr>
            <w:r>
              <w:rPr>
                <w:rFonts w:ascii="Calibri" w:hAnsi="Calibri"/>
                <w:b w:val="0"/>
                <w:i w:val="0"/>
                <w:color w:val="5A5A5A"/>
                <w:sz w:val="18"/>
              </w:rPr>
              <w:t>#poverty  #surgicalbacklog  #access  #latepresentation  #ruralIndia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service access</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populations combine high sun and biomass-smoke exposure, outdoor manual labour, and limited eye-care access; strengthening community vision centres improves cataract surgical coverage and reduces the backlog.</w:t>
            </w:r>
          </w:p>
          <w:p>
            <w:pPr>
              <w:spacing w:after="40" w:before="60" w:line="259" w:lineRule="auto"/>
            </w:pPr>
            <w:r>
              <w:rPr>
                <w:rFonts w:ascii="Calibri" w:hAnsi="Calibri"/>
                <w:b w:val="0"/>
                <w:i w:val="0"/>
                <w:color w:val="212121"/>
                <w:sz w:val="19"/>
              </w:rPr>
              <w:t>Studies of vision centres in southern India report improvements in cataract surgical coverage and effective cataract surgical coverage in the population served.</w:t>
            </w:r>
          </w:p>
          <w:p>
            <w:pPr>
              <w:spacing w:after="40" w:line="252" w:lineRule="auto"/>
            </w:pPr>
            <w:hyperlink r:id="rId12">
              <w:r>
                <w:rPr>
                  <w:rFonts w:ascii="Calibri" w:hAnsi="Calibri" w:cs="Calibri"/>
                  <w:sz w:val="18"/>
                  <w:color w:val="1155CC"/>
                  <w:u w:val="single"/>
                </w:rPr>
                <w:t xml:space="preserve">doi.org/10.1136/bjo-2024-326637 — Vision Centres, S India</w:t>
              </w:r>
            </w:hyperlink>
          </w:p>
          <w:p>
            <w:pPr>
              <w:spacing w:before="60" w:after="40"/>
            </w:pPr>
            <w:r>
              <w:rPr>
                <w:rFonts w:ascii="Calibri" w:hAnsi="Calibri"/>
                <w:b w:val="0"/>
                <w:i w:val="0"/>
                <w:color w:val="5A5A5A"/>
                <w:sz w:val="18"/>
              </w:rPr>
              <w:t>#rural  #visioncentres  #CSC  #eyecareaccess  #backlog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 latitude</w:t>
            </w:r>
          </w:p>
        </w:tc>
        <w:tc>
          <w:tcPr>
            <w:tcW w:type="dxa" w:w="2160"/>
            <w:vAlign w:val="top"/>
          </w:tcPr>
          <w:p>
            <w:pPr>
              <w:spacing w:after="40" w:before="0" w:line="259" w:lineRule="auto"/>
            </w:pPr>
            <w:r>
              <w:rPr>
                <w:rFonts w:ascii="Calibri" w:hAnsi="Calibri"/>
                <w:b w:val="0"/>
                <w:i w:val="0"/>
                <w:color w:val="212121"/>
                <w:sz w:val="19"/>
              </w:rPr>
              <w:t>High-sunlight and high-altitude populations</w:t>
            </w:r>
          </w:p>
        </w:tc>
        <w:tc>
          <w:tcPr>
            <w:tcW w:type="dxa" w:w="4276"/>
            <w:vAlign w:val="top"/>
          </w:tcPr>
          <w:p>
            <w:pPr>
              <w:spacing w:after="60" w:line="259" w:lineRule="auto"/>
            </w:pPr>
            <w:r>
              <w:rPr>
                <w:rFonts w:ascii="Calibri" w:hAnsi="Calibri"/>
                <w:b w:val="0"/>
                <w:i w:val="0"/>
                <w:color w:val="212121"/>
                <w:sz w:val="19"/>
              </w:rPr>
              <w:t>Chronic outdoor UV-B exposure drives photo-oxidative damage, particularly cortical cataract; much of India lies in a high-insolation belt, and unprotected outdoor workers accumulate large lifetime UV doses.</w:t>
            </w:r>
          </w:p>
          <w:p>
            <w:pPr>
              <w:spacing w:after="40" w:before="60" w:line="259" w:lineRule="auto"/>
            </w:pPr>
            <w:r>
              <w:rPr>
                <w:rFonts w:ascii="Calibri" w:hAnsi="Calibri"/>
                <w:b w:val="0"/>
                <w:i w:val="0"/>
                <w:color w:val="212121"/>
                <w:sz w:val="19"/>
              </w:rPr>
              <w:t>Ultraviolet, ionising, and infrared radiation are established environmental causes of cataract.</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#UVexposure  #sunlight  #corticalcataract  #outdoorworkers  #photooxidation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bidi users</w:t>
            </w:r>
          </w:p>
        </w:tc>
        <w:tc>
          <w:tcPr>
            <w:tcW w:type="dxa" w:w="4276"/>
            <w:vAlign w:val="top"/>
          </w:tcPr>
          <w:p>
            <w:pPr>
              <w:spacing w:after="60" w:line="259" w:lineRule="auto"/>
            </w:pPr>
            <w:r>
              <w:rPr>
                <w:rFonts w:ascii="Calibri" w:hAnsi="Calibri"/>
                <w:b w:val="0"/>
                <w:i w:val="0"/>
                <w:color w:val="212121"/>
                <w:sz w:val="19"/>
              </w:rPr>
              <w:t>Tobacco smoke delivers a heavy oxidant load and lowers lens antioxidant defences, promoting nuclear cataract in a dose-dependent way; risk falls slowly after cessation.</w:t>
            </w:r>
          </w:p>
          <w:p>
            <w:pPr>
              <w:spacing w:after="40" w:before="60" w:line="259" w:lineRule="auto"/>
            </w:pPr>
            <w:r>
              <w:rPr>
                <w:rFonts w:ascii="Calibri" w:hAnsi="Calibri"/>
                <w:b w:val="0"/>
                <w:i w:val="0"/>
                <w:color w:val="212121"/>
                <w:sz w:val="19"/>
              </w:rPr>
              <w:t>Smoking is a well-established modifiable risk factor for nuclear cataract, with risk rising with cumulative pack-years.</w:t>
            </w:r>
          </w:p>
          <w:p>
            <w:pPr>
              <w:spacing w:before="60" w:after="40"/>
            </w:pPr>
            <w:r>
              <w:rPr>
                <w:rFonts w:ascii="Calibri" w:hAnsi="Calibri"/>
                <w:b w:val="0"/>
                <w:i w:val="0"/>
                <w:color w:val="5A5A5A"/>
                <w:sz w:val="18"/>
              </w:rPr>
              <w:t>#smoking  #bidi  #tobacco  #nuclearcataract  #oxidantload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sedentary</w:t>
            </w:r>
          </w:p>
        </w:tc>
        <w:tc>
          <w:tcPr>
            <w:tcW w:type="dxa" w:w="2160"/>
            <w:vAlign w:val="top"/>
          </w:tcPr>
          <w:p>
            <w:pPr>
              <w:spacing w:after="40" w:before="0" w:line="259" w:lineRule="auto"/>
            </w:pPr>
            <w:r>
              <w:rPr>
                <w:rFonts w:ascii="Calibri" w:hAnsi="Calibri"/>
                <w:b w:val="0"/>
                <w:i w:val="0"/>
                <w:color w:val="212121"/>
                <w:sz w:val="19"/>
              </w:rPr>
              <w:t>Outdoor and agricultural manual workers</w:t>
            </w:r>
          </w:p>
        </w:tc>
        <w:tc>
          <w:tcPr>
            <w:tcW w:type="dxa" w:w="4276"/>
            <w:vAlign w:val="top"/>
          </w:tcPr>
          <w:p>
            <w:pPr>
              <w:spacing w:after="60" w:line="259" w:lineRule="auto"/>
            </w:pPr>
            <w:r>
              <w:rPr>
                <w:rFonts w:ascii="Calibri" w:hAnsi="Calibri"/>
                <w:b w:val="0"/>
                <w:i w:val="0"/>
                <w:color w:val="212121"/>
                <w:sz w:val="19"/>
              </w:rPr>
              <w:t>Farmers, construction and roadside workers face chronic UV exposure plus a higher rate of ocular trauma, both of which accelerate lens opacification and add traumatic cataract to the age-related burden.</w:t>
            </w:r>
          </w:p>
          <w:p>
            <w:pPr>
              <w:spacing w:after="40" w:before="60" w:line="259" w:lineRule="auto"/>
            </w:pPr>
            <w:r>
              <w:rPr>
                <w:rFonts w:ascii="Calibri" w:hAnsi="Calibri"/>
                <w:b w:val="0"/>
                <w:i w:val="0"/>
                <w:color w:val="212121"/>
                <w:sz w:val="19"/>
              </w:rPr>
              <w:t>Ocular trauma is the commonest cause of unilateral cataract in young adults.</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#outdoorwork  #agriculture  #oculartrauma  #UV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Indoor air pollution</w:t>
            </w:r>
          </w:p>
        </w:tc>
        <w:tc>
          <w:tcPr>
            <w:tcW w:type="dxa" w:w="2160"/>
            <w:vAlign w:val="top"/>
          </w:tcPr>
          <w:p>
            <w:pPr>
              <w:spacing w:after="40" w:before="0" w:line="259" w:lineRule="auto"/>
            </w:pPr>
            <w:r>
              <w:rPr>
                <w:rFonts w:ascii="Calibri" w:hAnsi="Calibri"/>
                <w:b w:val="0"/>
                <w:i w:val="0"/>
                <w:color w:val="212121"/>
                <w:sz w:val="19"/>
              </w:rPr>
              <w:t>Women cooking on biomass (chulha) stoves</w:t>
            </w:r>
          </w:p>
        </w:tc>
        <w:tc>
          <w:tcPr>
            <w:tcW w:type="dxa" w:w="4276"/>
            <w:vAlign w:val="top"/>
          </w:tcPr>
          <w:p>
            <w:pPr>
              <w:spacing w:after="60" w:line="259" w:lineRule="auto"/>
            </w:pPr>
            <w:r>
              <w:rPr>
                <w:rFonts w:ascii="Calibri" w:hAnsi="Calibri"/>
                <w:b w:val="0"/>
                <w:i w:val="0"/>
                <w:color w:val="212121"/>
                <w:sz w:val="19"/>
              </w:rPr>
              <w:t>Prolonged exposure to smoke from wood, dung, and crop-residue cooking fires—still widely used in rural Indian households and largely borne by women—adds oxidative injury linked to nuclear cataract.</w:t>
            </w:r>
          </w:p>
          <w:p>
            <w:pPr>
              <w:spacing w:after="40" w:before="60" w:line="259" w:lineRule="auto"/>
            </w:pPr>
            <w:r>
              <w:rPr>
                <w:rFonts w:ascii="Calibri" w:hAnsi="Calibri"/>
                <w:b w:val="0"/>
                <w:i w:val="0"/>
                <w:color w:val="212121"/>
                <w:sz w:val="19"/>
              </w:rPr>
              <w:t>Household biomass-fuel smoke is an important, gendered source of oxidative exposure in rural India.</w:t>
            </w:r>
          </w:p>
          <w:p>
            <w:pPr>
              <w:spacing w:before="60" w:after="40"/>
            </w:pPr>
            <w:r>
              <w:rPr>
                <w:rFonts w:ascii="Calibri" w:hAnsi="Calibri"/>
                <w:b w:val="0"/>
                <w:i w:val="0"/>
                <w:color w:val="5A5A5A"/>
                <w:sz w:val="18"/>
              </w:rPr>
              <w:t>#biomass  #chulha  #indoorairpollution  #ruralwomen  #householdsmoke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Heavy, sustained alcohol intake is associated with a modest increase in cataract risk through oxidative stress and poorer nutrition; light-to-moderate intake shows no consistent effect.</w:t>
            </w:r>
          </w:p>
          <w:p>
            <w:pPr>
              <w:spacing w:after="40" w:before="60" w:line="259" w:lineRule="auto"/>
            </w:pPr>
            <w:r>
              <w:rPr>
                <w:rFonts w:ascii="Calibri" w:hAnsi="Calibri"/>
                <w:b w:val="0"/>
                <w:i w:val="0"/>
                <w:color w:val="212121"/>
                <w:sz w:val="19"/>
              </w:rPr>
              <w:t>Heavy alcohol consumption shows a modest positive association with cataract in cohort studies.</w:t>
            </w:r>
          </w:p>
          <w:p>
            <w:pPr>
              <w:spacing w:before="60" w:after="40"/>
            </w:pPr>
            <w:r>
              <w:rPr>
                <w:rFonts w:ascii="Calibri" w:hAnsi="Calibri"/>
                <w:b w:val="0"/>
                <w:i w:val="0"/>
                <w:color w:val="5A5A5A"/>
                <w:sz w:val="18"/>
              </w:rPr>
              <w:t>#alcohol  #oxidativestress  #nutrition  #modifiable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Antioxidant-poor diet</w:t>
            </w:r>
          </w:p>
        </w:tc>
        <w:tc>
          <w:tcPr>
            <w:tcW w:type="dxa" w:w="2160"/>
            <w:vAlign w:val="top"/>
          </w:tcPr>
          <w:p>
            <w:pPr>
              <w:spacing w:after="40" w:before="0" w:line="259" w:lineRule="auto"/>
            </w:pPr>
            <w:r>
              <w:rPr>
                <w:rFonts w:ascii="Calibri" w:hAnsi="Calibri"/>
                <w:b w:val="0"/>
                <w:i w:val="0"/>
                <w:color w:val="212121"/>
                <w:sz w:val="19"/>
              </w:rPr>
              <w:t>Low intake of fruit, vegetables, and vitamin C</w:t>
            </w:r>
          </w:p>
        </w:tc>
        <w:tc>
          <w:tcPr>
            <w:tcW w:type="dxa" w:w="4276"/>
            <w:vAlign w:val="top"/>
          </w:tcPr>
          <w:p>
            <w:pPr>
              <w:spacing w:after="60" w:line="259" w:lineRule="auto"/>
            </w:pPr>
            <w:r>
              <w:rPr>
                <w:rFonts w:ascii="Calibri" w:hAnsi="Calibri"/>
                <w:b w:val="0"/>
                <w:i w:val="0"/>
                <w:color w:val="212121"/>
                <w:sz w:val="19"/>
              </w:rPr>
              <w:t>The lens depends on dietary antioxidants (vitamin C, carotenoids, lutein/zeaxanthin) to neutralise oxidative damage; diets low in fresh produce leave the lens less protected.</w:t>
            </w:r>
          </w:p>
          <w:p>
            <w:pPr>
              <w:spacing w:after="40" w:before="60" w:line="259" w:lineRule="auto"/>
            </w:pPr>
            <w:r>
              <w:rPr>
                <w:rFonts w:ascii="Calibri" w:hAnsi="Calibri"/>
                <w:b w:val="0"/>
                <w:i w:val="0"/>
                <w:color w:val="212121"/>
                <w:sz w:val="19"/>
              </w:rPr>
              <w:t>Higher dietary and serum antioxidant status is associated with lower cataract risk in observational studies.</w:t>
            </w:r>
          </w:p>
          <w:p>
            <w:pPr>
              <w:spacing w:before="60" w:after="40"/>
            </w:pPr>
            <w:r>
              <w:rPr>
                <w:rFonts w:ascii="Calibri" w:hAnsi="Calibri"/>
                <w:b w:val="0"/>
                <w:i w:val="0"/>
                <w:color w:val="5A5A5A"/>
                <w:sz w:val="18"/>
              </w:rPr>
              <w:t>#antioxidants  #vitaminC  #lutein  #diet  #freshproduce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 / dehydration</w:t>
            </w:r>
          </w:p>
        </w:tc>
        <w:tc>
          <w:tcPr>
            <w:tcW w:type="dxa" w:w="2160"/>
            <w:vAlign w:val="top"/>
          </w:tcPr>
          <w:p>
            <w:pPr>
              <w:spacing w:after="40" w:before="0" w:line="259" w:lineRule="auto"/>
            </w:pPr>
            <w:r>
              <w:rPr>
                <w:rFonts w:ascii="Calibri" w:hAnsi="Calibri"/>
                <w:b w:val="0"/>
                <w:i w:val="0"/>
                <w:color w:val="212121"/>
                <w:sz w:val="19"/>
              </w:rPr>
              <w:t>Chronically undernourished; severe diarrhoeal illness</w:t>
            </w:r>
          </w:p>
        </w:tc>
        <w:tc>
          <w:tcPr>
            <w:tcW w:type="dxa" w:w="4276"/>
            <w:vAlign w:val="top"/>
          </w:tcPr>
          <w:p>
            <w:pPr>
              <w:spacing w:after="60" w:line="259" w:lineRule="auto"/>
            </w:pPr>
            <w:r>
              <w:rPr>
                <w:rFonts w:ascii="Calibri" w:hAnsi="Calibri"/>
                <w:b w:val="0"/>
                <w:i w:val="0"/>
                <w:color w:val="212121"/>
                <w:sz w:val="19"/>
              </w:rPr>
              <w:t>Protein-energy and micronutrient malnutrition and episodes of severe dehydrating diarrhoea deplete lens antioxidant reserves and have been linked to earlier cataract in resource-poor settings.</w:t>
            </w:r>
          </w:p>
          <w:p>
            <w:pPr>
              <w:spacing w:after="40" w:before="60" w:line="259" w:lineRule="auto"/>
            </w:pPr>
            <w:r>
              <w:rPr>
                <w:rFonts w:ascii="Calibri" w:hAnsi="Calibri"/>
                <w:b w:val="0"/>
                <w:i w:val="0"/>
                <w:color w:val="212121"/>
                <w:sz w:val="19"/>
              </w:rPr>
              <w:t>Undernutrition and severe dehydrating illness are recognised contributors to early cataract in low-resource populations.</w:t>
            </w:r>
          </w:p>
          <w:p>
            <w:pPr>
              <w:spacing w:before="60" w:after="40"/>
            </w:pPr>
            <w:r>
              <w:rPr>
                <w:rFonts w:ascii="Calibri" w:hAnsi="Calibri"/>
                <w:b w:val="0"/>
                <w:i w:val="0"/>
                <w:color w:val="5A5A5A"/>
                <w:sz w:val="18"/>
              </w:rPr>
              <w:t>#malnutrition  #dehydration  #micronutrients  #earlycataract  #lowresource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age-related cataract</w:t>
            </w:r>
          </w:p>
        </w:tc>
        <w:tc>
          <w:tcPr>
            <w:tcW w:type="dxa" w:w="4276"/>
            <w:vAlign w:val="top"/>
          </w:tcPr>
          <w:p>
            <w:pPr>
              <w:spacing w:after="60" w:line="259" w:lineRule="auto"/>
            </w:pPr>
            <w:r>
              <w:rPr>
                <w:rFonts w:ascii="Calibri" w:hAnsi="Calibri"/>
                <w:b w:val="0"/>
                <w:i w:val="0"/>
                <w:color w:val="212121"/>
                <w:sz w:val="19"/>
              </w:rPr>
              <w:t>Age-related cataract is partly heritable; a family history of early or dense cataract raises an individual's risk over and above shared environment.</w:t>
            </w:r>
          </w:p>
          <w:p>
            <w:pPr>
              <w:spacing w:after="40" w:before="60" w:line="259" w:lineRule="auto"/>
            </w:pPr>
            <w:r>
              <w:rPr>
                <w:rFonts w:ascii="Calibri" w:hAnsi="Calibri"/>
                <w:b w:val="0"/>
                <w:i w:val="0"/>
                <w:color w:val="212121"/>
                <w:sz w:val="19"/>
              </w:rPr>
              <w:t>A substantial proportion of age-related cataract susceptibility is heritable.</w:t>
            </w:r>
          </w:p>
          <w:p>
            <w:pPr>
              <w:spacing w:before="60" w:after="40"/>
            </w:pPr>
            <w:r>
              <w:rPr>
                <w:rFonts w:ascii="Calibri" w:hAnsi="Calibri"/>
                <w:b w:val="0"/>
                <w:i w:val="0"/>
                <w:color w:val="5A5A5A"/>
                <w:sz w:val="18"/>
              </w:rPr>
              <w:t>#familyhistory  #heritability  #genetics  #earlyonset  #crystallins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 hereditary</w:t>
            </w:r>
          </w:p>
        </w:tc>
        <w:tc>
          <w:tcPr>
            <w:tcW w:type="dxa" w:w="2160"/>
            <w:vAlign w:val="top"/>
          </w:tcPr>
          <w:p>
            <w:pPr>
              <w:spacing w:after="40" w:before="0" w:line="259" w:lineRule="auto"/>
            </w:pPr>
            <w:r>
              <w:rPr>
                <w:rFonts w:ascii="Calibri" w:hAnsi="Calibri"/>
                <w:b w:val="0"/>
                <w:i w:val="0"/>
                <w:color w:val="212121"/>
                <w:sz w:val="19"/>
              </w:rPr>
              <w:t>Consanguineous families; inherited or maternal-infection cataract</w:t>
            </w:r>
          </w:p>
        </w:tc>
        <w:tc>
          <w:tcPr>
            <w:tcW w:type="dxa" w:w="4276"/>
            <w:vAlign w:val="top"/>
          </w:tcPr>
          <w:p>
            <w:pPr>
              <w:spacing w:after="60" w:line="259" w:lineRule="auto"/>
            </w:pPr>
            <w:r>
              <w:rPr>
                <w:rFonts w:ascii="Calibri" w:hAnsi="Calibri"/>
                <w:b w:val="0"/>
                <w:i w:val="0"/>
                <w:color w:val="212121"/>
                <w:sz w:val="19"/>
              </w:rPr>
              <w:t>Congenital and developmental cataract may be inherited (often autosomal dominant) or follow maternal infection (e.g., rubella) or galactosaemia; consanguinity, seen in some Indian communities, increases the risk of recessive congenital cataract and childhood blindness.</w:t>
            </w:r>
          </w:p>
          <w:p>
            <w:pPr>
              <w:spacing w:after="40" w:before="60" w:line="259" w:lineRule="auto"/>
            </w:pPr>
            <w:r>
              <w:rPr>
                <w:rFonts w:ascii="Calibri" w:hAnsi="Calibri"/>
                <w:b w:val="0"/>
                <w:i w:val="0"/>
                <w:color w:val="212121"/>
                <w:sz w:val="19"/>
              </w:rPr>
              <w:t>Maternal infections (rubella, measles), poor maternal nutrition, and hereditary factors are recognised causes of congenital cataract.</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#congenital  #consanguinity  #rubella  #galactosaemia  #childhoodblindness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People with diabetes</w:t>
            </w:r>
          </w:p>
        </w:tc>
        <w:tc>
          <w:tcPr>
            <w:tcW w:type="dxa" w:w="4276"/>
            <w:vAlign w:val="top"/>
          </w:tcPr>
          <w:p>
            <w:pPr>
              <w:spacing w:after="60" w:line="259" w:lineRule="auto"/>
            </w:pPr>
            <w:r>
              <w:rPr>
                <w:rFonts w:ascii="Calibri" w:hAnsi="Calibri"/>
                <w:b w:val="0"/>
                <w:i w:val="0"/>
                <w:color w:val="212121"/>
                <w:sz w:val="19"/>
              </w:rPr>
              <w:t>Chronic hyperglycaemia drives sorbitol accumulation and glycation in the lens, causing earlier and faster cataract—classically posterior subcapsular or the acute “snowflake” cataract in poorly controlled young patients.</w:t>
            </w:r>
          </w:p>
          <w:p>
            <w:pPr>
              <w:spacing w:after="40" w:before="60" w:line="259" w:lineRule="auto"/>
            </w:pPr>
            <w:r>
              <w:rPr>
                <w:rFonts w:ascii="Calibri" w:hAnsi="Calibri"/>
                <w:b w:val="0"/>
                <w:i w:val="0"/>
                <w:color w:val="212121"/>
                <w:sz w:val="19"/>
              </w:rPr>
              <w:t>Diabetes causes snowflake cortical opacities that can occur in young patients and accelerates age-related cataract.</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#diabetes  #snowflakecataract  #PSC  #hyperglycaemia  #earlycataract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corticosteroid therapy</w:t>
            </w:r>
          </w:p>
        </w:tc>
        <w:tc>
          <w:tcPr>
            <w:tcW w:type="dxa" w:w="2160"/>
            <w:vAlign w:val="top"/>
          </w:tcPr>
          <w:p>
            <w:pPr>
              <w:spacing w:after="40" w:before="0" w:line="259" w:lineRule="auto"/>
            </w:pPr>
            <w:r>
              <w:rPr>
                <w:rFonts w:ascii="Calibri" w:hAnsi="Calibri"/>
                <w:b w:val="0"/>
                <w:i w:val="0"/>
                <w:color w:val="212121"/>
                <w:sz w:val="19"/>
              </w:rPr>
              <w:t>Long-term steroid users (asthma/COPD, RA, nephrotic syndrome, transplant)</w:t>
            </w:r>
          </w:p>
        </w:tc>
        <w:tc>
          <w:tcPr>
            <w:tcW w:type="dxa" w:w="4276"/>
            <w:vAlign w:val="top"/>
          </w:tcPr>
          <w:p>
            <w:pPr>
              <w:spacing w:after="60" w:line="259" w:lineRule="auto"/>
            </w:pPr>
            <w:r>
              <w:rPr>
                <w:rFonts w:ascii="Calibri" w:hAnsi="Calibri"/>
                <w:b w:val="0"/>
                <w:i w:val="0"/>
                <w:color w:val="212121"/>
                <w:sz w:val="19"/>
              </w:rPr>
              <w:t>Prolonged topical or systemic corticosteroids induce posterior subcapsular cataract in a dose- and duration-dependent manner, often in people younger than the typical senile-cataract age.</w:t>
            </w:r>
          </w:p>
          <w:p>
            <w:pPr>
              <w:spacing w:after="40" w:before="60" w:line="259" w:lineRule="auto"/>
            </w:pPr>
            <w:r>
              <w:rPr>
                <w:rFonts w:ascii="Calibri" w:hAnsi="Calibri"/>
                <w:b w:val="0"/>
                <w:i w:val="0"/>
                <w:color w:val="212121"/>
                <w:sz w:val="19"/>
              </w:rPr>
              <w:t>Topical and systemic corticosteroids are established causes of (posterior subcapsular) cataract.</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#steroids  #PSC  #iatrogenic  #immunosuppression  #druginduced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ocular disease</w:t>
            </w:r>
          </w:p>
        </w:tc>
        <w:tc>
          <w:tcPr>
            <w:tcW w:type="dxa" w:w="2160"/>
            <w:vAlign w:val="top"/>
          </w:tcPr>
          <w:p>
            <w:pPr>
              <w:spacing w:after="40" w:before="0" w:line="259" w:lineRule="auto"/>
            </w:pPr>
            <w:r>
              <w:rPr>
                <w:rFonts w:ascii="Calibri" w:hAnsi="Calibri"/>
                <w:b w:val="0"/>
                <w:i w:val="0"/>
                <w:color w:val="212121"/>
                <w:sz w:val="19"/>
              </w:rPr>
              <w:t>Chronic uveitis, high myopia, retinitis pigmentosa, prior vitreoretinal surgery</w:t>
            </w:r>
          </w:p>
        </w:tc>
        <w:tc>
          <w:tcPr>
            <w:tcW w:type="dxa" w:w="4276"/>
            <w:vAlign w:val="top"/>
          </w:tcPr>
          <w:p>
            <w:pPr>
              <w:spacing w:after="60" w:line="259" w:lineRule="auto"/>
            </w:pPr>
            <w:r>
              <w:rPr>
                <w:rFonts w:ascii="Calibri" w:hAnsi="Calibri"/>
                <w:b w:val="0"/>
                <w:i w:val="0"/>
                <w:color w:val="212121"/>
                <w:sz w:val="19"/>
              </w:rPr>
              <w:t>Longstanding intraocular inflammation and other eye disease disturb lens metabolism and produce secondary (complicated) cataract, frequently posterior subcapsular and at a younger age.</w:t>
            </w:r>
          </w:p>
          <w:p>
            <w:pPr>
              <w:spacing w:after="40" w:before="60" w:line="259" w:lineRule="auto"/>
            </w:pPr>
            <w:r>
              <w:rPr>
                <w:rFonts w:ascii="Calibri" w:hAnsi="Calibri"/>
                <w:b w:val="0"/>
                <w:i w:val="0"/>
                <w:color w:val="212121"/>
                <w:sz w:val="19"/>
              </w:rPr>
              <w:t>Chronic uveitis, angle-closure glaucoma, high myopia, and retinal dystrophies are recognised secondary causes of cataract.</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#uveitis  #highmyopia  #retinitispigmentosa  #complicatedcataract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Ocular trauma</w:t>
            </w:r>
          </w:p>
        </w:tc>
        <w:tc>
          <w:tcPr>
            <w:tcW w:type="dxa" w:w="2160"/>
            <w:vAlign w:val="top"/>
          </w:tcPr>
          <w:p>
            <w:pPr>
              <w:spacing w:after="40" w:before="0" w:line="259" w:lineRule="auto"/>
            </w:pPr>
            <w:r>
              <w:rPr>
                <w:rFonts w:ascii="Calibri" w:hAnsi="Calibri"/>
                <w:b w:val="0"/>
                <w:i w:val="0"/>
                <w:color w:val="212121"/>
                <w:sz w:val="19"/>
              </w:rPr>
              <w:t>Eye-injury patients (young adults, occupational, sports)</w:t>
            </w:r>
          </w:p>
        </w:tc>
        <w:tc>
          <w:tcPr>
            <w:tcW w:type="dxa" w:w="4276"/>
            <w:vAlign w:val="top"/>
          </w:tcPr>
          <w:p>
            <w:pPr>
              <w:spacing w:after="60" w:line="259" w:lineRule="auto"/>
            </w:pPr>
            <w:r>
              <w:rPr>
                <w:rFonts w:ascii="Calibri" w:hAnsi="Calibri"/>
                <w:b w:val="0"/>
                <w:i w:val="0"/>
                <w:color w:val="212121"/>
                <w:sz w:val="19"/>
              </w:rPr>
              <w:t>Blunt or penetrating ocular injury and intraocular foreign bodies disrupt the lens capsule or fibres, producing traumatic cataract that is usually unilateral and may progress rapidly.</w:t>
            </w:r>
          </w:p>
          <w:p>
            <w:pPr>
              <w:spacing w:after="40" w:before="60" w:line="259" w:lineRule="auto"/>
            </w:pPr>
            <w:r>
              <w:rPr>
                <w:rFonts w:ascii="Calibri" w:hAnsi="Calibri"/>
                <w:b w:val="0"/>
                <w:i w:val="0"/>
                <w:color w:val="212121"/>
                <w:sz w:val="19"/>
              </w:rPr>
              <w:t>Trauma is the most common cause of unilateral cataracts in young adults.</w:t>
            </w:r>
          </w:p>
          <w:p>
            <w:pPr>
              <w:spacing w:after="40" w:line="252" w:lineRule="auto"/>
            </w:pPr>
            <w:hyperlink r:id="rId9">
              <w:r>
                <w:rPr>
                  <w:rFonts w:ascii="Calibri" w:hAnsi="Calibri" w:cs="Calibri"/>
                  <w:sz w:val="18"/>
                  <w:color w:val="1155CC"/>
                  <w:u w:val="single"/>
                </w:rPr>
                <w:t xml:space="preserve">ncbi.nlm.nih.gov/books/NBK539699 — StatPearls: Cataract</w:t>
              </w:r>
            </w:hyperlink>
          </w:p>
          <w:p>
            <w:pPr>
              <w:spacing w:before="60" w:after="40"/>
            </w:pPr>
            <w:r>
              <w:rPr>
                <w:rFonts w:ascii="Calibri" w:hAnsi="Calibri"/>
                <w:b w:val="0"/>
                <w:i w:val="0"/>
                <w:color w:val="5A5A5A"/>
                <w:sz w:val="18"/>
              </w:rPr>
              <w:t>#trauma  #unilateral  #occupationalinjury  #youngadults  #penetratinginjury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effect on the lens; benefit is indirect, through control of diabetes, obesity, and blood pressure, which lower the risk of metabolic and posterior subcapsular cataract.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Diets rich in antioxidants (vitamin C, carotenoids, lutein/zeaxanthin) and adequate protein are associated with lower cataract risk, whereas undernutrition and micronutrient deficiency accelerate lens opacification.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sleep duration/quality and cataract formation; any effect is likely indirect via metabolic health.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smoking (cigarettes and bidis) is a strong, dose-dependent risk factor for nuclear cataract; risk declines slowly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drinking is modestly associated with higher cataract risk; light-to-moderate intake shows no consistent association.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in cataract formation, but cataract-related vision loss increases depression and social isolation in the elderly (a bidirectional impact on wellbeing).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Severe dehydrating illness (recurrent diarrhoeal crises) has historically been linked to early cataract; routine hydration has only a weak, indirect relationship.</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moderate coffee/tea intake has no clear effect on cataract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of cataract, but ocular and peri-operative hygiene is critical to prevent post-surgical endophthalmitis after cataract extraction.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External provocateurs are central to cataractogenesis: cumulative UV-B/sunlight, ionising and infrared radiation, ocular trauma, and corticosteroid exposure each independently accelerate lens opacification.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18.5-24.9 kg/m² (Asian-Indian cut-off 18.5-22.9)</w:t>
            </w:r>
          </w:p>
        </w:tc>
        <w:tc>
          <w:tcPr>
            <w:tcW w:type="dxa" w:w="1512"/>
            <w:vAlign w:val="top"/>
          </w:tcPr>
          <w:p>
            <w:pPr>
              <w:spacing w:after="40" w:before="0" w:line="259" w:lineRule="auto"/>
            </w:pPr>
            <w:r>
              <w:rPr>
                <w:rFonts w:ascii="Calibri" w:hAnsi="Calibri"/>
                <w:b w:val="0"/>
                <w:i w:val="0"/>
                <w:color w:val="212121"/>
                <w:sz w:val="19"/>
              </w:rPr>
              <w:t>≥ 23-25 (overweight); ≥ 30 (obesity)</w:t>
            </w:r>
          </w:p>
        </w:tc>
        <w:tc>
          <w:tcPr>
            <w:tcW w:type="dxa" w:w="1468"/>
            <w:vAlign w:val="top"/>
          </w:tcPr>
          <w:p>
            <w:pPr>
              <w:spacing w:after="40" w:before="0" w:line="259" w:lineRule="auto"/>
            </w:pPr>
            <w:r>
              <w:rPr>
                <w:rFonts w:ascii="Calibri" w:hAnsi="Calibri"/>
                <w:b w:val="0"/>
                <w:i w:val="0"/>
                <w:color w:val="212121"/>
                <w:sz w:val="19"/>
              </w:rPr>
              <w:t>Obesity clusters with diabetes and metabolic risk, indirectly promoting cataract.</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Diabetics, prediabetics</w:t>
            </w:r>
          </w:p>
        </w:tc>
        <w:tc>
          <w:tcPr>
            <w:tcW w:type="dxa" w:w="1512"/>
            <w:vAlign w:val="top"/>
          </w:tcPr>
          <w:p>
            <w:pPr>
              <w:spacing w:after="40" w:before="0" w:line="259" w:lineRule="auto"/>
            </w:pPr>
            <w:r>
              <w:rPr>
                <w:rFonts w:ascii="Calibri" w:hAnsi="Calibri"/>
                <w:b w:val="0"/>
                <w:i w:val="0"/>
                <w:color w:val="212121"/>
                <w:sz w:val="19"/>
              </w:rPr>
              <w:t>&lt; 5.7% (non-diabetic); ≤ 7% target if diabetic</w:t>
            </w:r>
          </w:p>
        </w:tc>
        <w:tc>
          <w:tcPr>
            <w:tcW w:type="dxa" w:w="1512"/>
            <w:vAlign w:val="top"/>
          </w:tcPr>
          <w:p>
            <w:pPr>
              <w:spacing w:after="40" w:before="0" w:line="259" w:lineRule="auto"/>
            </w:pPr>
            <w:r>
              <w:rPr>
                <w:rFonts w:ascii="Calibri" w:hAnsi="Calibri"/>
                <w:b w:val="0"/>
                <w:i w:val="0"/>
                <w:color w:val="212121"/>
                <w:sz w:val="19"/>
              </w:rPr>
              <w:t>≥ 6.5% (diabetes) / poor control</w:t>
            </w:r>
          </w:p>
        </w:tc>
        <w:tc>
          <w:tcPr>
            <w:tcW w:type="dxa" w:w="1468"/>
            <w:vAlign w:val="top"/>
          </w:tcPr>
          <w:p>
            <w:pPr>
              <w:spacing w:after="60" w:line="259" w:lineRule="auto"/>
            </w:pPr>
            <w:r>
              <w:rPr>
                <w:rFonts w:ascii="Calibri" w:hAnsi="Calibri"/>
                <w:b w:val="0"/>
                <w:i w:val="0"/>
                <w:color w:val="212121"/>
                <w:sz w:val="19"/>
              </w:rPr>
              <w:t>Chronic hyperglycaemia accelerates diabetic and posterior subcapsular cataract.</w:t>
            </w:r>
          </w:p>
          <w:p>
            <w:pPr>
              <w:spacing w:after="40" w:line="252" w:lineRule="auto"/>
            </w:pPr>
            <w:hyperlink r:id="rId9">
              <w:r>
                <w:rPr>
                  <w:rFonts w:ascii="Calibri" w:hAnsi="Calibri" w:cs="Calibri"/>
                  <w:sz w:val="18"/>
                  <w:color w:val="1155CC"/>
                  <w:u w:val="single"/>
                </w:rPr>
                <w:t xml:space="preserve">https://www.ncbi.nlm.nih.gov/books/NBK539699/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Dietary/serum antioxidant status (vitamin C, carotenoids)</w:t>
            </w:r>
          </w:p>
        </w:tc>
        <w:tc>
          <w:tcPr>
            <w:tcW w:type="dxa" w:w="1655"/>
            <w:vAlign w:val="top"/>
          </w:tcPr>
          <w:p>
            <w:pPr>
              <w:spacing w:after="40" w:before="0" w:line="259" w:lineRule="auto"/>
            </w:pPr>
            <w:r>
              <w:rPr>
                <w:rFonts w:ascii="Calibri" w:hAnsi="Calibri"/>
                <w:b w:val="0"/>
                <w:i w:val="0"/>
                <w:color w:val="212121"/>
                <w:sz w:val="19"/>
              </w:rPr>
              <w:t>Elderly, undernourished</w:t>
            </w:r>
          </w:p>
        </w:tc>
        <w:tc>
          <w:tcPr>
            <w:tcW w:type="dxa" w:w="1512"/>
            <w:vAlign w:val="top"/>
          </w:tcPr>
          <w:p>
            <w:pPr>
              <w:spacing w:after="40" w:before="0" w:line="259" w:lineRule="auto"/>
            </w:pPr>
            <w:r>
              <w:rPr>
                <w:rFonts w:ascii="Calibri" w:hAnsi="Calibri"/>
                <w:b w:val="0"/>
                <w:i w:val="0"/>
                <w:color w:val="212121"/>
                <w:sz w:val="19"/>
              </w:rPr>
              <w:t>Adequate fruit/vegetable intake; normal serum vitamin C</w:t>
            </w:r>
          </w:p>
        </w:tc>
        <w:tc>
          <w:tcPr>
            <w:tcW w:type="dxa" w:w="1512"/>
            <w:vAlign w:val="top"/>
          </w:tcPr>
          <w:p>
            <w:pPr>
              <w:spacing w:after="40" w:before="0" w:line="259" w:lineRule="auto"/>
            </w:pPr>
            <w:r>
              <w:rPr>
                <w:rFonts w:ascii="Calibri" w:hAnsi="Calibri"/>
                <w:b w:val="0"/>
                <w:i w:val="0"/>
                <w:color w:val="212121"/>
                <w:sz w:val="19"/>
              </w:rPr>
              <w:t>Habitually low intake / deficiency</w:t>
            </w:r>
          </w:p>
        </w:tc>
        <w:tc>
          <w:tcPr>
            <w:tcW w:type="dxa" w:w="1468"/>
            <w:vAlign w:val="top"/>
          </w:tcPr>
          <w:p>
            <w:pPr>
              <w:spacing w:after="40" w:before="0" w:line="259" w:lineRule="auto"/>
            </w:pPr>
            <w:r>
              <w:rPr>
                <w:rFonts w:ascii="Calibri" w:hAnsi="Calibri"/>
                <w:b w:val="0"/>
                <w:i w:val="0"/>
                <w:color w:val="212121"/>
                <w:sz w:val="19"/>
              </w:rPr>
              <w:t>Low antioxidant status leaves the lens vulnerable to oxidative opacification.</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elderly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current smoking raises nuclear cataract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exposure (pack-years)</w:t>
            </w:r>
          </w:p>
        </w:tc>
        <w:tc>
          <w:tcPr>
            <w:tcW w:type="dxa" w:w="1655"/>
            <w:vAlign w:val="top"/>
          </w:tcPr>
          <w:p>
            <w:pPr>
              <w:spacing w:after="40" w:before="0" w:line="259" w:lineRule="auto"/>
            </w:pPr>
            <w:r>
              <w:rPr>
                <w:rFonts w:ascii="Calibri" w:hAnsi="Calibri"/>
                <w:b w:val="0"/>
                <w:i w:val="0"/>
                <w:color w:val="212121"/>
                <w:sz w:val="19"/>
              </w:rPr>
              <w:t>Long-term smokers</w:t>
            </w:r>
          </w:p>
        </w:tc>
        <w:tc>
          <w:tcPr>
            <w:tcW w:type="dxa" w:w="1512"/>
            <w:vAlign w:val="top"/>
          </w:tcPr>
          <w:p>
            <w:pPr>
              <w:spacing w:after="40" w:before="0" w:line="259" w:lineRule="auto"/>
            </w:pPr>
            <w:r>
              <w:rPr>
                <w:rFonts w:ascii="Calibri" w:hAnsi="Calibri"/>
                <w:b w:val="0"/>
                <w:i w:val="0"/>
                <w:color w:val="212121"/>
                <w:sz w:val="19"/>
              </w:rPr>
              <w:t>0 pack-years</w:t>
            </w:r>
          </w:p>
        </w:tc>
        <w:tc>
          <w:tcPr>
            <w:tcW w:type="dxa" w:w="1512"/>
            <w:vAlign w:val="top"/>
          </w:tcPr>
          <w:p>
            <w:pPr>
              <w:spacing w:after="40" w:before="0" w:line="259" w:lineRule="auto"/>
            </w:pPr>
            <w:r>
              <w:rPr>
                <w:rFonts w:ascii="Calibri" w:hAnsi="Calibri"/>
                <w:b w:val="0"/>
                <w:i w:val="0"/>
                <w:color w:val="212121"/>
                <w:sz w:val="19"/>
              </w:rPr>
              <w:t>Rising pack-years (dose-dependent)</w:t>
            </w:r>
          </w:p>
        </w:tc>
        <w:tc>
          <w:tcPr>
            <w:tcW w:type="dxa" w:w="1468"/>
            <w:vAlign w:val="top"/>
          </w:tcPr>
          <w:p>
            <w:pPr>
              <w:spacing w:after="40" w:before="0" w:line="259" w:lineRule="auto"/>
            </w:pPr>
            <w:r>
              <w:rPr>
                <w:rFonts w:ascii="Calibri" w:hAnsi="Calibri"/>
                <w:b w:val="0"/>
                <w:i w:val="0"/>
                <w:color w:val="212121"/>
                <w:sz w:val="19"/>
              </w:rPr>
              <w:t>Cataract risk rises with cumulative tobacco exposure and falls slowly after quitting.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14 drinks/week (lower is better)</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Heavy intake is modestly associated with higher cataract risk.</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UV protection (sunglasses / broad-brim hat outdoors)</w:t>
            </w:r>
          </w:p>
        </w:tc>
        <w:tc>
          <w:tcPr>
            <w:tcW w:type="dxa" w:w="1655"/>
            <w:vAlign w:val="top"/>
          </w:tcPr>
          <w:p>
            <w:pPr>
              <w:spacing w:after="40" w:before="0" w:line="259" w:lineRule="auto"/>
            </w:pPr>
            <w:r>
              <w:rPr>
                <w:rFonts w:ascii="Calibri" w:hAnsi="Calibri"/>
                <w:b w:val="0"/>
                <w:i w:val="0"/>
                <w:color w:val="212121"/>
                <w:sz w:val="19"/>
              </w:rPr>
              <w:t>Outdoor and high-sunlight workers</w:t>
            </w:r>
          </w:p>
        </w:tc>
        <w:tc>
          <w:tcPr>
            <w:tcW w:type="dxa" w:w="1512"/>
            <w:vAlign w:val="top"/>
          </w:tcPr>
          <w:p>
            <w:pPr>
              <w:spacing w:after="40" w:before="0" w:line="259" w:lineRule="auto"/>
            </w:pPr>
            <w:r>
              <w:rPr>
                <w:rFonts w:ascii="Calibri" w:hAnsi="Calibri"/>
                <w:b w:val="0"/>
                <w:i w:val="0"/>
                <w:color w:val="212121"/>
                <w:sz w:val="19"/>
              </w:rPr>
              <w:t>UV-blocking eyewear/hat used outdoors</w:t>
            </w:r>
          </w:p>
        </w:tc>
        <w:tc>
          <w:tcPr>
            <w:tcW w:type="dxa" w:w="1512"/>
            <w:vAlign w:val="top"/>
          </w:tcPr>
          <w:p>
            <w:pPr>
              <w:spacing w:after="40" w:before="0" w:line="259" w:lineRule="auto"/>
            </w:pPr>
            <w:r>
              <w:rPr>
                <w:rFonts w:ascii="Calibri" w:hAnsi="Calibri"/>
                <w:b w:val="0"/>
                <w:i w:val="0"/>
                <w:color w:val="212121"/>
                <w:sz w:val="19"/>
              </w:rPr>
              <w:t>Chronic unprotected sun exposure</w:t>
            </w:r>
          </w:p>
        </w:tc>
        <w:tc>
          <w:tcPr>
            <w:tcW w:type="dxa" w:w="1468"/>
            <w:vAlign w:val="top"/>
          </w:tcPr>
          <w:p>
            <w:pPr>
              <w:spacing w:after="60" w:line="259" w:lineRule="auto"/>
            </w:pPr>
            <w:r>
              <w:rPr>
                <w:rFonts w:ascii="Calibri" w:hAnsi="Calibri"/>
                <w:b w:val="0"/>
                <w:i w:val="0"/>
                <w:color w:val="212121"/>
                <w:sz w:val="19"/>
              </w:rPr>
              <w:t>Reducing cumulative UV-B lowers cortical cataract risk.</w:t>
            </w:r>
          </w:p>
          <w:p>
            <w:pPr>
              <w:spacing w:after="40" w:line="252" w:lineRule="auto"/>
            </w:pPr>
            <w:hyperlink r:id="rId9">
              <w:r>
                <w:rPr>
                  <w:rFonts w:ascii="Calibri" w:hAnsi="Calibri" w:cs="Calibri"/>
                  <w:sz w:val="18"/>
                  <w:color w:val="1155CC"/>
                  <w:u w:val="single"/>
                </w:rPr>
                <w:t xml:space="preserve">https://www.ncbi.nlm.nih.gov/books/NBK539699/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corticosteroid exposure</w:t>
            </w:r>
          </w:p>
        </w:tc>
        <w:tc>
          <w:tcPr>
            <w:tcW w:type="dxa" w:w="1655"/>
            <w:vAlign w:val="top"/>
          </w:tcPr>
          <w:p>
            <w:pPr>
              <w:spacing w:after="40" w:before="0" w:line="259" w:lineRule="auto"/>
            </w:pPr>
            <w:r>
              <w:rPr>
                <w:rFonts w:ascii="Calibri" w:hAnsi="Calibri"/>
                <w:b w:val="0"/>
                <w:i w:val="0"/>
                <w:color w:val="212121"/>
                <w:sz w:val="19"/>
              </w:rPr>
              <w:t>Chronic steroid users</w:t>
            </w:r>
          </w:p>
        </w:tc>
        <w:tc>
          <w:tcPr>
            <w:tcW w:type="dxa" w:w="1512"/>
            <w:vAlign w:val="top"/>
          </w:tcPr>
          <w:p>
            <w:pPr>
              <w:spacing w:after="40" w:before="0" w:line="259" w:lineRule="auto"/>
            </w:pPr>
            <w:r>
              <w:rPr>
                <w:rFonts w:ascii="Calibri" w:hAnsi="Calibri"/>
                <w:b w:val="0"/>
                <w:i w:val="0"/>
                <w:color w:val="212121"/>
                <w:sz w:val="19"/>
              </w:rPr>
              <w:t>None / lowest effective dose and duration</w:t>
            </w:r>
          </w:p>
        </w:tc>
        <w:tc>
          <w:tcPr>
            <w:tcW w:type="dxa" w:w="1512"/>
            <w:vAlign w:val="top"/>
          </w:tcPr>
          <w:p>
            <w:pPr>
              <w:spacing w:after="40" w:before="0" w:line="259" w:lineRule="auto"/>
            </w:pPr>
            <w:r>
              <w:rPr>
                <w:rFonts w:ascii="Calibri" w:hAnsi="Calibri"/>
                <w:b w:val="0"/>
                <w:i w:val="0"/>
                <w:color w:val="212121"/>
                <w:sz w:val="19"/>
              </w:rPr>
              <w:t>Prolonged topical or systemic steroids</w:t>
            </w:r>
          </w:p>
        </w:tc>
        <w:tc>
          <w:tcPr>
            <w:tcW w:type="dxa" w:w="1468"/>
            <w:vAlign w:val="top"/>
          </w:tcPr>
          <w:p>
            <w:pPr>
              <w:spacing w:after="60" w:line="259" w:lineRule="auto"/>
            </w:pPr>
            <w:r>
              <w:rPr>
                <w:rFonts w:ascii="Calibri" w:hAnsi="Calibri"/>
                <w:b w:val="0"/>
                <w:i w:val="0"/>
                <w:color w:val="212121"/>
                <w:sz w:val="19"/>
              </w:rPr>
              <w:t>Dose- and duration-dependent posterior subcapsular cataract.</w:t>
            </w:r>
          </w:p>
          <w:p>
            <w:pPr>
              <w:spacing w:after="40" w:line="252" w:lineRule="auto"/>
            </w:pPr>
            <w:hyperlink r:id="rId9">
              <w:r>
                <w:rPr>
                  <w:rFonts w:ascii="Calibri" w:hAnsi="Calibri" w:cs="Calibri"/>
                  <w:sz w:val="18"/>
                  <w:color w:val="1155CC"/>
                  <w:u w:val="single"/>
                </w:rPr>
                <w:t xml:space="preserve">https://www.ncbi.nlm.nih.gov/books/NBK539699/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Best-Corrected Visual Acuity (Snellen/logMAR)</w:t>
            </w:r>
          </w:p>
        </w:tc>
        <w:tc>
          <w:tcPr>
            <w:tcW w:type="dxa" w:w="892"/>
            <w:vAlign w:val="top"/>
          </w:tcPr>
          <w:p>
            <w:pPr>
              <w:spacing w:after="40" w:before="0" w:line="259" w:lineRule="auto"/>
            </w:pPr>
            <w:r>
              <w:rPr>
                <w:rFonts w:ascii="Calibri" w:hAnsi="Calibri"/>
                <w:b w:val="0"/>
                <w:i w:val="0"/>
                <w:color w:val="212121"/>
                <w:sz w:val="16"/>
              </w:rPr>
              <w:t>Visual acuity testing</w:t>
            </w:r>
          </w:p>
        </w:tc>
        <w:tc>
          <w:tcPr>
            <w:tcW w:type="dxa" w:w="950"/>
            <w:vAlign w:val="top"/>
          </w:tcPr>
          <w:p>
            <w:pPr>
              <w:spacing w:after="40" w:before="0" w:line="259" w:lineRule="auto"/>
            </w:pPr>
            <w:r>
              <w:rPr>
                <w:rFonts w:ascii="Calibri" w:hAnsi="Calibri"/>
                <w:b w:val="0"/>
                <w:i w:val="0"/>
                <w:color w:val="212121"/>
                <w:sz w:val="16"/>
              </w:rPr>
              <w:t>6/6 (0.0 logMAR)</w:t>
            </w:r>
          </w:p>
        </w:tc>
        <w:tc>
          <w:tcPr>
            <w:tcW w:type="dxa" w:w="950"/>
            <w:vAlign w:val="top"/>
          </w:tcPr>
          <w:p>
            <w:pPr>
              <w:spacing w:after="40" w:before="0" w:line="259" w:lineRule="auto"/>
            </w:pPr>
            <w:r>
              <w:rPr>
                <w:rFonts w:ascii="Calibri" w:hAnsi="Calibri"/>
                <w:b w:val="0"/>
                <w:i w:val="0"/>
                <w:color w:val="212121"/>
                <w:sz w:val="16"/>
              </w:rPr>
              <w:t>≤ 6/12 or worse, not improved by pinhole</w:t>
            </w:r>
          </w:p>
        </w:tc>
        <w:tc>
          <w:tcPr>
            <w:tcW w:type="dxa" w:w="1036"/>
            <w:vAlign w:val="top"/>
          </w:tcPr>
          <w:p>
            <w:pPr>
              <w:spacing w:after="40" w:before="0" w:line="259" w:lineRule="auto"/>
            </w:pPr>
            <w:r>
              <w:rPr>
                <w:rFonts w:ascii="Calibri" w:hAnsi="Calibri"/>
                <w:b w:val="0"/>
                <w:i w:val="0"/>
                <w:color w:val="212121"/>
                <w:sz w:val="16"/>
              </w:rPr>
              <w:t>Quantifies functional visual loss and helps time surgery</w:t>
            </w:r>
          </w:p>
        </w:tc>
        <w:tc>
          <w:tcPr>
            <w:tcW w:type="dxa" w:w="1036"/>
            <w:vAlign w:val="top"/>
          </w:tcPr>
          <w:p>
            <w:pPr>
              <w:spacing w:after="40" w:before="0" w:line="259" w:lineRule="auto"/>
            </w:pPr>
            <w:r>
              <w:rPr>
                <w:rFonts w:ascii="Calibri" w:hAnsi="Calibri"/>
                <w:b w:val="0"/>
                <w:i w:val="0"/>
                <w:color w:val="212121"/>
                <w:sz w:val="16"/>
              </w:rPr>
              <w:t>Elderly, diabetics, symptomatic adults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Assess glare disability separately; acuity may under-state PSC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Slit-lamp biomicroscopy (dilated) with LOCS III grading</w:t>
            </w:r>
          </w:p>
        </w:tc>
        <w:tc>
          <w:tcPr>
            <w:tcW w:type="dxa" w:w="892"/>
            <w:vAlign w:val="top"/>
          </w:tcPr>
          <w:p>
            <w:pPr>
              <w:spacing w:after="40" w:before="0" w:line="259" w:lineRule="auto"/>
            </w:pPr>
            <w:r>
              <w:rPr>
                <w:rFonts w:ascii="Calibri" w:hAnsi="Calibri"/>
                <w:b w:val="0"/>
                <w:i w:val="0"/>
                <w:color w:val="212121"/>
                <w:sz w:val="16"/>
              </w:rPr>
              <w:t>Slit-lamp examination</w:t>
            </w:r>
          </w:p>
        </w:tc>
        <w:tc>
          <w:tcPr>
            <w:tcW w:type="dxa" w:w="950"/>
            <w:vAlign w:val="top"/>
          </w:tcPr>
          <w:p>
            <w:pPr>
              <w:spacing w:after="40" w:before="0" w:line="259" w:lineRule="auto"/>
            </w:pPr>
            <w:r>
              <w:rPr>
                <w:rFonts w:ascii="Calibri" w:hAnsi="Calibri"/>
                <w:b w:val="0"/>
                <w:i w:val="0"/>
                <w:color w:val="212121"/>
                <w:sz w:val="16"/>
              </w:rPr>
              <w:t>Clear lens (LOCS III low grade)</w:t>
            </w:r>
          </w:p>
        </w:tc>
        <w:tc>
          <w:tcPr>
            <w:tcW w:type="dxa" w:w="950"/>
            <w:vAlign w:val="top"/>
          </w:tcPr>
          <w:p>
            <w:pPr>
              <w:spacing w:after="40" w:before="0" w:line="259" w:lineRule="auto"/>
            </w:pPr>
            <w:r>
              <w:rPr>
                <w:rFonts w:ascii="Calibri" w:hAnsi="Calibri"/>
                <w:b w:val="0"/>
                <w:i w:val="0"/>
                <w:color w:val="212121"/>
                <w:sz w:val="16"/>
              </w:rPr>
              <w:t>Nuclear/cortical/PSC opacity graded</w:t>
            </w:r>
          </w:p>
        </w:tc>
        <w:tc>
          <w:tcPr>
            <w:tcW w:type="dxa" w:w="1036"/>
            <w:vAlign w:val="top"/>
          </w:tcPr>
          <w:p>
            <w:pPr>
              <w:spacing w:after="40" w:before="0" w:line="259" w:lineRule="auto"/>
            </w:pPr>
            <w:r>
              <w:rPr>
                <w:rFonts w:ascii="Calibri" w:hAnsi="Calibri"/>
                <w:b w:val="0"/>
                <w:i w:val="0"/>
                <w:color w:val="212121"/>
                <w:sz w:val="16"/>
              </w:rPr>
              <w:t>Confirms cataract, its type and density</w:t>
            </w:r>
          </w:p>
        </w:tc>
        <w:tc>
          <w:tcPr>
            <w:tcW w:type="dxa" w:w="1036"/>
            <w:vAlign w:val="top"/>
          </w:tcPr>
          <w:p>
            <w:pPr>
              <w:spacing w:after="40" w:before="0" w:line="259" w:lineRule="auto"/>
            </w:pPr>
            <w:r>
              <w:rPr>
                <w:rFonts w:ascii="Calibri" w:hAnsi="Calibri"/>
                <w:b w:val="0"/>
                <w:i w:val="0"/>
                <w:color w:val="212121"/>
                <w:sz w:val="16"/>
              </w:rPr>
              <w:t>All symptomatic adults,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Requires pupil dilation for full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Intraocular pressure (tonometry)</w:t>
            </w:r>
          </w:p>
        </w:tc>
        <w:tc>
          <w:tcPr>
            <w:tcW w:type="dxa" w:w="892"/>
            <w:vAlign w:val="top"/>
          </w:tcPr>
          <w:p>
            <w:pPr>
              <w:spacing w:after="40" w:before="0" w:line="259" w:lineRule="auto"/>
            </w:pPr>
            <w:r>
              <w:rPr>
                <w:rFonts w:ascii="Calibri" w:hAnsi="Calibri"/>
                <w:b w:val="0"/>
                <w:i w:val="0"/>
                <w:color w:val="212121"/>
                <w:sz w:val="16"/>
              </w:rPr>
              <w:t>Tonometry</w:t>
            </w:r>
          </w:p>
        </w:tc>
        <w:tc>
          <w:tcPr>
            <w:tcW w:type="dxa" w:w="950"/>
            <w:vAlign w:val="top"/>
          </w:tcPr>
          <w:p>
            <w:pPr>
              <w:spacing w:after="40" w:before="0" w:line="259" w:lineRule="auto"/>
            </w:pPr>
            <w:r>
              <w:rPr>
                <w:rFonts w:ascii="Calibri" w:hAnsi="Calibri"/>
                <w:b w:val="0"/>
                <w:i w:val="0"/>
                <w:color w:val="212121"/>
                <w:sz w:val="16"/>
              </w:rPr>
              <w:t>10-21 mmHg</w:t>
            </w:r>
          </w:p>
        </w:tc>
        <w:tc>
          <w:tcPr>
            <w:tcW w:type="dxa" w:w="950"/>
            <w:vAlign w:val="top"/>
          </w:tcPr>
          <w:p>
            <w:pPr>
              <w:spacing w:after="40" w:before="0" w:line="259" w:lineRule="auto"/>
            </w:pPr>
            <w:r>
              <w:rPr>
                <w:rFonts w:ascii="Calibri" w:hAnsi="Calibri"/>
                <w:b w:val="0"/>
                <w:i w:val="0"/>
                <w:color w:val="212121"/>
                <w:sz w:val="16"/>
              </w:rPr>
              <w:t>&gt; 21 mmHg</w:t>
            </w:r>
          </w:p>
        </w:tc>
        <w:tc>
          <w:tcPr>
            <w:tcW w:type="dxa" w:w="1036"/>
            <w:vAlign w:val="top"/>
          </w:tcPr>
          <w:p>
            <w:pPr>
              <w:spacing w:after="40" w:before="0" w:line="259" w:lineRule="auto"/>
            </w:pPr>
            <w:r>
              <w:rPr>
                <w:rFonts w:ascii="Calibri" w:hAnsi="Calibri"/>
                <w:b w:val="0"/>
                <w:i w:val="0"/>
                <w:color w:val="212121"/>
                <w:sz w:val="16"/>
              </w:rPr>
              <w:t>Screens for glaucoma and lens-induced (phacomorphic/phacolytic) glaucoma</w:t>
            </w:r>
          </w:p>
        </w:tc>
        <w:tc>
          <w:tcPr>
            <w:tcW w:type="dxa" w:w="1036"/>
            <w:vAlign w:val="top"/>
          </w:tcPr>
          <w:p>
            <w:pPr>
              <w:spacing w:after="40" w:before="0" w:line="259" w:lineRule="auto"/>
            </w:pPr>
            <w:r>
              <w:rPr>
                <w:rFonts w:ascii="Calibri" w:hAnsi="Calibri"/>
                <w:b w:val="0"/>
                <w:i w:val="0"/>
                <w:color w:val="212121"/>
                <w:sz w:val="16"/>
              </w:rPr>
              <w:t>Elderly, mature/hypermature cataract, glaucoma suspects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Advanced cataract can raise IOP acutely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Dilated fundus exam / B-scan ultrasonography</w:t>
            </w:r>
          </w:p>
        </w:tc>
        <w:tc>
          <w:tcPr>
            <w:tcW w:type="dxa" w:w="892"/>
            <w:vAlign w:val="top"/>
          </w:tcPr>
          <w:p>
            <w:pPr>
              <w:spacing w:after="40" w:before="0" w:line="259" w:lineRule="auto"/>
            </w:pPr>
            <w:r>
              <w:rPr>
                <w:rFonts w:ascii="Calibri" w:hAnsi="Calibri"/>
                <w:b w:val="0"/>
                <w:i w:val="0"/>
                <w:color w:val="212121"/>
                <w:sz w:val="16"/>
              </w:rPr>
              <w:t>Posterior segment assessment</w:t>
            </w:r>
          </w:p>
        </w:tc>
        <w:tc>
          <w:tcPr>
            <w:tcW w:type="dxa" w:w="950"/>
            <w:vAlign w:val="top"/>
          </w:tcPr>
          <w:p>
            <w:pPr>
              <w:spacing w:after="40" w:before="0" w:line="259" w:lineRule="auto"/>
            </w:pPr>
            <w:r>
              <w:rPr>
                <w:rFonts w:ascii="Calibri" w:hAnsi="Calibri"/>
                <w:b w:val="0"/>
                <w:i w:val="0"/>
                <w:color w:val="212121"/>
                <w:sz w:val="16"/>
              </w:rPr>
              <w:t>Normal retina and optic nerve</w:t>
            </w:r>
          </w:p>
        </w:tc>
        <w:tc>
          <w:tcPr>
            <w:tcW w:type="dxa" w:w="950"/>
            <w:vAlign w:val="top"/>
          </w:tcPr>
          <w:p>
            <w:pPr>
              <w:spacing w:after="40" w:before="0" w:line="259" w:lineRule="auto"/>
            </w:pPr>
            <w:r>
              <w:rPr>
                <w:rFonts w:ascii="Calibri" w:hAnsi="Calibri"/>
                <w:b w:val="0"/>
                <w:i w:val="0"/>
                <w:color w:val="212121"/>
                <w:sz w:val="16"/>
              </w:rPr>
              <w:t>RD, PVD, or posterior-segment pathology</w:t>
            </w:r>
          </w:p>
        </w:tc>
        <w:tc>
          <w:tcPr>
            <w:tcW w:type="dxa" w:w="1036"/>
            <w:vAlign w:val="top"/>
          </w:tcPr>
          <w:p>
            <w:pPr>
              <w:spacing w:after="40" w:before="0" w:line="259" w:lineRule="auto"/>
            </w:pPr>
            <w:r>
              <w:rPr>
                <w:rFonts w:ascii="Calibri" w:hAnsi="Calibri"/>
                <w:b w:val="0"/>
                <w:i w:val="0"/>
                <w:color w:val="212121"/>
                <w:sz w:val="16"/>
              </w:rPr>
              <w:t>Assesses retina/optic nerve; B-scan used when the fundus cannot be seen through a dense cataract</w:t>
            </w:r>
          </w:p>
        </w:tc>
        <w:tc>
          <w:tcPr>
            <w:tcW w:type="dxa" w:w="1036"/>
            <w:vAlign w:val="top"/>
          </w:tcPr>
          <w:p>
            <w:pPr>
              <w:spacing w:after="40" w:before="0" w:line="259" w:lineRule="auto"/>
            </w:pPr>
            <w:r>
              <w:rPr>
                <w:rFonts w:ascii="Calibri" w:hAnsi="Calibri"/>
                <w:b w:val="0"/>
                <w:i w:val="0"/>
                <w:color w:val="212121"/>
                <w:sz w:val="16"/>
              </w:rPr>
              <w:t>Dense/white cataract, diabetics, high myopes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visual prognosis before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Ocular biometry (optical / A-scan) + keratometry</w:t>
            </w:r>
          </w:p>
        </w:tc>
        <w:tc>
          <w:tcPr>
            <w:tcW w:type="dxa" w:w="892"/>
            <w:vAlign w:val="top"/>
          </w:tcPr>
          <w:p>
            <w:pPr>
              <w:spacing w:after="40" w:before="0" w:line="259" w:lineRule="auto"/>
            </w:pPr>
            <w:r>
              <w:rPr>
                <w:rFonts w:ascii="Calibri" w:hAnsi="Calibri"/>
                <w:b w:val="0"/>
                <w:i w:val="0"/>
                <w:color w:val="212121"/>
                <w:sz w:val="16"/>
              </w:rPr>
              <w:t>IOL power calculation</w:t>
            </w:r>
          </w:p>
        </w:tc>
        <w:tc>
          <w:tcPr>
            <w:tcW w:type="dxa" w:w="950"/>
            <w:vAlign w:val="top"/>
          </w:tcPr>
          <w:p>
            <w:pPr>
              <w:spacing w:after="40" w:before="0" w:line="259" w:lineRule="auto"/>
            </w:pPr>
            <w:r>
              <w:rPr>
                <w:rFonts w:ascii="Calibri" w:hAnsi="Calibri"/>
                <w:b w:val="0"/>
                <w:i w:val="0"/>
                <w:color w:val="212121"/>
                <w:sz w:val="16"/>
              </w:rPr>
              <w:t>Axial length ~22-24.5 mm (population range)</w:t>
            </w:r>
          </w:p>
        </w:tc>
        <w:tc>
          <w:tcPr>
            <w:tcW w:type="dxa" w:w="950"/>
            <w:vAlign w:val="top"/>
          </w:tcPr>
          <w:p>
            <w:pPr>
              <w:spacing w:after="40" w:before="0" w:line="259" w:lineRule="auto"/>
            </w:pPr>
            <w:r>
              <w:rPr>
                <w:rFonts w:ascii="Calibri" w:hAnsi="Calibri"/>
                <w:b w:val="0"/>
                <w:i w:val="0"/>
                <w:color w:val="212121"/>
                <w:sz w:val="16"/>
              </w:rPr>
              <w:t>Extreme axial length / irregular K</w:t>
            </w:r>
          </w:p>
        </w:tc>
        <w:tc>
          <w:tcPr>
            <w:tcW w:type="dxa" w:w="1036"/>
            <w:vAlign w:val="top"/>
          </w:tcPr>
          <w:p>
            <w:pPr>
              <w:spacing w:after="40" w:before="0" w:line="259" w:lineRule="auto"/>
            </w:pPr>
            <w:r>
              <w:rPr>
                <w:rFonts w:ascii="Calibri" w:hAnsi="Calibri"/>
                <w:b w:val="0"/>
                <w:i w:val="0"/>
                <w:color w:val="212121"/>
                <w:sz w:val="16"/>
              </w:rPr>
              <w:t>Determines intraocular lens power for surgery</w:t>
            </w:r>
          </w:p>
        </w:tc>
        <w:tc>
          <w:tcPr>
            <w:tcW w:type="dxa" w:w="1036"/>
            <w:vAlign w:val="top"/>
          </w:tcPr>
          <w:p>
            <w:pPr>
              <w:spacing w:after="40" w:before="0" w:line="259" w:lineRule="auto"/>
            </w:pPr>
            <w:r>
              <w:rPr>
                <w:rFonts w:ascii="Calibri" w:hAnsi="Calibri"/>
                <w:b w:val="0"/>
                <w:i w:val="0"/>
                <w:color w:val="212121"/>
                <w:sz w:val="16"/>
              </w:rPr>
              <w:t>All surgical candidates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Pre-operative</w:t>
            </w:r>
          </w:p>
        </w:tc>
        <w:tc>
          <w:tcPr>
            <w:tcW w:type="dxa" w:w="720"/>
            <w:vAlign w:val="top"/>
          </w:tcPr>
          <w:p>
            <w:pPr>
              <w:spacing w:after="40" w:before="0" w:line="259" w:lineRule="auto"/>
            </w:pPr>
            <w:r>
              <w:rPr>
                <w:rFonts w:ascii="Calibri" w:hAnsi="Calibri"/>
                <w:b w:val="0"/>
                <w:i w:val="0"/>
                <w:color w:val="212121"/>
                <w:sz w:val="16"/>
              </w:rPr>
              <w:t>Optical biometry preferred where media allow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Specular microscopy (corneal endothelial cell count)</w:t>
            </w:r>
          </w:p>
        </w:tc>
        <w:tc>
          <w:tcPr>
            <w:tcW w:type="dxa" w:w="892"/>
            <w:vAlign w:val="top"/>
          </w:tcPr>
          <w:p>
            <w:pPr>
              <w:spacing w:after="40" w:before="0" w:line="259" w:lineRule="auto"/>
            </w:pPr>
            <w:r>
              <w:rPr>
                <w:rFonts w:ascii="Calibri" w:hAnsi="Calibri"/>
                <w:b w:val="0"/>
                <w:i w:val="0"/>
                <w:color w:val="212121"/>
                <w:sz w:val="16"/>
              </w:rPr>
              <w:t>Endothelial assessment</w:t>
            </w:r>
          </w:p>
        </w:tc>
        <w:tc>
          <w:tcPr>
            <w:tcW w:type="dxa" w:w="950"/>
            <w:vAlign w:val="top"/>
          </w:tcPr>
          <w:p>
            <w:pPr>
              <w:spacing w:after="40" w:before="0" w:line="259" w:lineRule="auto"/>
            </w:pPr>
            <w:r>
              <w:rPr>
                <w:rFonts w:ascii="Calibri" w:hAnsi="Calibri"/>
                <w:b w:val="0"/>
                <w:i w:val="0"/>
                <w:color w:val="212121"/>
                <w:sz w:val="16"/>
              </w:rPr>
              <w:t>&gt; 2000 cells/mm²</w:t>
            </w:r>
          </w:p>
        </w:tc>
        <w:tc>
          <w:tcPr>
            <w:tcW w:type="dxa" w:w="950"/>
            <w:vAlign w:val="top"/>
          </w:tcPr>
          <w:p>
            <w:pPr>
              <w:spacing w:after="40" w:before="0" w:line="259" w:lineRule="auto"/>
            </w:pPr>
            <w:r>
              <w:rPr>
                <w:rFonts w:ascii="Calibri" w:hAnsi="Calibri"/>
                <w:b w:val="0"/>
                <w:i w:val="0"/>
                <w:color w:val="212121"/>
                <w:sz w:val="16"/>
              </w:rPr>
              <w:t>&lt; 1000-1500 cells/mm² (guarded)</w:t>
            </w:r>
          </w:p>
        </w:tc>
        <w:tc>
          <w:tcPr>
            <w:tcW w:type="dxa" w:w="1036"/>
            <w:vAlign w:val="top"/>
          </w:tcPr>
          <w:p>
            <w:pPr>
              <w:spacing w:after="40" w:before="0" w:line="259" w:lineRule="auto"/>
            </w:pPr>
            <w:r>
              <w:rPr>
                <w:rFonts w:ascii="Calibri" w:hAnsi="Calibri"/>
                <w:b w:val="0"/>
                <w:i w:val="0"/>
                <w:color w:val="212121"/>
                <w:sz w:val="16"/>
              </w:rPr>
              <w:t>Predicts corneal safety of surgery in dense/hypermature or Fuchs cases</w:t>
            </w:r>
          </w:p>
        </w:tc>
        <w:tc>
          <w:tcPr>
            <w:tcW w:type="dxa" w:w="1036"/>
            <w:vAlign w:val="top"/>
          </w:tcPr>
          <w:p>
            <w:pPr>
              <w:spacing w:after="40" w:before="0" w:line="259" w:lineRule="auto"/>
            </w:pPr>
            <w:r>
              <w:rPr>
                <w:rFonts w:ascii="Calibri" w:hAnsi="Calibri"/>
                <w:b w:val="0"/>
                <w:i w:val="0"/>
                <w:color w:val="212121"/>
                <w:sz w:val="16"/>
              </w:rPr>
              <w:t>Hypermature cataract, corneal guttata,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Low counts warrant modified surgical technique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Fasting/random blood glucose &amp;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diabetes as a cause and optimises peri-operative control</w:t>
            </w:r>
          </w:p>
        </w:tc>
        <w:tc>
          <w:tcPr>
            <w:tcW w:type="dxa" w:w="1036"/>
            <w:vAlign w:val="top"/>
          </w:tcPr>
          <w:p>
            <w:pPr>
              <w:spacing w:after="40" w:before="0" w:line="259" w:lineRule="auto"/>
            </w:pPr>
            <w:r>
              <w:rPr>
                <w:rFonts w:ascii="Calibri" w:hAnsi="Calibri"/>
                <w:b w:val="0"/>
                <w:i w:val="0"/>
                <w:color w:val="212121"/>
                <w:sz w:val="16"/>
              </w:rPr>
              <w:t>Middle-aged/elderly, early-onset or bilateral PSC</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Also screens for diabetic retinopathy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Glare / contrast sensitivity testing</w:t>
            </w:r>
          </w:p>
        </w:tc>
        <w:tc>
          <w:tcPr>
            <w:tcW w:type="dxa" w:w="892"/>
            <w:vAlign w:val="top"/>
          </w:tcPr>
          <w:p>
            <w:pPr>
              <w:spacing w:after="40" w:before="0" w:line="259" w:lineRule="auto"/>
            </w:pPr>
            <w:r>
              <w:rPr>
                <w:rFonts w:ascii="Calibri" w:hAnsi="Calibri"/>
                <w:b w:val="0"/>
                <w:i w:val="0"/>
                <w:color w:val="212121"/>
                <w:sz w:val="16"/>
              </w:rPr>
              <w:t>Functional vision testing</w:t>
            </w:r>
          </w:p>
        </w:tc>
        <w:tc>
          <w:tcPr>
            <w:tcW w:type="dxa" w:w="950"/>
            <w:vAlign w:val="top"/>
          </w:tcPr>
          <w:p>
            <w:pPr>
              <w:spacing w:after="40" w:before="0" w:line="259" w:lineRule="auto"/>
            </w:pPr>
            <w:r>
              <w:rPr>
                <w:rFonts w:ascii="Calibri" w:hAnsi="Calibri"/>
                <w:b w:val="0"/>
                <w:i w:val="0"/>
                <w:color w:val="212121"/>
                <w:sz w:val="16"/>
              </w:rPr>
              <w:t>No disabling glare; normal contrast</w:t>
            </w:r>
          </w:p>
        </w:tc>
        <w:tc>
          <w:tcPr>
            <w:tcW w:type="dxa" w:w="950"/>
            <w:vAlign w:val="top"/>
          </w:tcPr>
          <w:p>
            <w:pPr>
              <w:spacing w:after="40" w:before="0" w:line="259" w:lineRule="auto"/>
            </w:pPr>
            <w:r>
              <w:rPr>
                <w:rFonts w:ascii="Calibri" w:hAnsi="Calibri"/>
                <w:b w:val="0"/>
                <w:i w:val="0"/>
                <w:color w:val="212121"/>
                <w:sz w:val="16"/>
              </w:rPr>
              <w:t>Marked glare disability / reduced contrast</w:t>
            </w:r>
          </w:p>
        </w:tc>
        <w:tc>
          <w:tcPr>
            <w:tcW w:type="dxa" w:w="1036"/>
            <w:vAlign w:val="top"/>
          </w:tcPr>
          <w:p>
            <w:pPr>
              <w:spacing w:after="40" w:before="0" w:line="259" w:lineRule="auto"/>
            </w:pPr>
            <w:r>
              <w:rPr>
                <w:rFonts w:ascii="Calibri" w:hAnsi="Calibri"/>
                <w:b w:val="0"/>
                <w:i w:val="0"/>
                <w:color w:val="212121"/>
                <w:sz w:val="16"/>
              </w:rPr>
              <w:t>Quantifies real-world disability when Snellen acuity looks preserved (esp. PSC/cortical)</w:t>
            </w:r>
          </w:p>
        </w:tc>
        <w:tc>
          <w:tcPr>
            <w:tcW w:type="dxa" w:w="1036"/>
            <w:vAlign w:val="top"/>
          </w:tcPr>
          <w:p>
            <w:pPr>
              <w:spacing w:after="40" w:before="0" w:line="259" w:lineRule="auto"/>
            </w:pPr>
            <w:r>
              <w:rPr>
                <w:rFonts w:ascii="Calibri" w:hAnsi="Calibri"/>
                <w:b w:val="0"/>
                <w:i w:val="0"/>
                <w:color w:val="212121"/>
                <w:sz w:val="16"/>
              </w:rPr>
              <w:t>Drivers, PSC/cortical cataract, occupational visual demand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Supports surgical decision when chart acuity is near-normal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Painless progressive blurring, glare/haloes, faded colours, frequent glasses change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Typical symptom cluster of visually significant cataract</w:t>
            </w:r>
          </w:p>
        </w:tc>
        <w:tc>
          <w:tcPr>
            <w:tcW w:type="dxa" w:w="1036"/>
            <w:vAlign w:val="top"/>
          </w:tcPr>
          <w:p>
            <w:pPr>
              <w:spacing w:after="40" w:before="0" w:line="259" w:lineRule="auto"/>
            </w:pPr>
            <w:r>
              <w:rPr>
                <w:rFonts w:ascii="Calibri" w:hAnsi="Calibri"/>
                <w:b w:val="0"/>
                <w:i w:val="0"/>
                <w:color w:val="212121"/>
                <w:sz w:val="16"/>
              </w:rPr>
              <w:t>Elderly, diabetics, symptomatic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Glare in bright light/night driving suggests PSC or cortical 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systemic history</w:t>
            </w:r>
          </w:p>
        </w:tc>
        <w:tc>
          <w:tcPr>
            <w:tcW w:type="dxa" w:w="979"/>
            <w:vAlign w:val="top"/>
          </w:tcPr>
          <w:p>
            <w:pPr>
              <w:spacing w:after="40" w:before="0" w:line="259" w:lineRule="auto"/>
            </w:pPr>
            <w:r>
              <w:rPr>
                <w:rFonts w:ascii="Calibri" w:hAnsi="Calibri"/>
                <w:b w:val="0"/>
                <w:i w:val="0"/>
                <w:color w:val="212121"/>
                <w:sz w:val="16"/>
              </w:rPr>
              <w:t>Diabetes, steroid use, sun/occupation, smoking, trauma, family history, prior eye surgery</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 1 risk factor present</w:t>
            </w:r>
          </w:p>
        </w:tc>
        <w:tc>
          <w:tcPr>
            <w:tcW w:type="dxa" w:w="1036"/>
            <w:vAlign w:val="top"/>
          </w:tcPr>
          <w:p>
            <w:pPr>
              <w:spacing w:after="40" w:before="0" w:line="259" w:lineRule="auto"/>
            </w:pPr>
            <w:r>
              <w:rPr>
                <w:rFonts w:ascii="Calibri" w:hAnsi="Calibri"/>
                <w:b w:val="0"/>
                <w:i w:val="0"/>
                <w:color w:val="212121"/>
                <w:sz w:val="16"/>
              </w:rPr>
              <w:t>Identifies cause and secondary/complicated cataract; guides prognosis</w:t>
            </w:r>
          </w:p>
        </w:tc>
        <w:tc>
          <w:tcPr>
            <w:tcW w:type="dxa" w:w="1036"/>
            <w:vAlign w:val="top"/>
          </w:tcPr>
          <w:p>
            <w:pPr>
              <w:spacing w:after="40" w:before="0" w:line="259" w:lineRule="auto"/>
            </w:pPr>
            <w:r>
              <w:rPr>
                <w:rFonts w:ascii="Calibri" w:hAnsi="Calibri"/>
                <w:b w:val="0"/>
                <w:i w:val="0"/>
                <w:color w:val="212121"/>
                <w:sz w:val="16"/>
              </w:rPr>
              <w:t>Diabetics, steroid users, outdoor workers, young cataract</w:t>
            </w:r>
          </w:p>
        </w:tc>
        <w:tc>
          <w:tcPr>
            <w:tcW w:type="dxa" w:w="720"/>
            <w:vAlign w:val="top"/>
          </w:tcPr>
          <w:p>
            <w:pPr>
              <w:spacing w:after="40" w:before="0" w:line="259" w:lineRule="auto"/>
            </w:pPr>
            <w:r>
              <w:rPr>
                <w:rFonts w:ascii="Calibri" w:hAnsi="Calibri"/>
                <w:b w:val="0"/>
                <w:i w:val="0"/>
                <w:color w:val="212121"/>
                <w:sz w:val="16"/>
              </w:rPr>
              <w:t>Food; 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Early/atypical cataract prompts a metabolic and drug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Distant direct ophthalmoscopy</w:t>
            </w:r>
          </w:p>
        </w:tc>
        <w:tc>
          <w:tcPr>
            <w:tcW w:type="dxa" w:w="979"/>
            <w:vAlign w:val="top"/>
          </w:tcPr>
          <w:p>
            <w:pPr>
              <w:spacing w:after="40" w:before="0" w:line="259" w:lineRule="auto"/>
            </w:pPr>
            <w:r>
              <w:rPr>
                <w:rFonts w:ascii="Calibri" w:hAnsi="Calibri"/>
                <w:b w:val="0"/>
                <w:i w:val="0"/>
                <w:color w:val="212121"/>
                <w:sz w:val="16"/>
              </w:rPr>
              <w:t>Red reflex</w:t>
            </w:r>
          </w:p>
        </w:tc>
        <w:tc>
          <w:tcPr>
            <w:tcW w:type="dxa" w:w="950"/>
            <w:vAlign w:val="top"/>
          </w:tcPr>
          <w:p>
            <w:pPr>
              <w:spacing w:after="40" w:before="0" w:line="259" w:lineRule="auto"/>
            </w:pPr>
            <w:r>
              <w:rPr>
                <w:rFonts w:ascii="Calibri" w:hAnsi="Calibri"/>
                <w:b w:val="0"/>
                <w:i w:val="0"/>
                <w:color w:val="212121"/>
                <w:sz w:val="16"/>
              </w:rPr>
              <w:t>Bright, homogeneous red reflex</w:t>
            </w:r>
          </w:p>
        </w:tc>
        <w:tc>
          <w:tcPr>
            <w:tcW w:type="dxa" w:w="950"/>
            <w:vAlign w:val="top"/>
          </w:tcPr>
          <w:p>
            <w:pPr>
              <w:spacing w:after="40" w:before="0" w:line="259" w:lineRule="auto"/>
            </w:pPr>
            <w:r>
              <w:rPr>
                <w:rFonts w:ascii="Calibri" w:hAnsi="Calibri"/>
                <w:b w:val="0"/>
                <w:i w:val="0"/>
                <w:color w:val="212121"/>
                <w:sz w:val="16"/>
              </w:rPr>
              <w:t>Diminished/black opacities against the reflex</w:t>
            </w:r>
          </w:p>
        </w:tc>
        <w:tc>
          <w:tcPr>
            <w:tcW w:type="dxa" w:w="1036"/>
            <w:vAlign w:val="top"/>
          </w:tcPr>
          <w:p>
            <w:pPr>
              <w:spacing w:after="40" w:before="0" w:line="259" w:lineRule="auto"/>
            </w:pPr>
            <w:r>
              <w:rPr>
                <w:rFonts w:ascii="Calibri" w:hAnsi="Calibri"/>
                <w:b w:val="0"/>
                <w:i w:val="0"/>
                <w:color w:val="212121"/>
                <w:sz w:val="16"/>
              </w:rPr>
              <w:t>Simple bedside/field screen for lens opacity and congenital cataract in children</w:t>
            </w:r>
          </w:p>
        </w:tc>
        <w:tc>
          <w:tcPr>
            <w:tcW w:type="dxa" w:w="1036"/>
            <w:vAlign w:val="top"/>
          </w:tcPr>
          <w:p>
            <w:pPr>
              <w:spacing w:after="40" w:before="0" w:line="259" w:lineRule="auto"/>
            </w:pPr>
            <w:r>
              <w:rPr>
                <w:rFonts w:ascii="Calibri" w:hAnsi="Calibri"/>
                <w:b w:val="0"/>
                <w:i w:val="0"/>
                <w:color w:val="212121"/>
                <w:sz w:val="16"/>
              </w:rPr>
              <w:t>All ages; neonates (leukocoria screen)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Absent red reflex in an infant is an emergency (congenital cataract)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Oblique torchlight / iris-shadow test</w:t>
            </w:r>
          </w:p>
        </w:tc>
        <w:tc>
          <w:tcPr>
            <w:tcW w:type="dxa" w:w="979"/>
            <w:vAlign w:val="top"/>
          </w:tcPr>
          <w:p>
            <w:pPr>
              <w:spacing w:after="40" w:before="0" w:line="259" w:lineRule="auto"/>
            </w:pPr>
            <w:r>
              <w:rPr>
                <w:rFonts w:ascii="Calibri" w:hAnsi="Calibri"/>
                <w:b w:val="0"/>
                <w:i w:val="0"/>
                <w:color w:val="212121"/>
                <w:sz w:val="16"/>
              </w:rPr>
              <w:t>Lens colour, iris shadow, leukocoria</w:t>
            </w:r>
          </w:p>
        </w:tc>
        <w:tc>
          <w:tcPr>
            <w:tcW w:type="dxa" w:w="950"/>
            <w:vAlign w:val="top"/>
          </w:tcPr>
          <w:p>
            <w:pPr>
              <w:spacing w:after="40" w:before="0" w:line="259" w:lineRule="auto"/>
            </w:pPr>
            <w:r>
              <w:rPr>
                <w:rFonts w:ascii="Calibri" w:hAnsi="Calibri"/>
                <w:b w:val="0"/>
                <w:i w:val="0"/>
                <w:color w:val="212121"/>
                <w:sz w:val="16"/>
              </w:rPr>
              <w:t>Clear pupil, iris shadow present</w:t>
            </w:r>
          </w:p>
        </w:tc>
        <w:tc>
          <w:tcPr>
            <w:tcW w:type="dxa" w:w="950"/>
            <w:vAlign w:val="top"/>
          </w:tcPr>
          <w:p>
            <w:pPr>
              <w:spacing w:after="40" w:before="0" w:line="259" w:lineRule="auto"/>
            </w:pPr>
            <w:r>
              <w:rPr>
                <w:rFonts w:ascii="Calibri" w:hAnsi="Calibri"/>
                <w:b w:val="0"/>
                <w:i w:val="0"/>
                <w:color w:val="212121"/>
                <w:sz w:val="16"/>
              </w:rPr>
              <w:t>White pupil (leukocoria); iris shadow absent (mature)</w:t>
            </w:r>
          </w:p>
        </w:tc>
        <w:tc>
          <w:tcPr>
            <w:tcW w:type="dxa" w:w="1036"/>
            <w:vAlign w:val="top"/>
          </w:tcPr>
          <w:p>
            <w:pPr>
              <w:spacing w:after="40" w:before="0" w:line="259" w:lineRule="auto"/>
            </w:pPr>
            <w:r>
              <w:rPr>
                <w:rFonts w:ascii="Calibri" w:hAnsi="Calibri"/>
                <w:b w:val="0"/>
                <w:i w:val="0"/>
                <w:color w:val="212121"/>
                <w:sz w:val="16"/>
              </w:rPr>
              <w:t>Estimates cataract maturity where slit lamp is unavailable</w:t>
            </w:r>
          </w:p>
        </w:tc>
        <w:tc>
          <w:tcPr>
            <w:tcW w:type="dxa" w:w="1036"/>
            <w:vAlign w:val="top"/>
          </w:tcPr>
          <w:p>
            <w:pPr>
              <w:spacing w:after="40" w:before="0" w:line="259" w:lineRule="auto"/>
            </w:pPr>
            <w:r>
              <w:rPr>
                <w:rFonts w:ascii="Calibri" w:hAnsi="Calibri"/>
                <w:b w:val="0"/>
                <w:i w:val="0"/>
                <w:color w:val="212121"/>
                <w:sz w:val="16"/>
              </w:rPr>
              <w:t>Field/camp screening, rural outreach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Field screening</w:t>
            </w:r>
          </w:p>
        </w:tc>
        <w:tc>
          <w:tcPr>
            <w:tcW w:type="dxa" w:w="720"/>
            <w:vAlign w:val="top"/>
          </w:tcPr>
          <w:p>
            <w:pPr>
              <w:spacing w:after="40" w:before="0" w:line="259" w:lineRule="auto"/>
            </w:pPr>
            <w:r>
              <w:rPr>
                <w:rFonts w:ascii="Calibri" w:hAnsi="Calibri"/>
                <w:b w:val="0"/>
                <w:i w:val="0"/>
                <w:color w:val="212121"/>
                <w:sz w:val="16"/>
              </w:rPr>
              <w:t>Absent iris shadow indicates a mature cataract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Refraction with pinhole</w:t>
            </w:r>
          </w:p>
        </w:tc>
        <w:tc>
          <w:tcPr>
            <w:tcW w:type="dxa" w:w="979"/>
            <w:vAlign w:val="top"/>
          </w:tcPr>
          <w:p>
            <w:pPr>
              <w:spacing w:after="40" w:before="0" w:line="259" w:lineRule="auto"/>
            </w:pPr>
            <w:r>
              <w:rPr>
                <w:rFonts w:ascii="Calibri" w:hAnsi="Calibri"/>
                <w:b w:val="0"/>
                <w:i w:val="0"/>
                <w:color w:val="212121"/>
                <w:sz w:val="16"/>
              </w:rPr>
              <w:t>Myopic shift; pinhole response</w:t>
            </w:r>
          </w:p>
        </w:tc>
        <w:tc>
          <w:tcPr>
            <w:tcW w:type="dxa" w:w="950"/>
            <w:vAlign w:val="top"/>
          </w:tcPr>
          <w:p>
            <w:pPr>
              <w:spacing w:after="40" w:before="0" w:line="259" w:lineRule="auto"/>
            </w:pPr>
            <w:r>
              <w:rPr>
                <w:rFonts w:ascii="Calibri" w:hAnsi="Calibri"/>
                <w:b w:val="0"/>
                <w:i w:val="0"/>
                <w:color w:val="212121"/>
                <w:sz w:val="16"/>
              </w:rPr>
              <w:t>Stable refraction; vision improves with pinhole</w:t>
            </w:r>
          </w:p>
        </w:tc>
        <w:tc>
          <w:tcPr>
            <w:tcW w:type="dxa" w:w="950"/>
            <w:vAlign w:val="top"/>
          </w:tcPr>
          <w:p>
            <w:pPr>
              <w:spacing w:after="40" w:before="0" w:line="259" w:lineRule="auto"/>
            </w:pPr>
            <w:r>
              <w:rPr>
                <w:rFonts w:ascii="Calibri" w:hAnsi="Calibri"/>
                <w:b w:val="0"/>
                <w:i w:val="0"/>
                <w:color w:val="212121"/>
                <w:sz w:val="16"/>
              </w:rPr>
              <w:t>New myopic shift; pinhole fails to correct</w:t>
            </w:r>
          </w:p>
        </w:tc>
        <w:tc>
          <w:tcPr>
            <w:tcW w:type="dxa" w:w="1036"/>
            <w:vAlign w:val="top"/>
          </w:tcPr>
          <w:p>
            <w:pPr>
              <w:spacing w:after="40" w:before="0" w:line="259" w:lineRule="auto"/>
            </w:pPr>
            <w:r>
              <w:rPr>
                <w:rFonts w:ascii="Calibri" w:hAnsi="Calibri"/>
                <w:b w:val="0"/>
                <w:i w:val="0"/>
                <w:color w:val="212121"/>
                <w:sz w:val="16"/>
              </w:rPr>
              <w:t>Index myopia and non-correcting acuity point to lens (not refractive) cause</w:t>
            </w:r>
          </w:p>
        </w:tc>
        <w:tc>
          <w:tcPr>
            <w:tcW w:type="dxa" w:w="1036"/>
            <w:vAlign w:val="top"/>
          </w:tcPr>
          <w:p>
            <w:pPr>
              <w:spacing w:after="40" w:before="0" w:line="259" w:lineRule="auto"/>
            </w:pPr>
            <w:r>
              <w:rPr>
                <w:rFonts w:ascii="Calibri" w:hAnsi="Calibri"/>
                <w:b w:val="0"/>
                <w:i w:val="0"/>
                <w:color w:val="212121"/>
                <w:sz w:val="16"/>
              </w:rPr>
              <w:t>Adults with frequent lens changes, nuclear sclerosis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“Second sight” is transient improved near vision from nuclear sclerosis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Pupil (RAPD) &amp; ocular motility</w:t>
            </w:r>
          </w:p>
        </w:tc>
        <w:tc>
          <w:tcPr>
            <w:tcW w:type="dxa" w:w="979"/>
            <w:vAlign w:val="top"/>
          </w:tcPr>
          <w:p>
            <w:pPr>
              <w:spacing w:after="40" w:before="0" w:line="259" w:lineRule="auto"/>
            </w:pPr>
            <w:r>
              <w:rPr>
                <w:rFonts w:ascii="Calibri" w:hAnsi="Calibri"/>
                <w:b w:val="0"/>
                <w:i w:val="0"/>
                <w:color w:val="212121"/>
                <w:sz w:val="16"/>
              </w:rPr>
              <w:t>Relative afferent pupillary defect</w:t>
            </w:r>
          </w:p>
        </w:tc>
        <w:tc>
          <w:tcPr>
            <w:tcW w:type="dxa" w:w="950"/>
            <w:vAlign w:val="top"/>
          </w:tcPr>
          <w:p>
            <w:pPr>
              <w:spacing w:after="40" w:before="0" w:line="259" w:lineRule="auto"/>
            </w:pPr>
            <w:r>
              <w:rPr>
                <w:rFonts w:ascii="Calibri" w:hAnsi="Calibri"/>
                <w:b w:val="0"/>
                <w:i w:val="0"/>
                <w:color w:val="212121"/>
                <w:sz w:val="16"/>
              </w:rPr>
              <w:t>No RAPD</w:t>
            </w:r>
          </w:p>
        </w:tc>
        <w:tc>
          <w:tcPr>
            <w:tcW w:type="dxa" w:w="950"/>
            <w:vAlign w:val="top"/>
          </w:tcPr>
          <w:p>
            <w:pPr>
              <w:spacing w:after="40" w:before="0" w:line="259" w:lineRule="auto"/>
            </w:pPr>
            <w:r>
              <w:rPr>
                <w:rFonts w:ascii="Calibri" w:hAnsi="Calibri"/>
                <w:b w:val="0"/>
                <w:i w:val="0"/>
                <w:color w:val="212121"/>
                <w:sz w:val="16"/>
              </w:rPr>
              <w:t>RAPD present</w:t>
            </w:r>
          </w:p>
        </w:tc>
        <w:tc>
          <w:tcPr>
            <w:tcW w:type="dxa" w:w="1036"/>
            <w:vAlign w:val="top"/>
          </w:tcPr>
          <w:p>
            <w:pPr>
              <w:spacing w:after="40" w:before="0" w:line="259" w:lineRule="auto"/>
            </w:pPr>
            <w:r>
              <w:rPr>
                <w:rFonts w:ascii="Calibri" w:hAnsi="Calibri"/>
                <w:b w:val="0"/>
                <w:i w:val="0"/>
                <w:color w:val="212121"/>
                <w:sz w:val="16"/>
              </w:rPr>
              <w:t>An RAPD implies optic-nerve/retinal disease (not cataract) and warns of guarded visual prognosis</w:t>
            </w:r>
          </w:p>
        </w:tc>
        <w:tc>
          <w:tcPr>
            <w:tcW w:type="dxa" w:w="1036"/>
            <w:vAlign w:val="top"/>
          </w:tcPr>
          <w:p>
            <w:pPr>
              <w:spacing w:after="40" w:before="0" w:line="259" w:lineRule="auto"/>
            </w:pPr>
            <w:r>
              <w:rPr>
                <w:rFonts w:ascii="Calibri" w:hAnsi="Calibri"/>
                <w:b w:val="0"/>
                <w:i w:val="0"/>
                <w:color w:val="212121"/>
                <w:sz w:val="16"/>
              </w:rPr>
              <w:t>Co-existing glaucoma, retinal or optic-nerve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Cataract alone does not cause an RAPD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Gradual, painless blurring / cloudy or dim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cataract; vision worsens slowly over months to years as the lens opacifies.</w:t>
            </w:r>
          </w:p>
        </w:tc>
      </w:tr>
      <w:tr>
        <w:trPr>
          <w:cantSplit/>
        </w:trPr>
        <w:tc>
          <w:tcPr>
            <w:tcW w:type="dxa" w:w="2304"/>
            <w:vAlign w:val="top"/>
          </w:tcPr>
          <w:p>
            <w:pPr>
              <w:spacing w:after="40" w:before="0" w:line="259" w:lineRule="auto"/>
            </w:pPr>
            <w:r>
              <w:rPr>
                <w:rFonts w:ascii="Calibri" w:hAnsi="Calibri"/>
                <w:b/>
                <w:i w:val="0"/>
                <w:color w:val="212121"/>
                <w:sz w:val="19"/>
              </w:rPr>
              <w:t>Glare and haloes around lights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Scattered light causes glare from headlights and sunlight and coloured rings around lights.</w:t>
            </w:r>
          </w:p>
        </w:tc>
      </w:tr>
      <w:tr>
        <w:trPr>
          <w:cantSplit/>
        </w:trPr>
        <w:tc>
          <w:tcPr>
            <w:tcW w:type="dxa" w:w="2304"/>
            <w:vAlign w:val="top"/>
          </w:tcPr>
          <w:p>
            <w:pPr>
              <w:spacing w:after="40" w:before="0" w:line="259" w:lineRule="auto"/>
            </w:pPr>
            <w:r>
              <w:rPr>
                <w:rFonts w:ascii="Calibri" w:hAnsi="Calibri"/>
                <w:b/>
                <w:i w:val="0"/>
                <w:color w:val="212121"/>
                <w:sz w:val="19"/>
              </w:rPr>
              <w:t>Poor night vision / difficulty driving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contrast and glare sensitivity make low-light and night driving difficult.</w:t>
            </w:r>
          </w:p>
        </w:tc>
      </w:tr>
      <w:tr>
        <w:trPr>
          <w:cantSplit/>
        </w:trPr>
        <w:tc>
          <w:tcPr>
            <w:tcW w:type="dxa" w:w="2304"/>
            <w:vAlign w:val="top"/>
          </w:tcPr>
          <w:p>
            <w:pPr>
              <w:spacing w:after="40" w:before="0" w:line="259" w:lineRule="auto"/>
            </w:pPr>
            <w:r>
              <w:rPr>
                <w:rFonts w:ascii="Calibri" w:hAnsi="Calibri"/>
                <w:b/>
                <w:i w:val="0"/>
                <w:color w:val="212121"/>
                <w:sz w:val="19"/>
              </w:rPr>
              <w:t>Faded or yellowed colour perception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Nuclear yellowing dulls colours, especially blues.</w:t>
            </w:r>
          </w:p>
        </w:tc>
      </w:tr>
      <w:tr>
        <w:trPr>
          <w:cantSplit/>
        </w:trPr>
        <w:tc>
          <w:tcPr>
            <w:tcW w:type="dxa" w:w="2304"/>
            <w:vAlign w:val="top"/>
          </w:tcPr>
          <w:p>
            <w:pPr>
              <w:spacing w:after="40" w:before="0" w:line="259" w:lineRule="auto"/>
            </w:pPr>
            <w:r>
              <w:rPr>
                <w:rFonts w:ascii="Calibri" w:hAnsi="Calibri"/>
                <w:b/>
                <w:i w:val="0"/>
                <w:color w:val="212121"/>
                <w:sz w:val="19"/>
              </w:rPr>
              <w:t>Frequent changes in spectacle prescription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index change repeatedly alters refraction.</w:t>
            </w:r>
          </w:p>
        </w:tc>
      </w:tr>
      <w:tr>
        <w:trPr>
          <w:cantSplit/>
        </w:trPr>
        <w:tc>
          <w:tcPr>
            <w:tcW w:type="dxa" w:w="2304"/>
            <w:vAlign w:val="top"/>
          </w:tcPr>
          <w:p>
            <w:pPr>
              <w:spacing w:after="40" w:before="0" w:line="259" w:lineRule="auto"/>
            </w:pPr>
            <w:r>
              <w:rPr>
                <w:rFonts w:ascii="Calibri" w:hAnsi="Calibri"/>
                <w:b/>
                <w:i w:val="0"/>
                <w:color w:val="212121"/>
                <w:sz w:val="19"/>
              </w:rPr>
              <w:t>Reduced vision in bright light / haze indoors and out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Posterior subcapsular cataract is worse when the pupil constricts in bright light.</w:t>
            </w:r>
          </w:p>
        </w:tc>
      </w:tr>
      <w:tr>
        <w:trPr>
          <w:cantSplit/>
        </w:trPr>
        <w:tc>
          <w:tcPr>
            <w:tcW w:type="dxa" w:w="2304"/>
            <w:vAlign w:val="top"/>
          </w:tcPr>
          <w:p>
            <w:pPr>
              <w:spacing w:after="40" w:before="0" w:line="259" w:lineRule="auto"/>
            </w:pPr>
            <w:r>
              <w:rPr>
                <w:rFonts w:ascii="Calibri" w:hAnsi="Calibri"/>
                <w:b/>
                <w:i w:val="0"/>
                <w:color w:val="212121"/>
                <w:sz w:val="19"/>
              </w:rPr>
              <w:t>“Second sight” — temporary improvement in near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Nuclear sclerosis induces myopia, briefly letting some read without glasses before vision declines.</w:t>
            </w:r>
          </w:p>
        </w:tc>
      </w:tr>
      <w:tr>
        <w:trPr>
          <w:cantSplit/>
        </w:trPr>
        <w:tc>
          <w:tcPr>
            <w:tcW w:type="dxa" w:w="2304"/>
            <w:vAlign w:val="top"/>
          </w:tcPr>
          <w:p>
            <w:pPr>
              <w:spacing w:after="40" w:before="0" w:line="259" w:lineRule="auto"/>
            </w:pPr>
            <w:r>
              <w:rPr>
                <w:rFonts w:ascii="Calibri" w:hAnsi="Calibri"/>
                <w:b/>
                <w:i w:val="0"/>
                <w:color w:val="212121"/>
                <w:sz w:val="19"/>
              </w:rPr>
              <w:t>Monocular diplopia or polyopia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Multiple refractions through irregular lens zones create ghosting that persists with one eye covered.</w:t>
            </w:r>
          </w:p>
        </w:tc>
      </w:tr>
      <w:tr>
        <w:trPr>
          <w:cantSplit/>
        </w:trPr>
        <w:tc>
          <w:tcPr>
            <w:tcW w:type="dxa" w:w="2304"/>
            <w:vAlign w:val="top"/>
          </w:tcPr>
          <w:p>
            <w:pPr>
              <w:spacing w:after="40" w:before="0" w:line="259" w:lineRule="auto"/>
            </w:pPr>
            <w:r>
              <w:rPr>
                <w:rFonts w:ascii="Calibri" w:hAnsi="Calibri"/>
                <w:b/>
                <w:i w:val="0"/>
                <w:color w:val="212121"/>
                <w:sz w:val="19"/>
              </w:rPr>
              <w:t>Difficulty with near work / reading despite glasses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PSC and cortical opacities disproportionately impair near and fine-detail tasks.</w:t>
            </w:r>
          </w:p>
        </w:tc>
      </w:tr>
      <w:tr>
        <w:trPr>
          <w:cantSplit/>
        </w:trPr>
        <w:tc>
          <w:tcPr>
            <w:tcW w:type="dxa" w:w="2304"/>
            <w:vAlign w:val="top"/>
          </w:tcPr>
          <w:p>
            <w:pPr>
              <w:spacing w:after="40" w:before="0" w:line="259" w:lineRule="auto"/>
            </w:pPr>
            <w:r>
              <w:rPr>
                <w:rFonts w:ascii="Calibri" w:hAnsi="Calibri"/>
                <w:b/>
                <w:i w:val="0"/>
                <w:color w:val="212121"/>
                <w:sz w:val="19"/>
              </w:rPr>
              <w:t>Sudden painful red eye with acute visual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intumescent/hypermature cataract can precipitate phacomorphic or phacolytic (lens-induced) glaucoma.</w:t>
            </w:r>
          </w:p>
        </w:tc>
      </w:tr>
      <w:tr>
        <w:trPr>
          <w:cantSplit/>
        </w:trPr>
        <w:tc>
          <w:tcPr>
            <w:tcW w:type="dxa" w:w="2304"/>
            <w:vAlign w:val="top"/>
          </w:tcPr>
          <w:p>
            <w:pPr>
              <w:spacing w:after="40" w:before="0" w:line="259" w:lineRule="auto"/>
            </w:pPr>
            <w:r>
              <w:rPr>
                <w:rFonts w:ascii="Calibri" w:hAnsi="Calibri"/>
                <w:b/>
                <w:i w:val="0"/>
                <w:color w:val="212121"/>
                <w:sz w:val="19"/>
              </w:rPr>
              <w:t>White pupil (leukocoria) noticed by others / in a child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mature or congenital cataract may be seen as a white reflex; in infants it is a blindness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Lens opacity on slit-lamp biomicroscopy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Nuclear brown/yellow sclerosis, cortical wedge-shaped spokes, or a posterior subcapsular plaque.</w:t>
            </w:r>
          </w:p>
        </w:tc>
      </w:tr>
      <w:tr>
        <w:trPr>
          <w:cantSplit/>
        </w:trPr>
        <w:tc>
          <w:tcPr>
            <w:tcW w:type="dxa" w:w="3456"/>
            <w:vAlign w:val="top"/>
          </w:tcPr>
          <w:p>
            <w:pPr>
              <w:spacing w:after="40" w:before="0" w:line="259" w:lineRule="auto"/>
            </w:pPr>
            <w:r>
              <w:rPr>
                <w:rFonts w:ascii="Calibri" w:hAnsi="Calibri"/>
                <w:b/>
                <w:i w:val="0"/>
                <w:color w:val="212121"/>
                <w:sz w:val="19"/>
              </w:rPr>
              <w:t>Diminished or absent red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Opacities appear as dark defects against, or abolish, the red reflex on distant ophthalmoscopy.</w:t>
            </w:r>
          </w:p>
        </w:tc>
      </w:tr>
      <w:tr>
        <w:trPr>
          <w:cantSplit/>
        </w:trPr>
        <w:tc>
          <w:tcPr>
            <w:tcW w:type="dxa" w:w="3456"/>
            <w:vAlign w:val="top"/>
          </w:tcPr>
          <w:p>
            <w:pPr>
              <w:spacing w:after="40" w:before="0" w:line="259" w:lineRule="auto"/>
            </w:pPr>
            <w:r>
              <w:rPr>
                <w:rFonts w:ascii="Calibri" w:hAnsi="Calibri"/>
                <w:b/>
                <w:i w:val="0"/>
                <w:color w:val="212121"/>
                <w:sz w:val="19"/>
              </w:rPr>
              <w:t>Reduced visual acuity not corrected by pinhole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a media/lens cause from uncorrected refractive error.</w:t>
            </w:r>
          </w:p>
        </w:tc>
      </w:tr>
      <w:tr>
        <w:trPr>
          <w:cantSplit/>
        </w:trPr>
        <w:tc>
          <w:tcPr>
            <w:tcW w:type="dxa" w:w="3456"/>
            <w:vAlign w:val="top"/>
          </w:tcPr>
          <w:p>
            <w:pPr>
              <w:spacing w:after="40" w:before="0" w:line="259" w:lineRule="auto"/>
            </w:pPr>
            <w:r>
              <w:rPr>
                <w:rFonts w:ascii="Calibri" w:hAnsi="Calibri"/>
                <w:b/>
                <w:i w:val="0"/>
                <w:color w:val="212121"/>
                <w:sz w:val="19"/>
              </w:rPr>
              <w:t>Myopic shift on refraction (index myopia)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Nuclear sclerosis increases lens refractive index, producing a myopic shift.</w:t>
            </w:r>
          </w:p>
        </w:tc>
      </w:tr>
      <w:tr>
        <w:trPr>
          <w:cantSplit/>
        </w:trPr>
        <w:tc>
          <w:tcPr>
            <w:tcW w:type="dxa" w:w="3456"/>
            <w:vAlign w:val="top"/>
          </w:tcPr>
          <w:p>
            <w:pPr>
              <w:spacing w:after="40" w:before="0" w:line="259" w:lineRule="auto"/>
            </w:pPr>
            <w:r>
              <w:rPr>
                <w:rFonts w:ascii="Calibri" w:hAnsi="Calibri"/>
                <w:b/>
                <w:i w:val="0"/>
                <w:color w:val="212121"/>
                <w:sz w:val="19"/>
              </w:rPr>
              <w:t>Iris shadow present (immature) or absent (mature)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crescentic iris shadow on oblique illumination indicates clear cortex remains; its absence indicates maturity.</w:t>
            </w:r>
          </w:p>
        </w:tc>
      </w:tr>
      <w:tr>
        <w:trPr>
          <w:cantSplit/>
        </w:trPr>
        <w:tc>
          <w:tcPr>
            <w:tcW w:type="dxa" w:w="3456"/>
            <w:vAlign w:val="top"/>
          </w:tcPr>
          <w:p>
            <w:pPr>
              <w:spacing w:after="40" w:before="0" w:line="259" w:lineRule="auto"/>
            </w:pPr>
            <w:r>
              <w:rPr>
                <w:rFonts w:ascii="Calibri" w:hAnsi="Calibri"/>
                <w:b/>
                <w:i w:val="0"/>
                <w:color w:val="212121"/>
                <w:sz w:val="19"/>
              </w:rPr>
              <w:t>Leukocoria (white pupil)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mature, hypermature, or congenital cataract; requires urgent evaluation in children.</w:t>
            </w:r>
          </w:p>
        </w:tc>
      </w:tr>
      <w:tr>
        <w:trPr>
          <w:cantSplit/>
        </w:trPr>
        <w:tc>
          <w:tcPr>
            <w:tcW w:type="dxa" w:w="3456"/>
            <w:vAlign w:val="top"/>
          </w:tcPr>
          <w:p>
            <w:pPr>
              <w:spacing w:after="40" w:before="0" w:line="259" w:lineRule="auto"/>
            </w:pPr>
            <w:r>
              <w:rPr>
                <w:rFonts w:ascii="Calibri" w:hAnsi="Calibri"/>
                <w:b/>
                <w:i w:val="0"/>
                <w:color w:val="212121"/>
                <w:sz w:val="19"/>
              </w:rPr>
              <w:t>Morgagnian / hypermature changes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Liquefied milky cortex with a dense nucleus sunk inferiorly in the capsular bag.</w:t>
            </w:r>
          </w:p>
        </w:tc>
      </w:tr>
      <w:tr>
        <w:trPr>
          <w:cantSplit/>
        </w:trPr>
        <w:tc>
          <w:tcPr>
            <w:tcW w:type="dxa" w:w="3456"/>
            <w:vAlign w:val="top"/>
          </w:tcPr>
          <w:p>
            <w:pPr>
              <w:spacing w:after="40" w:before="0" w:line="259" w:lineRule="auto"/>
            </w:pPr>
            <w:r>
              <w:rPr>
                <w:rFonts w:ascii="Calibri" w:hAnsi="Calibri"/>
                <w:b/>
                <w:i w:val="0"/>
                <w:color w:val="212121"/>
                <w:sz w:val="19"/>
              </w:rPr>
              <w:t>Phacodonesis / lens subluxation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Tremulous or displaced lens after trauma or in pseudoexfoliation/zonular weakness.</w:t>
            </w:r>
          </w:p>
        </w:tc>
      </w:tr>
      <w:tr>
        <w:trPr>
          <w:cantSplit/>
        </w:trPr>
        <w:tc>
          <w:tcPr>
            <w:tcW w:type="dxa" w:w="3456"/>
            <w:vAlign w:val="top"/>
          </w:tcPr>
          <w:p>
            <w:pPr>
              <w:spacing w:after="40" w:before="0" w:line="259" w:lineRule="auto"/>
            </w:pPr>
            <w:r>
              <w:rPr>
                <w:rFonts w:ascii="Calibri" w:hAnsi="Calibri"/>
                <w:b/>
                <w:i w:val="0"/>
                <w:color w:val="212121"/>
                <w:sz w:val="19"/>
              </w:rPr>
              <w:t>Raised IOP with shallow anterior chamber or ciliary flush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lens-induced (phacomorphic/phacolytic) glaucoma from an advanced cataract.</w:t>
            </w:r>
          </w:p>
        </w:tc>
      </w:tr>
      <w:tr>
        <w:trPr>
          <w:cantSplit/>
        </w:trPr>
        <w:tc>
          <w:tcPr>
            <w:tcW w:type="dxa" w:w="3456"/>
            <w:vAlign w:val="top"/>
          </w:tcPr>
          <w:p>
            <w:pPr>
              <w:spacing w:after="40" w:before="0" w:line="259" w:lineRule="auto"/>
            </w:pPr>
            <w:r>
              <w:rPr>
                <w:rFonts w:ascii="Calibri" w:hAnsi="Calibri"/>
                <w:b/>
                <w:i w:val="0"/>
                <w:color w:val="212121"/>
                <w:sz w:val="19"/>
              </w:rPr>
              <w:t>Absent red reflex in a neonate on newborn screening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Congenital cataract detected on red-reflex screening—an ophthalmic emergency to prevent amblyopia.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disabling visual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glare and loss of contrast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Myopic shift and unstable refraction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stereopsis / depth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mobility, reading, and loss of independence</w:t>
            </w:r>
          </w:p>
        </w:tc>
        <w:tc>
          <w:tcPr>
            <w:tcW w:type="dxa" w:w="2980"/>
            <w:vAlign w:val="top"/>
          </w:tcPr>
          <w:p>
            <w:pPr>
              <w:spacing w:after="40" w:before="0" w:line="259" w:lineRule="auto"/>
            </w:pPr>
            <w:r>
              <w:rPr>
                <w:rFonts w:ascii="Calibri" w:hAnsi="Calibri"/>
                <w:b w:val="0"/>
                <w:i w:val="0"/>
                <w:color w:val="212121"/>
                <w:sz w:val="19"/>
              </w:rPr>
              <w:t>Direct functional consequences of a progressively opacifying lens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Lens-induced (phacomorphic angle-closure, phacolytic, and phacoantigenic)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Mature/hypermature (Morgagnian)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road-traffic injury from poor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Amblyopia in congenital/childhood cataract if not treated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social isolation from vision loss</w:t>
            </w:r>
          </w:p>
        </w:tc>
        <w:tc>
          <w:tcPr>
            <w:tcW w:type="dxa" w:w="2980"/>
            <w:vAlign w:val="top"/>
          </w:tcPr>
          <w:p>
            <w:pPr>
              <w:spacing w:after="40" w:before="0" w:line="259" w:lineRule="auto"/>
            </w:pPr>
            <w:r>
              <w:rPr>
                <w:rFonts w:ascii="Calibri" w:hAnsi="Calibri"/>
                <w:b w:val="0"/>
                <w:i w:val="0"/>
                <w:color w:val="212121"/>
                <w:sz w:val="19"/>
              </w:rPr>
              <w:t>Result from advanced, untreated cataract and its impact on the eye and the person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Cataract blindness (avoidable, curable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complications: posterior capsular rupture, endophthalmitis, cystoid macular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Posterior capsule opacification (“after-cataract”) needing YAG laser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Retinal detachment after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Economic dependency and reduced quality of life; higher mortality risk in blind elders</w:t>
            </w:r>
          </w:p>
        </w:tc>
        <w:tc>
          <w:tcPr>
            <w:tcW w:type="dxa" w:w="2980"/>
            <w:vAlign w:val="top"/>
          </w:tcPr>
          <w:p>
            <w:pPr>
              <w:spacing w:after="40" w:before="0" w:line="259" w:lineRule="auto"/>
            </w:pPr>
            <w:r>
              <w:rPr>
                <w:rFonts w:ascii="Calibri" w:hAnsi="Calibri"/>
                <w:b w:val="0"/>
                <w:i w:val="0"/>
                <w:color w:val="212121"/>
                <w:sz w:val="19"/>
              </w:rPr>
              <w:t>End-stage or treatment-related outcomes of long-standing/advanced cataract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causes earlier, faster cataract (posterior subcapsular/“snowflake”) and complicates surgery and retinal assessment.</w:t>
            </w:r>
          </w:p>
        </w:tc>
      </w:tr>
      <w:tr>
        <w:trPr>
          <w:cantSplit/>
        </w:trPr>
        <w:tc>
          <w:tcPr>
            <w:tcW w:type="dxa" w:w="2232"/>
            <w:vAlign w:val="top"/>
          </w:tcPr>
          <w:p>
            <w:pPr>
              <w:spacing w:after="40" w:before="0" w:line="259" w:lineRule="auto"/>
            </w:pPr>
            <w:r>
              <w:rPr>
                <w:rFonts w:ascii="Calibri" w:hAnsi="Calibri"/>
                <w:b/>
                <w:i w:val="0"/>
                <w:color w:val="212121"/>
                <w:sz w:val="19"/>
              </w:rPr>
              <w:t>Glaucoma (incl. lens-induced)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Coexists in the elderly; an advanced/intumescent cataract can precipitate phacomorphic or phacolytic glaucoma, and combined management is often needed.</w:t>
            </w:r>
          </w:p>
        </w:tc>
      </w:tr>
      <w:tr>
        <w:trPr>
          <w:cantSplit/>
        </w:trPr>
        <w:tc>
          <w:tcPr>
            <w:tcW w:type="dxa" w:w="2232"/>
            <w:vAlign w:val="top"/>
          </w:tcPr>
          <w:p>
            <w:pPr>
              <w:spacing w:after="40" w:before="0" w:line="259" w:lineRule="auto"/>
            </w:pPr>
            <w:r>
              <w:rPr>
                <w:rFonts w:ascii="Calibri" w:hAnsi="Calibri"/>
                <w:b/>
                <w:i w:val="0"/>
                <w:color w:val="212121"/>
                <w:sz w:val="19"/>
              </w:rPr>
              <w:t>Diabetic retinopathy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diabetic substrate; a dense cataract obscures fundus view and hinders laser/screening, and surgery can accelerate retinopathy.</w:t>
            </w:r>
          </w:p>
        </w:tc>
      </w:tr>
      <w:tr>
        <w:trPr>
          <w:cantSplit/>
        </w:trPr>
        <w:tc>
          <w:tcPr>
            <w:tcW w:type="dxa" w:w="2232"/>
            <w:vAlign w:val="top"/>
          </w:tcPr>
          <w:p>
            <w:pPr>
              <w:spacing w:after="40" w:before="0" w:line="259" w:lineRule="auto"/>
            </w:pPr>
            <w:r>
              <w:rPr>
                <w:rFonts w:ascii="Calibri" w:hAnsi="Calibri"/>
                <w:b/>
                <w:i w:val="0"/>
                <w:color w:val="212121"/>
                <w:sz w:val="19"/>
              </w:rPr>
              <w:t>Age-related macular degeneration (AMD)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the same elderly population; limits post-operative visual gain and must be identified when counselling about surgery.</w:t>
            </w:r>
          </w:p>
        </w:tc>
      </w:tr>
      <w:tr>
        <w:trPr>
          <w:cantSplit/>
        </w:trPr>
        <w:tc>
          <w:tcPr>
            <w:tcW w:type="dxa" w:w="2232"/>
            <w:vAlign w:val="top"/>
          </w:tcPr>
          <w:p>
            <w:pPr>
              <w:spacing w:after="40" w:before="0" w:line="259" w:lineRule="auto"/>
            </w:pPr>
            <w:r>
              <w:rPr>
                <w:rFonts w:ascii="Calibri" w:hAnsi="Calibri"/>
                <w:b/>
                <w:i w:val="0"/>
                <w:color w:val="212121"/>
                <w:sz w:val="19"/>
              </w:rPr>
              <w:t>High myopia / refractive error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myopia predisposes to earlier nuclear cataract, while nuclear cataract itself induces index myopia; both affect IOL power selection.</w:t>
            </w:r>
          </w:p>
        </w:tc>
      </w:tr>
      <w:tr>
        <w:trPr>
          <w:cantSplit/>
        </w:trPr>
        <w:tc>
          <w:tcPr>
            <w:tcW w:type="dxa" w:w="2232"/>
            <w:vAlign w:val="top"/>
          </w:tcPr>
          <w:p>
            <w:pPr>
              <w:spacing w:after="40" w:before="0" w:line="259" w:lineRule="auto"/>
            </w:pPr>
            <w:r>
              <w:rPr>
                <w:rFonts w:ascii="Calibri" w:hAnsi="Calibri"/>
                <w:b/>
                <w:i w:val="0"/>
                <w:color w:val="212121"/>
                <w:sz w:val="19"/>
              </w:rPr>
              <w:t>Pseudoexfoliation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cataract, zonular weakness (higher surgical risk), and secondary glaucoma.</w:t>
            </w:r>
          </w:p>
        </w:tc>
      </w:tr>
      <w:tr>
        <w:trPr>
          <w:cantSplit/>
        </w:trPr>
        <w:tc>
          <w:tcPr>
            <w:tcW w:type="dxa" w:w="2232"/>
            <w:vAlign w:val="top"/>
          </w:tcPr>
          <w:p>
            <w:pPr>
              <w:spacing w:after="40" w:before="0" w:line="259" w:lineRule="auto"/>
            </w:pPr>
            <w:r>
              <w:rPr>
                <w:rFonts w:ascii="Calibri" w:hAnsi="Calibri"/>
                <w:b/>
                <w:i w:val="0"/>
                <w:color w:val="212121"/>
                <w:sz w:val="19"/>
              </w:rPr>
              <w:t>Chronic uveitis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Intraocular inflammation causes complicated cataract, and the steroids used to treat it further induce cataract; surgery is higher-risk.</w:t>
            </w:r>
          </w:p>
        </w:tc>
      </w:tr>
      <w:tr>
        <w:trPr>
          <w:cantSplit/>
        </w:trPr>
        <w:tc>
          <w:tcPr>
            <w:tcW w:type="dxa" w:w="2232"/>
            <w:vAlign w:val="top"/>
          </w:tcPr>
          <w:p>
            <w:pPr>
              <w:spacing w:after="40" w:before="0" w:line="259" w:lineRule="auto"/>
            </w:pPr>
            <w:r>
              <w:rPr>
                <w:rFonts w:ascii="Calibri" w:hAnsi="Calibri"/>
                <w:b/>
                <w:i w:val="0"/>
                <w:color w:val="212121"/>
                <w:sz w:val="19"/>
              </w:rPr>
              <w:t>Steroid-requiring systemic disease (asthma/COPD, RA, nephrotic syndrome, transplant)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corticosteroid therapy induces posterior subcapsular cataract, often at a younger age.</w:t>
            </w:r>
          </w:p>
        </w:tc>
      </w:tr>
      <w:tr>
        <w:trPr>
          <w:cantSplit/>
        </w:trPr>
        <w:tc>
          <w:tcPr>
            <w:tcW w:type="dxa" w:w="2232"/>
            <w:vAlign w:val="top"/>
          </w:tcPr>
          <w:p>
            <w:pPr>
              <w:spacing w:after="40" w:before="0" w:line="259" w:lineRule="auto"/>
            </w:pPr>
            <w:r>
              <w:rPr>
                <w:rFonts w:ascii="Calibri" w:hAnsi="Calibri"/>
                <w:b/>
                <w:i w:val="0"/>
                <w:color w:val="212121"/>
                <w:sz w:val="19"/>
              </w:rPr>
              <w:t>Depression, falls &amp; fractures (from vision loss)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Cataract-related visual impairment increases depression, social isolation, and fall/fracture risk in the elderly; restoring vision reverses much of this.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UV-blocking sunglasses and a broad-brim hat outdoors to cut cumulative sunlight (UV-B)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dilated eye check after age 40, and annually if diabetic, on long-term steroids, or after eye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diabetes and blood pressure well controlled to slow metabolic and posterior subcapsular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unsupervised (over-the-counter) steroid eye drops and prolonged systemic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signs—glare, poor night vision, faded colours, frequent glasses changes—and seek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cataract surgery is safe, quick, and curative; do not wait for the cataract to “mature”.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timely surgery for women and elderly relatives to close the gender and access gap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low-income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what modern surgery involves—phacoemulsification with a foldable intraocular lens (IOL), usually day-care.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antibiotic/anti-inflammatory drops exactly as directed to prevent post-operative infection (endophthalmitis).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strict lid/eye hygiene and avoid rubbing, dust, and dirty water in the early post-operative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 filmy “after-cataract” (posterior capsule opacification) is easily treated with YAG laser.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IOL options and realistic expectations, especially if there is coexisting diabetic, glaucomatous, or macular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sudden pain, redness, or falling vision after surgery immediately.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undergoing/after cataract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eye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(≥150 minutes/week) to control diabetes, obesity, and blood pressure that drive metabolic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resistance work to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eyes with appropriate eyewear during sports and hazardous work to prevent traumatic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cataract surgery, follow activity advice—avoid heavy lifting, straining, and swimming until cleared.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diet—green leafy vegetables, carrots, and vitamin-C sources such as amla, citrus, and guava.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lutein/zeaxanthin foods (spinach, other dark greens) that support lens and macular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overall nutrition to prevent early cataract linked to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sugar controlled by limiting refined carbohydrates and sugary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seek prompt treatment for severe diarrhoeal/dehydrating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 low-income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populations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overall metabolic health (an indirect benefit for the lens).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other conditions that worsen diabetes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bidis—smoking is a strong, dose-dependent cause of nuclear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quitlines) and set a quit date; risk falls after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cooking-smoke exposure by using improved/clean cookstoves (LPG) and better kitchen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for children and non-smoking women at home.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women using biomass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indoor cooking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intake, which is modestly associated with higher cataract risk and poorer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to low limits and never combine with poor dietary/antioxidant intake.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elderly people with vision loss for depression and social isolation, which cataract commonly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family support while awaiting surgery, and reassure that surgery usually restores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low-vision aids and home-safety measures to reduce fear of falling until the cataract is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fatalistic beliefs about eye surgery that delay care, especially in rural communities.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low-literacy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9699/" TargetMode="External"/><Relationship Id="rId10" Type="http://schemas.openxmlformats.org/officeDocument/2006/relationships/hyperlink" Target="https://doi.org/10.1136/bmjph-2025-004598" TargetMode="External"/><Relationship Id="rId11" Type="http://schemas.openxmlformats.org/officeDocument/2006/relationships/hyperlink" Target="https://www.who.int/news-room/fact-sheets/detail/blindness-and-visual-impairment" TargetMode="External"/><Relationship Id="rId12" Type="http://schemas.openxmlformats.org/officeDocument/2006/relationships/hyperlink" Target="https://doi.org/10.1136/bjo-2024-326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