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Keratoconus</w:t>
      </w:r>
    </w:p>
    <w:p>
      <w:pPr>
        <w:spacing w:before="0" w:after="160"/>
      </w:pPr>
      <w:r>
        <w:rPr>
          <w:rFonts w:ascii="Calibri" w:hAnsi="Calibri"/>
          <w:b/>
          <w:i w:val="0"/>
          <w:color w:val="212121"/>
          <w:sz w:val="22"/>
        </w:rPr>
        <w:t xml:space="preserve">AKA </w:t>
      </w:r>
      <w:r>
        <w:rPr>
          <w:rFonts w:ascii="Calibri" w:hAnsi="Calibri"/>
          <w:b w:val="0"/>
          <w:i w:val="0"/>
          <w:color w:val="212121"/>
          <w:sz w:val="22"/>
        </w:rPr>
        <w:t>i.e., KC, Conical cornea, Non-inflammatory corneal ectasia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Keratoconus is a chronic, progressive, usually bilateral but asymmetric non-inflammatory ectatic disorder of the cornea in which progressive stromal thinning and biomechanical weakening cause the central or paracentral cornea to bulge forward into a cone shape. This distorts the eye's principal refracting surface, producing irregular astigmatism, progressive myopia and impaired vision that is poorly corrected by spectacles. Onset is typically around puberty, with the fastest progression through the second and third decades before the disease tends to stabilise by the fourth decade.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Keratoconus is markedly more common in India and other South Asian and Middle Eastern populations than in the West. A pooled Indian meta-analysis estimated a prevalence of about 2% in the general population, rising to roughly 7% across hospital and clinic populations and about 10% among children with vernal keratoconjunctivitis; large Indian hospital big-data series report a diagnosis rate near 0.6%, with cases clustering in the second decade of life. For comparison, global estimates range from a classic figure of about 1 in 2,000 up to as high as 1 in 375, being consistently higher in Asian and Middle Eastern groups.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Keratoconus is a clinical and tomographic diagnosis. It is suspected from progressive irregular astigmatism that resists spectacle correction and is confirmed by corneal imaging showing characteristic ectasia and focal thinning. It is diagnosed on the basis of the following features: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progressive, asymmetric irregular (oblique or against-the-rule) astigmatism with frequent spectacle prescription changes and best-corrected acuity that declines over time;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corneal topography showing inferior or inferotemporal steepening, a skewed radial axis (asymmetric bow-tie) and elevated maximum keratometry (Kmax);</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Scheimpflug or slit-scanning tomography demonstrating increased posterior corneal elevation and focal stromal thinning (reduced thinnest pachymetry), with an inferotemporally displaced thinnest point;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retinoscopic “scissoring” reflex and, on slit-lamp examination, one or more of Fleischer ring, Vogt striae, apical thinning or stromal scarring;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Munson sign (V-shaped lower-lid indentation on downgaze) and Rizzuti sign in advanced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prior refractive surgery and of other ectatic disorders such as post-LASIK ectasia and pellucid marginal degeneration.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Keratoconus is graded by severity using keratometric, pachymetric and morphological parameters. The most widely used scheme is the Amsler–Krumeich classification (Stages 1–4); newer systems such as the Belin ABCD grading additionally incorporate anterior and posterior corneal curvature, thinnest pachymetry and best-corrected visual acuity.</w:t>
      </w:r>
    </w:p>
    <w:p>
      <w:pPr>
        <w:spacing w:before="0" w:after="80"/>
      </w:pPr>
      <w:r>
        <w:rPr>
          <w:rFonts w:ascii="Calibri" w:hAnsi="Calibri"/>
          <w:b w:val="0"/>
          <w:i w:val="0"/>
          <w:color w:val="212121"/>
          <w:sz w:val="21"/>
        </w:rPr>
        <w:t>(1) Stage 1 (mild) — eccentric corneal steepening with central keratometry below 48 D, induced myopia and astigmatism up to about 5 D, no corneal scarring, and vision correctable with spectacles;</w:t>
      </w:r>
    </w:p>
    <w:p>
      <w:pPr>
        <w:spacing w:before="0" w:after="80"/>
      </w:pPr>
      <w:r>
        <w:rPr>
          <w:rFonts w:ascii="Calibri" w:hAnsi="Calibri"/>
          <w:b w:val="0"/>
          <w:i w:val="0"/>
          <w:color w:val="212121"/>
          <w:sz w:val="21"/>
        </w:rPr>
        <w:t>(2) Stage 2 (moderate) — central keratometry 48–53 D, induced myopia/astigmatism above 5 D, corneal thickness usually greater than 400 µm and no central scarring;</w:t>
      </w:r>
    </w:p>
    <w:p>
      <w:pPr>
        <w:spacing w:before="0" w:after="80"/>
      </w:pPr>
      <w:r>
        <w:rPr>
          <w:rFonts w:ascii="Calibri" w:hAnsi="Calibri"/>
          <w:b w:val="0"/>
          <w:i w:val="0"/>
          <w:color w:val="212121"/>
          <w:sz w:val="21"/>
        </w:rPr>
        <w:t>(3) Stage 3 (advanced) — central keratometry 53–55 D, thinnest pachymetry around 200–400 µm, spectacle correction inadequate so that rigid or scleral contact lenses are required, without central scarring;</w:t>
      </w:r>
    </w:p>
    <w:p>
      <w:pPr>
        <w:spacing w:before="0" w:after="80"/>
      </w:pPr>
      <w:r>
        <w:rPr>
          <w:rFonts w:ascii="Calibri" w:hAnsi="Calibri"/>
          <w:b w:val="0"/>
          <w:i w:val="0"/>
          <w:color w:val="212121"/>
          <w:sz w:val="21"/>
        </w:rPr>
        <w:t>(4) Stage 4 (severe) — central keratometry above 55 D (or unmeasurable), central corneal scarring or opacity, corneal thickness often below 200 µm, and vision 20/400 or worse, frequently requiring corneal transplantation. Morphological subtypes (nipple, oval/sagging and globus cones) and the presence of acute corneal hydrops further characterise the disease.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Eye rubbing: Repetitive, vigorous mechanical eye rubbing is the strongest modifiable risk factor, generating epithelial and stromal micro-trauma, keratocyte apoptosis and matrix-metalloproteinase-mediated collagen breakdown (pooled odds ratio about 6.5).</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Atopy and allergic eye disease: Chronic ocular allergy — especially vernal keratoconjunctivitis, common in Indian children — drives an itch–rub cycle and inflammatory enzyme release that weakens the corneal stroma.</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Genetic predisposition: A positive family history, consanguinity and syndromic associations (Down syndrome, connective-tissue disorders) point to a strong, largely polygenic genetic contribution.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Oxidative stress and collagen weakness: Reduced antioxidant defences and increased matrix-metalloproteinase activity impair corneal collagen cross-links and lower biomechanical rigidity.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Mechanical and environmental factors: Ill-fitting rigid contact lenses, high ultraviolet and sunlight exposure (relevant to India's climate) and habitual prone or same-side sleeping (eye compression) are implicated.</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Hormonal factors: Onset around puberty and reports of progression during pregnancy suggest a hormonal influence on corneal biomechanics.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adults (second–third decade)</w:t>
            </w:r>
          </w:p>
        </w:tc>
        <w:tc>
          <w:tcPr>
            <w:tcW w:type="dxa" w:w="4276"/>
            <w:vAlign w:val="top"/>
          </w:tcPr>
          <w:p>
            <w:pPr>
              <w:spacing w:after="60" w:line="259" w:lineRule="auto"/>
            </w:pPr>
            <w:r>
              <w:rPr>
                <w:rFonts w:ascii="Calibri" w:hAnsi="Calibri"/>
                <w:b w:val="0"/>
                <w:i w:val="0"/>
                <w:color w:val="212121"/>
                <w:sz w:val="19"/>
              </w:rPr>
              <w:t>Keratoconus is usually diagnosed and progresses fastest in the teens and twenties, when the cornea is most biomechanically susceptible, and tends to stabilise by about 40 years.</w:t>
            </w:r>
          </w:p>
          <w:p>
            <w:pPr>
              <w:spacing w:after="40" w:before="60" w:line="259" w:lineRule="auto"/>
            </w:pPr>
            <w:r>
              <w:rPr>
                <w:rFonts w:ascii="Calibri" w:hAnsi="Calibri"/>
                <w:b w:val="0"/>
                <w:i w:val="0"/>
                <w:color w:val="212121"/>
                <w:sz w:val="19"/>
              </w:rPr>
              <w:t>In Indian hospital big-data, the mean age at presentation is about 22 years with a peak prevalence of 2.4% among patients in their twenties.</w:t>
            </w:r>
          </w:p>
          <w:p>
            <w:pPr>
              <w:spacing w:after="40" w:line="252" w:lineRule="auto"/>
            </w:pPr>
            <w:hyperlink r:id="rId9">
              <w:r>
                <w:rPr>
                  <w:rFonts w:ascii="Calibri" w:hAnsi="Calibri" w:cs="Calibri"/>
                  <w:sz w:val="18"/>
                  <w:color w:val="1155CC"/>
                  <w:u w:val="single"/>
                </w:rPr>
                <w:t xml:space="preserve">lvpei.org — demographics of keratoconus in India</w:t>
              </w:r>
            </w:hyperlink>
          </w:p>
          <w:p>
            <w:pPr>
              <w:spacing w:before="60" w:after="40"/>
            </w:pPr>
            <w:r>
              <w:rPr>
                <w:rFonts w:ascii="Calibri" w:hAnsi="Calibri"/>
                <w:b w:val="0"/>
                <w:i w:val="0"/>
                <w:color w:val="5A5A5A"/>
                <w:sz w:val="18"/>
              </w:rPr>
              <w:t>#keratoconus  #youngadults  #cornealectasia  #progression  #irregularastigmatism</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 pubertal onset</w:t>
            </w:r>
          </w:p>
        </w:tc>
        <w:tc>
          <w:tcPr>
            <w:tcW w:type="dxa" w:w="4276"/>
            <w:vAlign w:val="top"/>
          </w:tcPr>
          <w:p>
            <w:pPr>
              <w:spacing w:after="60" w:line="259" w:lineRule="auto"/>
            </w:pPr>
            <w:r>
              <w:rPr>
                <w:rFonts w:ascii="Calibri" w:hAnsi="Calibri"/>
                <w:b w:val="0"/>
                <w:i w:val="0"/>
                <w:color w:val="212121"/>
                <w:sz w:val="19"/>
              </w:rPr>
              <w:t>Onset clusters around puberty; earlier onset predicts faster, more severe progression and a higher lifetime chance of needing cross-linking or transplantation.</w:t>
            </w:r>
          </w:p>
          <w:p>
            <w:pPr>
              <w:spacing w:after="40" w:before="60" w:line="259" w:lineRule="auto"/>
            </w:pPr>
            <w:r>
              <w:rPr>
                <w:rFonts w:ascii="Calibri" w:hAnsi="Calibri"/>
                <w:b w:val="0"/>
                <w:i w:val="0"/>
                <w:color w:val="212121"/>
                <w:sz w:val="19"/>
              </w:rPr>
              <w:t>In an Indian multicentric study the 20–29 year age group accounted for 44.9% of newly diagnosed cases, and mean age at presentation was 23.5 years.</w:t>
            </w:r>
          </w:p>
          <w:p>
            <w:pPr>
              <w:spacing w:after="40" w:line="252" w:lineRule="auto"/>
            </w:pPr>
            <w:hyperlink r:id="rId10">
              <w:r>
                <w:rPr>
                  <w:rFonts w:ascii="Calibri" w:hAnsi="Calibri" w:cs="Calibri"/>
                  <w:sz w:val="18"/>
                  <w:color w:val="1155CC"/>
                  <w:u w:val="single"/>
                </w:rPr>
                <w:t xml:space="preserve">nature.com — keratoconus multicentric study India</w:t>
              </w:r>
            </w:hyperlink>
          </w:p>
          <w:p>
            <w:pPr>
              <w:spacing w:before="60" w:after="40"/>
            </w:pPr>
            <w:r>
              <w:rPr>
                <w:rFonts w:ascii="Calibri" w:hAnsi="Calibri"/>
                <w:b w:val="0"/>
                <w:i w:val="0"/>
                <w:color w:val="5A5A5A"/>
                <w:sz w:val="18"/>
              </w:rPr>
              <w:t>#pubertyonset  #adolescents  #earlyonset  #screening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Indian series show a clear male predominance, attributed to more vigorous eye rubbing, greater outdoor ultraviolet exposure and higher rates of vernal keratoconjunctivitis in boys.</w:t>
            </w:r>
          </w:p>
          <w:p>
            <w:pPr>
              <w:spacing w:after="40" w:before="60" w:line="259" w:lineRule="auto"/>
            </w:pPr>
            <w:r>
              <w:rPr>
                <w:rFonts w:ascii="Calibri" w:hAnsi="Calibri"/>
                <w:b w:val="0"/>
                <w:i w:val="0"/>
                <w:color w:val="212121"/>
                <w:sz w:val="19"/>
              </w:rPr>
              <w:t>About 61% of Indian keratoconus patients are male, with a male-to-female susceptibility ratio near 8:1 in hospital big-data; a multicentric study found 59.1% males.</w:t>
            </w:r>
          </w:p>
          <w:p>
            <w:pPr>
              <w:spacing w:after="40" w:line="252" w:lineRule="auto"/>
            </w:pPr>
            <w:hyperlink r:id="rId9">
              <w:r>
                <w:rPr>
                  <w:rFonts w:ascii="Calibri" w:hAnsi="Calibri" w:cs="Calibri"/>
                  <w:sz w:val="18"/>
                  <w:color w:val="1155CC"/>
                  <w:u w:val="single"/>
                </w:rPr>
                <w:t xml:space="preserve">lvpei.org — keratoconus in India</w:t>
              </w:r>
            </w:hyperlink>
          </w:p>
          <w:p>
            <w:pPr>
              <w:spacing w:before="60" w:after="40"/>
            </w:pPr>
            <w:r>
              <w:rPr>
                <w:rFonts w:ascii="Calibri" w:hAnsi="Calibri"/>
                <w:b w:val="0"/>
                <w:i w:val="0"/>
                <w:color w:val="5A5A5A"/>
                <w:sz w:val="18"/>
              </w:rPr>
              <w:t>#malepredominance  #eyerubbing  #UVexposure  #VKC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Middle / upper-middle-class urban youth</w:t>
            </w:r>
          </w:p>
        </w:tc>
        <w:tc>
          <w:tcPr>
            <w:tcW w:type="dxa" w:w="4276"/>
            <w:vAlign w:val="top"/>
          </w:tcPr>
          <w:p>
            <w:pPr>
              <w:spacing w:after="60" w:line="259" w:lineRule="auto"/>
            </w:pPr>
            <w:r>
              <w:rPr>
                <w:rFonts w:ascii="Calibri" w:hAnsi="Calibri"/>
                <w:b w:val="0"/>
                <w:i w:val="0"/>
                <w:color w:val="212121"/>
                <w:sz w:val="19"/>
              </w:rPr>
              <w:t>Higher detection among urban, educated, middle-class groups partly reflects healthcare access and awareness, alongside allergic disease and screen-related eye strain.</w:t>
            </w:r>
          </w:p>
          <w:p>
            <w:pPr>
              <w:spacing w:after="40" w:before="60" w:line="259" w:lineRule="auto"/>
            </w:pPr>
            <w:r>
              <w:rPr>
                <w:rFonts w:ascii="Calibri" w:hAnsi="Calibri"/>
                <w:b w:val="0"/>
                <w:i w:val="0"/>
                <w:color w:val="212121"/>
                <w:sz w:val="19"/>
              </w:rPr>
              <w:t>89% of Indian keratoconus patients were from middle-class families and upper-middle-class youth were about five times more susceptible than lower strata; 70.8% were urban residents.</w:t>
            </w:r>
          </w:p>
          <w:p>
            <w:pPr>
              <w:spacing w:after="40" w:line="252" w:lineRule="auto"/>
            </w:pPr>
            <w:hyperlink r:id="rId9">
              <w:r>
                <w:rPr>
                  <w:rFonts w:ascii="Calibri" w:hAnsi="Calibri" w:cs="Calibri"/>
                  <w:sz w:val="18"/>
                  <w:color w:val="1155CC"/>
                  <w:u w:val="single"/>
                </w:rPr>
                <w:t xml:space="preserve">lvpei.org — keratoconus demographics India</w:t>
              </w:r>
            </w:hyperlink>
          </w:p>
          <w:p>
            <w:pPr>
              <w:spacing w:before="60" w:after="40"/>
            </w:pPr>
            <w:r>
              <w:rPr>
                <w:rFonts w:ascii="Calibri" w:hAnsi="Calibri"/>
                <w:b w:val="0"/>
                <w:i w:val="0"/>
                <w:color w:val="5A5A5A"/>
                <w:sz w:val="18"/>
              </w:rPr>
              <w:t>#urban  #middleclass  #healthcareaccess  #screentime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Asian Indian / South Asian</w:t>
            </w:r>
          </w:p>
        </w:tc>
        <w:tc>
          <w:tcPr>
            <w:tcW w:type="dxa" w:w="4276"/>
            <w:vAlign w:val="top"/>
          </w:tcPr>
          <w:p>
            <w:pPr>
              <w:spacing w:after="60" w:line="259" w:lineRule="auto"/>
            </w:pPr>
            <w:r>
              <w:rPr>
                <w:rFonts w:ascii="Calibri" w:hAnsi="Calibri"/>
                <w:b w:val="0"/>
                <w:i w:val="0"/>
                <w:color w:val="212121"/>
                <w:sz w:val="19"/>
              </w:rPr>
              <w:t>South Asian ethnicity carries a several-fold higher risk than White Europeans, reflecting genetic susceptibility, consanguinity and a high burden of atopy and vernal keratoconjunctivitis.</w:t>
            </w:r>
          </w:p>
          <w:p>
            <w:pPr>
              <w:spacing w:after="40" w:before="60" w:line="259" w:lineRule="auto"/>
            </w:pPr>
            <w:r>
              <w:rPr>
                <w:rFonts w:ascii="Calibri" w:hAnsi="Calibri"/>
                <w:b w:val="0"/>
                <w:i w:val="0"/>
                <w:color w:val="212121"/>
                <w:sz w:val="19"/>
              </w:rPr>
              <w:t>Keratoconus prevalence is consistently higher, and presents earlier, in Asian and Middle Eastern populations than in White European populations.</w:t>
            </w:r>
          </w:p>
          <w:p>
            <w:pPr>
              <w:spacing w:after="40" w:line="252" w:lineRule="auto"/>
            </w:pPr>
            <w:hyperlink r:id="rId11">
              <w:r>
                <w:rPr>
                  <w:rFonts w:ascii="Calibri" w:hAnsi="Calibri" w:cs="Calibri"/>
                  <w:sz w:val="18"/>
                  <w:color w:val="1155CC"/>
                  <w:u w:val="single"/>
                </w:rPr>
                <w:t xml:space="preserve">frontiersin.org — management of keratoconus review</w:t>
              </w:r>
            </w:hyperlink>
          </w:p>
          <w:p>
            <w:pPr>
              <w:spacing w:before="60" w:after="40"/>
            </w:pPr>
            <w:r>
              <w:rPr>
                <w:rFonts w:ascii="Calibri" w:hAnsi="Calibri"/>
                <w:b w:val="0"/>
                <w:i w:val="0"/>
                <w:color w:val="5A5A5A"/>
                <w:sz w:val="18"/>
              </w:rPr>
              <w:t>#southasian  #ethnicity  #geneticsusceptibility  #consanguinity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climate</w:t>
            </w:r>
          </w:p>
        </w:tc>
        <w:tc>
          <w:tcPr>
            <w:tcW w:type="dxa" w:w="2160"/>
            <w:vAlign w:val="top"/>
          </w:tcPr>
          <w:p>
            <w:pPr>
              <w:spacing w:after="40" w:before="0" w:line="259" w:lineRule="auto"/>
            </w:pPr>
            <w:r>
              <w:rPr>
                <w:rFonts w:ascii="Calibri" w:hAnsi="Calibri"/>
                <w:b w:val="0"/>
                <w:i w:val="0"/>
                <w:color w:val="212121"/>
                <w:sz w:val="19"/>
              </w:rPr>
              <w:t>Hot, sunny, high-UV regions</w:t>
            </w:r>
          </w:p>
        </w:tc>
        <w:tc>
          <w:tcPr>
            <w:tcW w:type="dxa" w:w="4276"/>
            <w:vAlign w:val="top"/>
          </w:tcPr>
          <w:p>
            <w:pPr>
              <w:spacing w:after="60" w:line="259" w:lineRule="auto"/>
            </w:pPr>
            <w:r>
              <w:rPr>
                <w:rFonts w:ascii="Calibri" w:hAnsi="Calibri"/>
                <w:b w:val="0"/>
                <w:i w:val="0"/>
                <w:color w:val="212121"/>
                <w:sz w:val="19"/>
              </w:rPr>
              <w:t>Chronic ultraviolet exposure promotes corneal oxidative stress; keratoconus is notably more prevalent in sunny, low-latitude regions including much of India and the Middle East.</w:t>
            </w:r>
          </w:p>
          <w:p>
            <w:pPr>
              <w:spacing w:after="40" w:before="60" w:line="259" w:lineRule="auto"/>
            </w:pPr>
            <w:r>
              <w:rPr>
                <w:rFonts w:ascii="Calibri" w:hAnsi="Calibri"/>
                <w:b w:val="0"/>
                <w:i w:val="0"/>
                <w:color w:val="212121"/>
                <w:sz w:val="19"/>
              </w:rPr>
              <w:t>Reported paediatric prevalence ranges from 5.2 per 1,000 in New Zealand to 47.9 per 1,000 in Saudi Arabia, underscoring the higher burden in hot, sunny climates.</w:t>
            </w:r>
          </w:p>
          <w:p>
            <w:pPr>
              <w:spacing w:after="40" w:line="252" w:lineRule="auto"/>
            </w:pPr>
            <w:hyperlink r:id="rId11">
              <w:r>
                <w:rPr>
                  <w:rFonts w:ascii="Calibri" w:hAnsi="Calibri" w:cs="Calibri"/>
                  <w:sz w:val="18"/>
                  <w:color w:val="1155CC"/>
                  <w:u w:val="single"/>
                </w:rPr>
                <w:t xml:space="preserve">frontiersin.org — keratoconus prevalence review</w:t>
              </w:r>
            </w:hyperlink>
          </w:p>
          <w:p>
            <w:pPr>
              <w:spacing w:before="60" w:after="40"/>
            </w:pPr>
            <w:r>
              <w:rPr>
                <w:rFonts w:ascii="Calibri" w:hAnsi="Calibri"/>
                <w:b w:val="0"/>
                <w:i w:val="0"/>
                <w:color w:val="5A5A5A"/>
                <w:sz w:val="18"/>
              </w:rPr>
              <w:t>#UVexposure  #oxidativestress  #climate  #sunlight</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Eye rubbing</w:t>
            </w:r>
          </w:p>
        </w:tc>
        <w:tc>
          <w:tcPr>
            <w:tcW w:type="dxa" w:w="2160"/>
            <w:vAlign w:val="top"/>
          </w:tcPr>
          <w:p>
            <w:pPr>
              <w:spacing w:after="40" w:before="0" w:line="259" w:lineRule="auto"/>
            </w:pPr>
            <w:r>
              <w:rPr>
                <w:rFonts w:ascii="Calibri" w:hAnsi="Calibri"/>
                <w:b w:val="0"/>
                <w:i w:val="0"/>
                <w:color w:val="212121"/>
                <w:sz w:val="19"/>
              </w:rPr>
              <w:t>Habitual / vigorous eye rubbers</w:t>
            </w:r>
          </w:p>
        </w:tc>
        <w:tc>
          <w:tcPr>
            <w:tcW w:type="dxa" w:w="4276"/>
            <w:vAlign w:val="top"/>
          </w:tcPr>
          <w:p>
            <w:pPr>
              <w:spacing w:after="60" w:line="259" w:lineRule="auto"/>
            </w:pPr>
            <w:r>
              <w:rPr>
                <w:rFonts w:ascii="Calibri" w:hAnsi="Calibri"/>
                <w:b w:val="0"/>
                <w:i w:val="0"/>
                <w:color w:val="212121"/>
                <w:sz w:val="19"/>
              </w:rPr>
              <w:t>Repeated mechanical trauma from rubbing is the single strongest modifiable driver; knuckle-grinding of itchy or tired eyes causes keratocyte loss and collagen breakdown.</w:t>
            </w:r>
          </w:p>
          <w:p>
            <w:pPr>
              <w:spacing w:after="40" w:before="60" w:line="259" w:lineRule="auto"/>
            </w:pPr>
            <w:r>
              <w:rPr>
                <w:rFonts w:ascii="Calibri" w:hAnsi="Calibri"/>
                <w:b w:val="0"/>
                <w:i w:val="0"/>
                <w:color w:val="212121"/>
                <w:sz w:val="19"/>
              </w:rPr>
              <w:t>A systematic review and meta-analysis found a pooled odds ratio for eye rubbing of 6.46 (95% CI 4.12–10.1).</w:t>
            </w:r>
          </w:p>
          <w:p>
            <w:pPr>
              <w:spacing w:after="40" w:line="252" w:lineRule="auto"/>
            </w:pPr>
            <w:hyperlink r:id="rId12">
              <w:r>
                <w:rPr>
                  <w:rFonts w:ascii="Calibri" w:hAnsi="Calibri" w:cs="Calibri"/>
                  <w:sz w:val="18"/>
                  <w:color w:val="1155CC"/>
                  <w:u w:val="single"/>
                </w:rPr>
                <w:t xml:space="preserve">link.springer.com — eye rubbing meta-analysis (Graefe's Arch)</w:t>
              </w:r>
            </w:hyperlink>
          </w:p>
          <w:p>
            <w:pPr>
              <w:spacing w:before="60" w:after="40"/>
            </w:pPr>
            <w:r>
              <w:rPr>
                <w:rFonts w:ascii="Calibri" w:hAnsi="Calibri"/>
                <w:b w:val="0"/>
                <w:i w:val="0"/>
                <w:color w:val="5A5A5A"/>
                <w:sz w:val="18"/>
              </w:rPr>
              <w:t>#eyerubbing  #modifiablerisk  #mechanicaltrauma  #itchrubcycle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Contact lens / occupation</w:t>
            </w:r>
          </w:p>
        </w:tc>
        <w:tc>
          <w:tcPr>
            <w:tcW w:type="dxa" w:w="2160"/>
            <w:vAlign w:val="top"/>
          </w:tcPr>
          <w:p>
            <w:pPr>
              <w:spacing w:after="40" w:before="0" w:line="259" w:lineRule="auto"/>
            </w:pPr>
            <w:r>
              <w:rPr>
                <w:rFonts w:ascii="Calibri" w:hAnsi="Calibri"/>
                <w:b w:val="0"/>
                <w:i w:val="0"/>
                <w:color w:val="212121"/>
                <w:sz w:val="19"/>
              </w:rPr>
              <w:t>Ill-fitting rigid-lens wearers; dusty, allergen-rich occupations</w:t>
            </w:r>
          </w:p>
        </w:tc>
        <w:tc>
          <w:tcPr>
            <w:tcW w:type="dxa" w:w="4276"/>
            <w:vAlign w:val="top"/>
          </w:tcPr>
          <w:p>
            <w:pPr>
              <w:spacing w:after="60" w:line="259" w:lineRule="auto"/>
            </w:pPr>
            <w:r>
              <w:rPr>
                <w:rFonts w:ascii="Calibri" w:hAnsi="Calibri"/>
                <w:b w:val="0"/>
                <w:i w:val="0"/>
                <w:color w:val="212121"/>
                <w:sz w:val="19"/>
              </w:rPr>
              <w:t>Poorly fitting rigid lenses and occupational dust or allergen exposure aggravate eye rubbing and surface micro-trauma, adding mechanical stress to a weakened cornea.</w:t>
            </w:r>
          </w:p>
          <w:p>
            <w:pPr>
              <w:spacing w:after="40" w:before="60" w:line="259" w:lineRule="auto"/>
            </w:pPr>
            <w:r>
              <w:rPr>
                <w:rFonts w:ascii="Calibri" w:hAnsi="Calibri"/>
                <w:b w:val="0"/>
                <w:i w:val="0"/>
                <w:color w:val="212121"/>
                <w:sz w:val="19"/>
              </w:rPr>
              <w:t>About 48% of Indian keratoconus patients require contact-lens correction, reflecting disease severe enough to defeat spectacles.</w:t>
            </w:r>
          </w:p>
          <w:p>
            <w:pPr>
              <w:spacing w:after="40" w:line="252" w:lineRule="auto"/>
            </w:pPr>
            <w:hyperlink r:id="rId9">
              <w:r>
                <w:rPr>
                  <w:rFonts w:ascii="Calibri" w:hAnsi="Calibri" w:cs="Calibri"/>
                  <w:sz w:val="18"/>
                  <w:color w:val="1155CC"/>
                  <w:u w:val="single"/>
                </w:rPr>
                <w:t xml:space="preserve">lvpei.org — keratoconus management India</w:t>
              </w:r>
            </w:hyperlink>
          </w:p>
          <w:p>
            <w:pPr>
              <w:spacing w:before="60" w:after="40"/>
            </w:pPr>
            <w:r>
              <w:rPr>
                <w:rFonts w:ascii="Calibri" w:hAnsi="Calibri"/>
                <w:b w:val="0"/>
                <w:i w:val="0"/>
                <w:color w:val="5A5A5A"/>
                <w:sz w:val="18"/>
              </w:rPr>
              <w:t>#contactlens  #occupationaldust  #allergen  #microtrauma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Posture / sleep side</w:t>
            </w:r>
          </w:p>
        </w:tc>
        <w:tc>
          <w:tcPr>
            <w:tcW w:type="dxa" w:w="2160"/>
            <w:vAlign w:val="top"/>
          </w:tcPr>
          <w:p>
            <w:pPr>
              <w:spacing w:after="40" w:before="0" w:line="259" w:lineRule="auto"/>
            </w:pPr>
            <w:r>
              <w:rPr>
                <w:rFonts w:ascii="Calibri" w:hAnsi="Calibri"/>
                <w:b w:val="0"/>
                <w:i w:val="0"/>
                <w:color w:val="212121"/>
                <w:sz w:val="19"/>
              </w:rPr>
              <w:t>Habitual prone or same-side sleepers</w:t>
            </w:r>
          </w:p>
        </w:tc>
        <w:tc>
          <w:tcPr>
            <w:tcW w:type="dxa" w:w="4276"/>
            <w:vAlign w:val="top"/>
          </w:tcPr>
          <w:p>
            <w:pPr>
              <w:spacing w:after="60" w:line="259" w:lineRule="auto"/>
            </w:pPr>
            <w:r>
              <w:rPr>
                <w:rFonts w:ascii="Calibri" w:hAnsi="Calibri"/>
                <w:b w:val="0"/>
                <w:i w:val="0"/>
                <w:color w:val="212121"/>
                <w:sz w:val="19"/>
              </w:rPr>
              <w:t>Prolonged nightly compression of one eye against a pillow or arm mimics rubbing and is linked to more advanced, asymmetric disease in the compressed eye.</w:t>
            </w:r>
          </w:p>
          <w:p>
            <w:pPr>
              <w:spacing w:after="40" w:before="60" w:line="259" w:lineRule="auto"/>
            </w:pPr>
            <w:r>
              <w:rPr>
                <w:rFonts w:ascii="Calibri" w:hAnsi="Calibri"/>
                <w:b w:val="0"/>
                <w:i w:val="0"/>
                <w:color w:val="212121"/>
                <w:sz w:val="19"/>
              </w:rPr>
              <w:t>Keratoconus is bilateral in about 88% of patients but characteristically asymmetric, consistent with a superimposed unilateral mechanical factor.</w:t>
            </w:r>
          </w:p>
          <w:p>
            <w:pPr>
              <w:spacing w:after="40" w:line="252" w:lineRule="auto"/>
            </w:pPr>
            <w:hyperlink r:id="rId13">
              <w:r>
                <w:rPr>
                  <w:rFonts w:ascii="Calibri" w:hAnsi="Calibri" w:cs="Calibri"/>
                  <w:sz w:val="18"/>
                  <w:color w:val="1155CC"/>
                  <w:u w:val="single"/>
                </w:rPr>
                <w:t xml:space="preserve">pmc.ncbi.nlm.nih.gov — epidemiology of keratoconus in India</w:t>
              </w:r>
            </w:hyperlink>
          </w:p>
          <w:p>
            <w:pPr>
              <w:spacing w:before="60" w:after="40"/>
            </w:pPr>
            <w:r>
              <w:rPr>
                <w:rFonts w:ascii="Calibri" w:hAnsi="Calibri"/>
                <w:b w:val="0"/>
                <w:i w:val="0"/>
                <w:color w:val="5A5A5A"/>
                <w:sz w:val="18"/>
              </w:rPr>
              <w:t>#sleepposture  #pronesleeping  #asymmetric  #eyecompression</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Antioxidant / micronutrient status</w:t>
            </w:r>
          </w:p>
        </w:tc>
        <w:tc>
          <w:tcPr>
            <w:tcW w:type="dxa" w:w="2160"/>
            <w:vAlign w:val="top"/>
          </w:tcPr>
          <w:p>
            <w:pPr>
              <w:spacing w:after="40" w:before="0" w:line="259" w:lineRule="auto"/>
            </w:pPr>
            <w:r>
              <w:rPr>
                <w:rFonts w:ascii="Calibri" w:hAnsi="Calibri"/>
                <w:b w:val="0"/>
                <w:i w:val="0"/>
                <w:color w:val="212121"/>
                <w:sz w:val="19"/>
              </w:rPr>
              <w:t>Diets low in antioxidants and vitamin D</w:t>
            </w:r>
          </w:p>
        </w:tc>
        <w:tc>
          <w:tcPr>
            <w:tcW w:type="dxa" w:w="4276"/>
            <w:vAlign w:val="top"/>
          </w:tcPr>
          <w:p>
            <w:pPr>
              <w:spacing w:after="60" w:line="259" w:lineRule="auto"/>
            </w:pPr>
            <w:r>
              <w:rPr>
                <w:rFonts w:ascii="Calibri" w:hAnsi="Calibri"/>
                <w:b w:val="0"/>
                <w:i w:val="0"/>
                <w:color w:val="212121"/>
                <w:sz w:val="19"/>
              </w:rPr>
              <w:t>Low intake of antioxidants and vitamin D deficiency, both common in India, may reduce the cornea's defence against the oxidative collagen damage implicated in ectasia; the evidence remains associational.</w:t>
            </w:r>
          </w:p>
          <w:p>
            <w:pPr>
              <w:spacing w:after="40" w:before="60" w:line="259" w:lineRule="auto"/>
            </w:pPr>
            <w:r>
              <w:rPr>
                <w:rFonts w:ascii="Calibri" w:hAnsi="Calibri"/>
                <w:b w:val="0"/>
                <w:i w:val="0"/>
                <w:color w:val="212121"/>
                <w:sz w:val="19"/>
              </w:rPr>
              <w:t>Oxidative stress with reduced antioxidant capacity and raised matrix metalloproteinases is a recognised feature of the keratoconic cornea.</w:t>
            </w:r>
          </w:p>
          <w:p>
            <w:pPr>
              <w:spacing w:before="60" w:after="40"/>
            </w:pPr>
            <w:r>
              <w:rPr>
                <w:rFonts w:ascii="Calibri" w:hAnsi="Calibri"/>
                <w:b w:val="0"/>
                <w:i w:val="0"/>
                <w:color w:val="5A5A5A"/>
                <w:sz w:val="18"/>
              </w:rPr>
              <w:t>#antioxidants  #vitaminD  #oxidativestress  #nutrition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keratoconus</w:t>
            </w:r>
          </w:p>
        </w:tc>
        <w:tc>
          <w:tcPr>
            <w:tcW w:type="dxa" w:w="4276"/>
            <w:vAlign w:val="top"/>
          </w:tcPr>
          <w:p>
            <w:pPr>
              <w:spacing w:after="60" w:line="259" w:lineRule="auto"/>
            </w:pPr>
            <w:r>
              <w:rPr>
                <w:rFonts w:ascii="Calibri" w:hAnsi="Calibri"/>
                <w:b w:val="0"/>
                <w:i w:val="0"/>
                <w:color w:val="212121"/>
                <w:sz w:val="19"/>
              </w:rPr>
              <w:t>A positive family history substantially increases risk and predicts earlier onset; asymptomatic relatives can show subclinical topographic changes and should be screened.</w:t>
            </w:r>
          </w:p>
          <w:p>
            <w:pPr>
              <w:spacing w:after="40" w:before="60" w:line="259" w:lineRule="auto"/>
            </w:pPr>
            <w:r>
              <w:rPr>
                <w:rFonts w:ascii="Calibri" w:hAnsi="Calibri"/>
                <w:b w:val="0"/>
                <w:i w:val="0"/>
                <w:color w:val="212121"/>
                <w:sz w:val="19"/>
              </w:rPr>
              <w:t>First-degree relatives of keratoconus patients carry a considerably higher risk than the general population and warrant corneal topographic screening.</w:t>
            </w:r>
          </w:p>
          <w:p>
            <w:pPr>
              <w:spacing w:before="60" w:after="40"/>
            </w:pPr>
            <w:r>
              <w:rPr>
                <w:rFonts w:ascii="Calibri" w:hAnsi="Calibri"/>
                <w:b w:val="0"/>
                <w:i w:val="0"/>
                <w:color w:val="5A5A5A"/>
                <w:sz w:val="18"/>
              </w:rPr>
              <w:t>#familyhistory  #genetics  #screenrelatives  #subclinical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Consanguinity</w:t>
            </w:r>
          </w:p>
        </w:tc>
        <w:tc>
          <w:tcPr>
            <w:tcW w:type="dxa" w:w="2160"/>
            <w:vAlign w:val="top"/>
          </w:tcPr>
          <w:p>
            <w:pPr>
              <w:spacing w:after="40" w:before="0" w:line="259" w:lineRule="auto"/>
            </w:pPr>
            <w:r>
              <w:rPr>
                <w:rFonts w:ascii="Calibri" w:hAnsi="Calibri"/>
                <w:b w:val="0"/>
                <w:i w:val="0"/>
                <w:color w:val="212121"/>
                <w:sz w:val="19"/>
              </w:rPr>
              <w:t>Offspring of consanguineous marriages</w:t>
            </w:r>
          </w:p>
        </w:tc>
        <w:tc>
          <w:tcPr>
            <w:tcW w:type="dxa" w:w="4276"/>
            <w:vAlign w:val="top"/>
          </w:tcPr>
          <w:p>
            <w:pPr>
              <w:spacing w:after="60" w:line="259" w:lineRule="auto"/>
            </w:pPr>
            <w:r>
              <w:rPr>
                <w:rFonts w:ascii="Calibri" w:hAnsi="Calibri"/>
                <w:b w:val="0"/>
                <w:i w:val="0"/>
                <w:color w:val="212121"/>
                <w:sz w:val="19"/>
              </w:rPr>
              <w:t>Consanguinity, prevalent in parts of India and the Middle East, concentrates recessive susceptibility alleles and is associated with higher keratoconus risk and earlier, more severe disease.</w:t>
            </w:r>
          </w:p>
          <w:p>
            <w:pPr>
              <w:spacing w:after="40" w:before="60" w:line="259" w:lineRule="auto"/>
            </w:pPr>
            <w:r>
              <w:rPr>
                <w:rFonts w:ascii="Calibri" w:hAnsi="Calibri"/>
                <w:b w:val="0"/>
                <w:i w:val="0"/>
                <w:color w:val="212121"/>
                <w:sz w:val="19"/>
              </w:rPr>
              <w:t>Higher keratoconus prevalence in Middle Eastern and South Asian populations parallels regions with high rates of consanguineous marriage.</w:t>
            </w:r>
          </w:p>
          <w:p>
            <w:pPr>
              <w:spacing w:before="60" w:after="40"/>
            </w:pPr>
            <w:r>
              <w:rPr>
                <w:rFonts w:ascii="Calibri" w:hAnsi="Calibri"/>
                <w:b w:val="0"/>
                <w:i w:val="0"/>
                <w:color w:val="5A5A5A"/>
                <w:sz w:val="18"/>
              </w:rPr>
              <w:t>#consanguinity  #recessive  #geneticclustering  #earlyonset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Down syndrome</w:t>
            </w:r>
          </w:p>
        </w:tc>
        <w:tc>
          <w:tcPr>
            <w:tcW w:type="dxa" w:w="2160"/>
            <w:vAlign w:val="top"/>
          </w:tcPr>
          <w:p>
            <w:pPr>
              <w:spacing w:after="40" w:before="0" w:line="259" w:lineRule="auto"/>
            </w:pPr>
            <w:r>
              <w:rPr>
                <w:rFonts w:ascii="Calibri" w:hAnsi="Calibri"/>
                <w:b w:val="0"/>
                <w:i w:val="0"/>
                <w:color w:val="212121"/>
                <w:sz w:val="19"/>
              </w:rPr>
              <w:t>Individuals with Down syndrome (Trisomy 21)</w:t>
            </w:r>
          </w:p>
        </w:tc>
        <w:tc>
          <w:tcPr>
            <w:tcW w:type="dxa" w:w="4276"/>
            <w:vAlign w:val="top"/>
          </w:tcPr>
          <w:p>
            <w:pPr>
              <w:spacing w:after="60" w:line="259" w:lineRule="auto"/>
            </w:pPr>
            <w:r>
              <w:rPr>
                <w:rFonts w:ascii="Calibri" w:hAnsi="Calibri"/>
                <w:b w:val="0"/>
                <w:i w:val="0"/>
                <w:color w:val="212121"/>
                <w:sz w:val="19"/>
              </w:rPr>
              <w:t>Strongly associated through collagen laxity, connective-tissue abnormality and habitual eye rubbing, with a higher risk of acute corneal hydrops.</w:t>
            </w:r>
          </w:p>
          <w:p>
            <w:pPr>
              <w:spacing w:after="40" w:before="60" w:line="259" w:lineRule="auto"/>
            </w:pPr>
            <w:r>
              <w:rPr>
                <w:rFonts w:ascii="Calibri" w:hAnsi="Calibri"/>
                <w:b w:val="0"/>
                <w:i w:val="0"/>
                <w:color w:val="212121"/>
                <w:sz w:val="19"/>
              </w:rPr>
              <w:t>Keratoconus prevalence in Down syndrome is reported at 5.5–15% (odds ratio about 6.2).</w:t>
            </w:r>
          </w:p>
          <w:p>
            <w:pPr>
              <w:spacing w:after="40" w:line="252" w:lineRule="auto"/>
            </w:pPr>
            <w:hyperlink r:id="rId14">
              <w:r>
                <w:rPr>
                  <w:rFonts w:ascii="Calibri" w:hAnsi="Calibri" w:cs="Calibri"/>
                  <w:sz w:val="18"/>
                  <w:color w:val="1155CC"/>
                  <w:u w:val="single"/>
                </w:rPr>
                <w:t xml:space="preserve">entokey.com — keratoconus associated systemic diseases</w:t>
              </w:r>
            </w:hyperlink>
          </w:p>
          <w:p>
            <w:pPr>
              <w:spacing w:before="60" w:after="40"/>
            </w:pPr>
            <w:r>
              <w:rPr>
                <w:rFonts w:ascii="Calibri" w:hAnsi="Calibri"/>
                <w:b w:val="0"/>
                <w:i w:val="0"/>
                <w:color w:val="5A5A5A"/>
                <w:sz w:val="18"/>
              </w:rPr>
              <w:t>#downsyndrome  #trisomy21  #collagenlaxity  #hydrops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Connective-tissue disorder</w:t>
            </w:r>
          </w:p>
        </w:tc>
        <w:tc>
          <w:tcPr>
            <w:tcW w:type="dxa" w:w="2160"/>
            <w:vAlign w:val="top"/>
          </w:tcPr>
          <w:p>
            <w:pPr>
              <w:spacing w:after="40" w:before="0" w:line="259" w:lineRule="auto"/>
            </w:pPr>
            <w:r>
              <w:rPr>
                <w:rFonts w:ascii="Calibri" w:hAnsi="Calibri"/>
                <w:b w:val="0"/>
                <w:i w:val="0"/>
                <w:color w:val="212121"/>
                <w:sz w:val="19"/>
              </w:rPr>
              <w:t>Ehlers–Danlos / Marfan / osteogenesis imperfecta</w:t>
            </w:r>
          </w:p>
        </w:tc>
        <w:tc>
          <w:tcPr>
            <w:tcW w:type="dxa" w:w="4276"/>
            <w:vAlign w:val="top"/>
          </w:tcPr>
          <w:p>
            <w:pPr>
              <w:spacing w:after="60" w:line="259" w:lineRule="auto"/>
            </w:pPr>
            <w:r>
              <w:rPr>
                <w:rFonts w:ascii="Calibri" w:hAnsi="Calibri"/>
                <w:b w:val="0"/>
                <w:i w:val="0"/>
                <w:color w:val="212121"/>
                <w:sz w:val="19"/>
              </w:rPr>
              <w:t>Generalised inherited collagen defects reduce corneal biomechanical strength and predispose to ectasia.</w:t>
            </w:r>
          </w:p>
          <w:p>
            <w:pPr>
              <w:spacing w:after="40" w:before="60" w:line="259" w:lineRule="auto"/>
            </w:pPr>
            <w:r>
              <w:rPr>
                <w:rFonts w:ascii="Calibri" w:hAnsi="Calibri"/>
                <w:b w:val="0"/>
                <w:i w:val="0"/>
                <w:color w:val="212121"/>
                <w:sz w:val="19"/>
              </w:rPr>
              <w:t>Keratoconus is recognised in association with Ehlers–Danlos syndrome, Marfan syndrome and osteogenesis imperfecta as part of a systemic collagen abnormality.</w:t>
            </w:r>
          </w:p>
          <w:p>
            <w:pPr>
              <w:spacing w:after="40" w:line="252" w:lineRule="auto"/>
            </w:pPr>
            <w:hyperlink r:id="rId14">
              <w:r>
                <w:rPr>
                  <w:rFonts w:ascii="Calibri" w:hAnsi="Calibri" w:cs="Calibri"/>
                  <w:sz w:val="18"/>
                  <w:color w:val="1155CC"/>
                  <w:u w:val="single"/>
                </w:rPr>
                <w:t xml:space="preserve">entokey.com — connective-tissue associations</w:t>
              </w:r>
            </w:hyperlink>
          </w:p>
          <w:p>
            <w:pPr>
              <w:spacing w:before="60" w:after="40"/>
            </w:pPr>
            <w:r>
              <w:rPr>
                <w:rFonts w:ascii="Calibri" w:hAnsi="Calibri"/>
                <w:b w:val="0"/>
                <w:i w:val="0"/>
                <w:color w:val="5A5A5A"/>
                <w:sz w:val="18"/>
              </w:rPr>
              <w:t>#EhlersDanlos  #Marfan  #collagen  #connectivetissue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Vernal keratoconjunctivitis</w:t>
            </w:r>
          </w:p>
        </w:tc>
        <w:tc>
          <w:tcPr>
            <w:tcW w:type="dxa" w:w="2160"/>
            <w:vAlign w:val="top"/>
          </w:tcPr>
          <w:p>
            <w:pPr>
              <w:spacing w:after="40" w:before="0" w:line="259" w:lineRule="auto"/>
            </w:pPr>
            <w:r>
              <w:rPr>
                <w:rFonts w:ascii="Calibri" w:hAnsi="Calibri"/>
                <w:b w:val="0"/>
                <w:i w:val="0"/>
                <w:color w:val="212121"/>
                <w:sz w:val="19"/>
              </w:rPr>
              <w:t>Children / young adults with VKC or chronic allergic conjunctivitis</w:t>
            </w:r>
          </w:p>
        </w:tc>
        <w:tc>
          <w:tcPr>
            <w:tcW w:type="dxa" w:w="4276"/>
            <w:vAlign w:val="top"/>
          </w:tcPr>
          <w:p>
            <w:pPr>
              <w:spacing w:after="60" w:line="259" w:lineRule="auto"/>
            </w:pPr>
            <w:r>
              <w:rPr>
                <w:rFonts w:ascii="Calibri" w:hAnsi="Calibri"/>
                <w:b w:val="0"/>
                <w:i w:val="0"/>
                <w:color w:val="212121"/>
                <w:sz w:val="19"/>
              </w:rPr>
              <w:t>Intense ocular itching drives chronic vigorous eye rubbing and inflammatory stromal degradation; vernal keratoconjunctivitis is a leading paediatric association in India.</w:t>
            </w:r>
          </w:p>
          <w:p>
            <w:pPr>
              <w:spacing w:after="40" w:before="60" w:line="259" w:lineRule="auto"/>
            </w:pPr>
            <w:r>
              <w:rPr>
                <w:rFonts w:ascii="Calibri" w:hAnsi="Calibri"/>
                <w:b w:val="0"/>
                <w:i w:val="0"/>
                <w:color w:val="212121"/>
                <w:sz w:val="19"/>
              </w:rPr>
              <w:t>About 10% of vernal keratoconjunctivitis patients develop keratoconus, a 7.84-fold higher risk than the general population.</w:t>
            </w:r>
          </w:p>
          <w:p>
            <w:pPr>
              <w:spacing w:after="40" w:line="252" w:lineRule="auto"/>
            </w:pPr>
            <w:hyperlink r:id="rId13">
              <w:r>
                <w:rPr>
                  <w:rFonts w:ascii="Calibri" w:hAnsi="Calibri" w:cs="Calibri"/>
                  <w:sz w:val="18"/>
                  <w:color w:val="1155CC"/>
                  <w:u w:val="single"/>
                </w:rPr>
                <w:t xml:space="preserve">pmc.ncbi.nlm.nih.gov — keratoconus &amp; VKC in India</w:t>
              </w:r>
            </w:hyperlink>
          </w:p>
          <w:p>
            <w:pPr>
              <w:spacing w:before="60" w:after="40"/>
            </w:pPr>
            <w:r>
              <w:rPr>
                <w:rFonts w:ascii="Calibri" w:hAnsi="Calibri"/>
                <w:b w:val="0"/>
                <w:i w:val="0"/>
                <w:color w:val="5A5A5A"/>
                <w:sz w:val="18"/>
              </w:rPr>
              <w:t>#VKC  #allergiceye  #itchrubcycle  #pediatric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Atopy</w:t>
            </w:r>
          </w:p>
        </w:tc>
        <w:tc>
          <w:tcPr>
            <w:tcW w:type="dxa" w:w="2160"/>
            <w:vAlign w:val="top"/>
          </w:tcPr>
          <w:p>
            <w:pPr>
              <w:spacing w:after="40" w:before="0" w:line="259" w:lineRule="auto"/>
            </w:pPr>
            <w:r>
              <w:rPr>
                <w:rFonts w:ascii="Calibri" w:hAnsi="Calibri"/>
                <w:b w:val="0"/>
                <w:i w:val="0"/>
                <w:color w:val="212121"/>
                <w:sz w:val="19"/>
              </w:rPr>
              <w:t>Atopic individuals (asthma, eczema, allergic rhinitis)</w:t>
            </w:r>
          </w:p>
        </w:tc>
        <w:tc>
          <w:tcPr>
            <w:tcW w:type="dxa" w:w="4276"/>
            <w:vAlign w:val="top"/>
          </w:tcPr>
          <w:p>
            <w:pPr>
              <w:spacing w:after="60" w:line="259" w:lineRule="auto"/>
            </w:pPr>
            <w:r>
              <w:rPr>
                <w:rFonts w:ascii="Calibri" w:hAnsi="Calibri"/>
                <w:b w:val="0"/>
                <w:i w:val="0"/>
                <w:color w:val="212121"/>
                <w:sz w:val="19"/>
              </w:rPr>
              <w:t>A systemic atopic diathesis correlates with keratoconus through allergic ocular inflammation and the resulting eye rubbing.</w:t>
            </w:r>
          </w:p>
          <w:p>
            <w:pPr>
              <w:spacing w:after="40" w:before="60" w:line="259" w:lineRule="auto"/>
            </w:pPr>
            <w:r>
              <w:rPr>
                <w:rFonts w:ascii="Calibri" w:hAnsi="Calibri"/>
                <w:b w:val="0"/>
                <w:i w:val="0"/>
                <w:color w:val="212121"/>
                <w:sz w:val="19"/>
              </w:rPr>
              <w:t>Asthma was present in about 23% of keratoconus patients versus 6% of controls (OR 1.94); hay fever in up to 53% (CLEK study) and eczema carried an odds ratio of 2.95.</w:t>
            </w:r>
          </w:p>
          <w:p>
            <w:pPr>
              <w:spacing w:after="40" w:line="252" w:lineRule="auto"/>
            </w:pPr>
            <w:hyperlink r:id="rId14">
              <w:r>
                <w:rPr>
                  <w:rFonts w:ascii="Calibri" w:hAnsi="Calibri" w:cs="Calibri"/>
                  <w:sz w:val="18"/>
                  <w:color w:val="1155CC"/>
                  <w:u w:val="single"/>
                </w:rPr>
                <w:t xml:space="preserve">entokey.com — atopy and keratoconus</w:t>
              </w:r>
            </w:hyperlink>
          </w:p>
          <w:p>
            <w:pPr>
              <w:spacing w:before="60" w:after="40"/>
            </w:pPr>
            <w:r>
              <w:rPr>
                <w:rFonts w:ascii="Calibri" w:hAnsi="Calibri"/>
                <w:b w:val="0"/>
                <w:i w:val="0"/>
                <w:color w:val="5A5A5A"/>
                <w:sz w:val="18"/>
              </w:rPr>
              <w:t>#atopy  #asthma  #eczema  #allergicrhinitis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Sleep apnoea / floppy eyelid</w:t>
            </w:r>
          </w:p>
        </w:tc>
        <w:tc>
          <w:tcPr>
            <w:tcW w:type="dxa" w:w="2160"/>
            <w:vAlign w:val="top"/>
          </w:tcPr>
          <w:p>
            <w:pPr>
              <w:spacing w:after="40" w:before="0" w:line="259" w:lineRule="auto"/>
            </w:pPr>
            <w:r>
              <w:rPr>
                <w:rFonts w:ascii="Calibri" w:hAnsi="Calibri"/>
                <w:b w:val="0"/>
                <w:i w:val="0"/>
                <w:color w:val="212121"/>
                <w:sz w:val="19"/>
              </w:rPr>
              <w:t>Obese adults with OSA or floppy eyelid syndrome</w:t>
            </w:r>
          </w:p>
        </w:tc>
        <w:tc>
          <w:tcPr>
            <w:tcW w:type="dxa" w:w="4276"/>
            <w:vAlign w:val="top"/>
          </w:tcPr>
          <w:p>
            <w:pPr>
              <w:spacing w:after="60" w:line="259" w:lineRule="auto"/>
            </w:pPr>
            <w:r>
              <w:rPr>
                <w:rFonts w:ascii="Calibri" w:hAnsi="Calibri"/>
                <w:b w:val="0"/>
                <w:i w:val="0"/>
                <w:color w:val="212121"/>
                <w:sz w:val="19"/>
              </w:rPr>
              <w:t>Lax tarsal plates and nocturnal eyelid eversion cause chronic mechanical corneal stress, and intermittent hypoxia adds oxidative injury.</w:t>
            </w:r>
          </w:p>
          <w:p>
            <w:pPr>
              <w:spacing w:after="40" w:before="60" w:line="259" w:lineRule="auto"/>
            </w:pPr>
            <w:r>
              <w:rPr>
                <w:rFonts w:ascii="Calibri" w:hAnsi="Calibri"/>
                <w:b w:val="0"/>
                <w:i w:val="0"/>
                <w:color w:val="212121"/>
                <w:sz w:val="19"/>
              </w:rPr>
              <w:t>Floppy eyelid syndrome is strongly associated with keratoconus (odds ratio about 19.3, rising to 35 in unilateral disease).</w:t>
            </w:r>
          </w:p>
          <w:p>
            <w:pPr>
              <w:spacing w:after="40" w:line="252" w:lineRule="auto"/>
            </w:pPr>
            <w:hyperlink r:id="rId14">
              <w:r>
                <w:rPr>
                  <w:rFonts w:ascii="Calibri" w:hAnsi="Calibri" w:cs="Calibri"/>
                  <w:sz w:val="18"/>
                  <w:color w:val="1155CC"/>
                  <w:u w:val="single"/>
                </w:rPr>
                <w:t xml:space="preserve">entokey.com — floppy eyelid syndrome &amp; keratoconus</w:t>
              </w:r>
            </w:hyperlink>
          </w:p>
          <w:p>
            <w:pPr>
              <w:spacing w:before="60" w:after="40"/>
            </w:pPr>
            <w:r>
              <w:rPr>
                <w:rFonts w:ascii="Calibri" w:hAnsi="Calibri"/>
                <w:b w:val="0"/>
                <w:i w:val="0"/>
                <w:color w:val="5A5A5A"/>
                <w:sz w:val="18"/>
              </w:rPr>
              <w:t>#OSA  #floppyeyelid  #nocturnalstress  #hypoxia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Mitral valve prolapse</w:t>
            </w:r>
          </w:p>
        </w:tc>
        <w:tc>
          <w:tcPr>
            <w:tcW w:type="dxa" w:w="2160"/>
            <w:vAlign w:val="top"/>
          </w:tcPr>
          <w:p>
            <w:pPr>
              <w:spacing w:after="40" w:before="0" w:line="259" w:lineRule="auto"/>
            </w:pPr>
            <w:r>
              <w:rPr>
                <w:rFonts w:ascii="Calibri" w:hAnsi="Calibri"/>
                <w:b w:val="0"/>
                <w:i w:val="0"/>
                <w:color w:val="212121"/>
                <w:sz w:val="19"/>
              </w:rPr>
              <w:t>Patients with mitral valve prolapse</w:t>
            </w:r>
          </w:p>
        </w:tc>
        <w:tc>
          <w:tcPr>
            <w:tcW w:type="dxa" w:w="4276"/>
            <w:vAlign w:val="top"/>
          </w:tcPr>
          <w:p>
            <w:pPr>
              <w:spacing w:after="60" w:line="259" w:lineRule="auto"/>
            </w:pPr>
            <w:r>
              <w:rPr>
                <w:rFonts w:ascii="Calibri" w:hAnsi="Calibri"/>
                <w:b w:val="0"/>
                <w:i w:val="0"/>
                <w:color w:val="212121"/>
                <w:sz w:val="19"/>
              </w:rPr>
              <w:t>Shares a systemic connective-tissue and collagen abnormality with keratoconus, reflecting generalised weakness of collagenous structures.</w:t>
            </w:r>
          </w:p>
          <w:p>
            <w:pPr>
              <w:spacing w:after="40" w:before="60" w:line="259" w:lineRule="auto"/>
            </w:pPr>
            <w:r>
              <w:rPr>
                <w:rFonts w:ascii="Calibri" w:hAnsi="Calibri"/>
                <w:b w:val="0"/>
                <w:i w:val="0"/>
                <w:color w:val="212121"/>
                <w:sz w:val="19"/>
              </w:rPr>
              <w:t>Mitral valve prolapse prevalence in keratoconus is reported at 22.6–58% (odds ratio about 26.7).</w:t>
            </w:r>
          </w:p>
          <w:p>
            <w:pPr>
              <w:spacing w:after="40" w:line="252" w:lineRule="auto"/>
            </w:pPr>
            <w:hyperlink r:id="rId14">
              <w:r>
                <w:rPr>
                  <w:rFonts w:ascii="Calibri" w:hAnsi="Calibri" w:cs="Calibri"/>
                  <w:sz w:val="18"/>
                  <w:color w:val="1155CC"/>
                  <w:u w:val="single"/>
                </w:rPr>
                <w:t xml:space="preserve">entokey.com — mitral valve prolapse &amp; keratoconus</w:t>
              </w:r>
            </w:hyperlink>
          </w:p>
          <w:p>
            <w:pPr>
              <w:spacing w:before="60" w:after="40"/>
            </w:pPr>
            <w:r>
              <w:rPr>
                <w:rFonts w:ascii="Calibri" w:hAnsi="Calibri"/>
                <w:b w:val="0"/>
                <w:i w:val="0"/>
                <w:color w:val="5A5A5A"/>
                <w:sz w:val="18"/>
              </w:rPr>
              <w:t>#mitralvalveprolapse  #connectivetissue  #collagen  #systemic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Aerobic fitness has no direct causal link to keratoconus; however exertion- or sweat-related eye itching can provoke rubbing, and contact sports risk direct ocular trauma. Physical activity is not a primary driver.</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Diets deficient in antioxidants and vitamin D may weaken the cornea's defence against the oxidative collagen damage seen in keratoconus, but dietary evidence remains associational and weak.</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Obstructive sleep apnoea and floppy eyelid syndrome are strongly associated with keratoconus, and habitual prone or same-side sleeping correlates with more advanced, asymmetric disease in the compressed eye.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is not an established risk factor; some studies paradoxically report an inverse association (possibly via smoke-induced corneal collagen cross-linking), but smoking still harms the ocular surface and is not protective in practice.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association between alcohol consumption and keratoconus.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Keratoconus carries high rates of anxiety and depression, both from vision-related quality-of-life loss and as a driver of habitual, stress-related eye rubbing that accelerates progression.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meaningful direct link between systemic hydration and keratoconus.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association between caffeine intake and keratoconus.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Good ocular-allergy control and lid hygiene reduce the itch–rub cycle, and strict contact-lens hygiene is essential to prevent microbial keratitis in these fragile corneas.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Vigorous eye rubbing is the single strongest modifiable provoking factor (pooled odds ratio about 6.5); allergic eye disease/VKC and ill-fitting rigid contact lenses further provoke mechanical stromal damage.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Habitual prone or same-side sleeping compresses one eye against the pillow or arm and is associated with unilateral or asymmetric progression.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Eye-rubbing episodes per day</w:t>
            </w:r>
          </w:p>
        </w:tc>
        <w:tc>
          <w:tcPr>
            <w:tcW w:type="dxa" w:w="1655"/>
            <w:vAlign w:val="top"/>
          </w:tcPr>
          <w:p>
            <w:pPr>
              <w:spacing w:after="40" w:before="0" w:line="259" w:lineRule="auto"/>
            </w:pPr>
            <w:r>
              <w:rPr>
                <w:rFonts w:ascii="Calibri" w:hAnsi="Calibri"/>
                <w:b w:val="0"/>
                <w:i w:val="0"/>
                <w:color w:val="212121"/>
                <w:sz w:val="19"/>
              </w:rPr>
              <w:t>Atopic/VKC patients, keratoconus suspects</w:t>
            </w:r>
          </w:p>
        </w:tc>
        <w:tc>
          <w:tcPr>
            <w:tcW w:type="dxa" w:w="1512"/>
            <w:vAlign w:val="top"/>
          </w:tcPr>
          <w:p>
            <w:pPr>
              <w:spacing w:after="40" w:before="0" w:line="259" w:lineRule="auto"/>
            </w:pPr>
            <w:r>
              <w:rPr>
                <w:rFonts w:ascii="Calibri" w:hAnsi="Calibri"/>
                <w:b w:val="0"/>
                <w:i w:val="0"/>
                <w:color w:val="212121"/>
                <w:sz w:val="19"/>
              </w:rPr>
              <w:t>0 episodes/day</w:t>
            </w:r>
          </w:p>
        </w:tc>
        <w:tc>
          <w:tcPr>
            <w:tcW w:type="dxa" w:w="1512"/>
            <w:vAlign w:val="top"/>
          </w:tcPr>
          <w:p>
            <w:pPr>
              <w:spacing w:after="40" w:before="0" w:line="259" w:lineRule="auto"/>
            </w:pPr>
            <w:r>
              <w:rPr>
                <w:rFonts w:ascii="Calibri" w:hAnsi="Calibri"/>
                <w:b w:val="0"/>
                <w:i w:val="0"/>
                <w:color w:val="212121"/>
                <w:sz w:val="19"/>
              </w:rPr>
              <w:t>≥ 1 vigorous episode/day</w:t>
            </w:r>
          </w:p>
        </w:tc>
        <w:tc>
          <w:tcPr>
            <w:tcW w:type="dxa" w:w="1468"/>
            <w:vAlign w:val="top"/>
          </w:tcPr>
          <w:p>
            <w:pPr>
              <w:spacing w:after="60" w:line="259" w:lineRule="auto"/>
            </w:pPr>
            <w:r>
              <w:rPr>
                <w:rFonts w:ascii="Calibri" w:hAnsi="Calibri"/>
                <w:b w:val="0"/>
                <w:i w:val="0"/>
                <w:color w:val="212121"/>
                <w:sz w:val="19"/>
              </w:rPr>
              <w:t>Strongest modifiable factor; counsel complete cessation and treat the underlying itch</w:t>
            </w:r>
          </w:p>
          <w:p>
            <w:pPr>
              <w:spacing w:after="40" w:line="252" w:lineRule="auto"/>
            </w:pPr>
            <w:hyperlink r:id="rId12">
              <w:r>
                <w:rPr>
                  <w:rFonts w:ascii="Calibri" w:hAnsi="Calibri" w:cs="Calibri"/>
                  <w:sz w:val="18"/>
                  <w:color w:val="1155CC"/>
                  <w:u w:val="single"/>
                </w:rPr>
                <w:t xml:space="preserve">https://link.springer.com/article/10.1007/s00417-021-05081-8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Maximum keratometry (Kmax, D)</w:t>
            </w:r>
          </w:p>
        </w:tc>
        <w:tc>
          <w:tcPr>
            <w:tcW w:type="dxa" w:w="1655"/>
            <w:vAlign w:val="top"/>
          </w:tcPr>
          <w:p>
            <w:pPr>
              <w:spacing w:after="40" w:before="0" w:line="259" w:lineRule="auto"/>
            </w:pPr>
            <w:r>
              <w:rPr>
                <w:rFonts w:ascii="Calibri" w:hAnsi="Calibri"/>
                <w:b w:val="0"/>
                <w:i w:val="0"/>
                <w:color w:val="212121"/>
                <w:sz w:val="19"/>
              </w:rPr>
              <w:t>Keratoconus patients, suspects</w:t>
            </w:r>
          </w:p>
        </w:tc>
        <w:tc>
          <w:tcPr>
            <w:tcW w:type="dxa" w:w="1512"/>
            <w:vAlign w:val="top"/>
          </w:tcPr>
          <w:p>
            <w:pPr>
              <w:spacing w:after="40" w:before="0" w:line="259" w:lineRule="auto"/>
            </w:pPr>
            <w:r>
              <w:rPr>
                <w:rFonts w:ascii="Calibri" w:hAnsi="Calibri"/>
                <w:b w:val="0"/>
                <w:i w:val="0"/>
                <w:color w:val="212121"/>
                <w:sz w:val="19"/>
              </w:rPr>
              <w:t>&lt; 47 D</w:t>
            </w:r>
          </w:p>
        </w:tc>
        <w:tc>
          <w:tcPr>
            <w:tcW w:type="dxa" w:w="1512"/>
            <w:vAlign w:val="top"/>
          </w:tcPr>
          <w:p>
            <w:pPr>
              <w:spacing w:after="40" w:before="0" w:line="259" w:lineRule="auto"/>
            </w:pPr>
            <w:r>
              <w:rPr>
                <w:rFonts w:ascii="Calibri" w:hAnsi="Calibri"/>
                <w:b w:val="0"/>
                <w:i w:val="0"/>
                <w:color w:val="212121"/>
                <w:sz w:val="19"/>
              </w:rPr>
              <w:t>≥ 47–48 D or a rise ≥ 1 D/year</w:t>
            </w:r>
          </w:p>
        </w:tc>
        <w:tc>
          <w:tcPr>
            <w:tcW w:type="dxa" w:w="1468"/>
            <w:vAlign w:val="top"/>
          </w:tcPr>
          <w:p>
            <w:pPr>
              <w:spacing w:after="60" w:line="259" w:lineRule="auto"/>
            </w:pPr>
            <w:r>
              <w:rPr>
                <w:rFonts w:ascii="Calibri" w:hAnsi="Calibri"/>
                <w:b w:val="0"/>
                <w:i w:val="0"/>
                <w:color w:val="212121"/>
                <w:sz w:val="19"/>
              </w:rPr>
              <w:t>Key progression marker and threshold for offering corneal cross-linking</w:t>
            </w:r>
          </w:p>
          <w:p>
            <w:pPr>
              <w:spacing w:after="40" w:line="252" w:lineRule="auto"/>
            </w:pPr>
            <w:hyperlink r:id="rId15">
              <w:r>
                <w:rPr>
                  <w:rFonts w:ascii="Calibri" w:hAnsi="Calibri" w:cs="Calibri"/>
                  <w:sz w:val="18"/>
                  <w:color w:val="1155CC"/>
                  <w:u w:val="single"/>
                </w:rPr>
                <w:t xml:space="preserve">https://www.optogrid.com/blog/keratoconus/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Thinnest corneal pachymetry (µm)</w:t>
            </w:r>
          </w:p>
        </w:tc>
        <w:tc>
          <w:tcPr>
            <w:tcW w:type="dxa" w:w="1655"/>
            <w:vAlign w:val="top"/>
          </w:tcPr>
          <w:p>
            <w:pPr>
              <w:spacing w:after="40" w:before="0" w:line="259" w:lineRule="auto"/>
            </w:pPr>
            <w:r>
              <w:rPr>
                <w:rFonts w:ascii="Calibri" w:hAnsi="Calibri"/>
                <w:b w:val="0"/>
                <w:i w:val="0"/>
                <w:color w:val="212121"/>
                <w:sz w:val="19"/>
              </w:rPr>
              <w:t>Keratoconus patients</w:t>
            </w:r>
          </w:p>
        </w:tc>
        <w:tc>
          <w:tcPr>
            <w:tcW w:type="dxa" w:w="1512"/>
            <w:vAlign w:val="top"/>
          </w:tcPr>
          <w:p>
            <w:pPr>
              <w:spacing w:after="40" w:before="0" w:line="259" w:lineRule="auto"/>
            </w:pPr>
            <w:r>
              <w:rPr>
                <w:rFonts w:ascii="Calibri" w:hAnsi="Calibri"/>
                <w:b w:val="0"/>
                <w:i w:val="0"/>
                <w:color w:val="212121"/>
                <w:sz w:val="19"/>
              </w:rPr>
              <w:t>&gt; 500 µm</w:t>
            </w:r>
          </w:p>
        </w:tc>
        <w:tc>
          <w:tcPr>
            <w:tcW w:type="dxa" w:w="1512"/>
            <w:vAlign w:val="top"/>
          </w:tcPr>
          <w:p>
            <w:pPr>
              <w:spacing w:after="40" w:before="0" w:line="259" w:lineRule="auto"/>
            </w:pPr>
            <w:r>
              <w:rPr>
                <w:rFonts w:ascii="Calibri" w:hAnsi="Calibri"/>
                <w:b w:val="0"/>
                <w:i w:val="0"/>
                <w:color w:val="212121"/>
                <w:sz w:val="19"/>
              </w:rPr>
              <w:t>&lt; 400 µm</w:t>
            </w:r>
          </w:p>
        </w:tc>
        <w:tc>
          <w:tcPr>
            <w:tcW w:type="dxa" w:w="1468"/>
            <w:vAlign w:val="top"/>
          </w:tcPr>
          <w:p>
            <w:pPr>
              <w:spacing w:after="60" w:line="259" w:lineRule="auto"/>
            </w:pPr>
            <w:r>
              <w:rPr>
                <w:rFonts w:ascii="Calibri" w:hAnsi="Calibri"/>
                <w:b w:val="0"/>
                <w:i w:val="0"/>
                <w:color w:val="212121"/>
                <w:sz w:val="19"/>
              </w:rPr>
              <w:t>Thinner cornea indicates advanced disease and can preclude standard epithelium-off cross-linking</w:t>
            </w:r>
          </w:p>
          <w:p>
            <w:pPr>
              <w:spacing w:after="40" w:line="252" w:lineRule="auto"/>
            </w:pPr>
            <w:hyperlink r:id="rId11">
              <w:r>
                <w:rPr>
                  <w:rFonts w:ascii="Calibri" w:hAnsi="Calibri" w:cs="Calibri"/>
                  <w:sz w:val="18"/>
                  <w:color w:val="1155CC"/>
                  <w:u w:val="single"/>
                </w:rPr>
                <w:t xml:space="preserve">https://www.frontiersin.org/journals/medicine/articles/10.3389/fmed.2023.1212314/full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Best-corrected visual acuity</w:t>
            </w:r>
          </w:p>
        </w:tc>
        <w:tc>
          <w:tcPr>
            <w:tcW w:type="dxa" w:w="1655"/>
            <w:vAlign w:val="top"/>
          </w:tcPr>
          <w:p>
            <w:pPr>
              <w:spacing w:after="40" w:before="0" w:line="259" w:lineRule="auto"/>
            </w:pPr>
            <w:r>
              <w:rPr>
                <w:rFonts w:ascii="Calibri" w:hAnsi="Calibri"/>
                <w:b w:val="0"/>
                <w:i w:val="0"/>
                <w:color w:val="212121"/>
                <w:sz w:val="19"/>
              </w:rPr>
              <w:t>All keratoconus suspects</w:t>
            </w:r>
          </w:p>
        </w:tc>
        <w:tc>
          <w:tcPr>
            <w:tcW w:type="dxa" w:w="1512"/>
            <w:vAlign w:val="top"/>
          </w:tcPr>
          <w:p>
            <w:pPr>
              <w:spacing w:after="40" w:before="0" w:line="259" w:lineRule="auto"/>
            </w:pPr>
            <w:r>
              <w:rPr>
                <w:rFonts w:ascii="Calibri" w:hAnsi="Calibri"/>
                <w:b w:val="0"/>
                <w:i w:val="0"/>
                <w:color w:val="212121"/>
                <w:sz w:val="19"/>
              </w:rPr>
              <w:t>6/6 (20/20)</w:t>
            </w:r>
          </w:p>
        </w:tc>
        <w:tc>
          <w:tcPr>
            <w:tcW w:type="dxa" w:w="1512"/>
            <w:vAlign w:val="top"/>
          </w:tcPr>
          <w:p>
            <w:pPr>
              <w:spacing w:after="40" w:before="0" w:line="259" w:lineRule="auto"/>
            </w:pPr>
            <w:r>
              <w:rPr>
                <w:rFonts w:ascii="Calibri" w:hAnsi="Calibri"/>
                <w:b w:val="0"/>
                <w:i w:val="0"/>
                <w:color w:val="212121"/>
                <w:sz w:val="19"/>
              </w:rPr>
              <w:t>Declining or ≤ 6/12 not improving with spectacles</w:t>
            </w:r>
          </w:p>
        </w:tc>
        <w:tc>
          <w:tcPr>
            <w:tcW w:type="dxa" w:w="1468"/>
            <w:vAlign w:val="top"/>
          </w:tcPr>
          <w:p>
            <w:pPr>
              <w:spacing w:after="60" w:line="259" w:lineRule="auto"/>
            </w:pPr>
            <w:r>
              <w:rPr>
                <w:rFonts w:ascii="Calibri" w:hAnsi="Calibri"/>
                <w:b w:val="0"/>
                <w:i w:val="0"/>
                <w:color w:val="212121"/>
                <w:sz w:val="19"/>
              </w:rPr>
              <w:t>Irregular astigmatism uncorrectable by glasses is a hallmark of progression</w:t>
            </w:r>
          </w:p>
          <w:p>
            <w:pPr>
              <w:spacing w:after="40" w:line="252" w:lineRule="auto"/>
            </w:pPr>
            <w:hyperlink r:id="rId16">
              <w:r>
                <w:rPr>
                  <w:rFonts w:ascii="Calibri" w:hAnsi="Calibri" w:cs="Calibri"/>
                  <w:sz w:val="18"/>
                  <w:color w:val="1155CC"/>
                  <w:u w:val="single"/>
                </w:rPr>
                <w:t xml:space="preserve">https://eyewiki.org/Keratoconus</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Allergic conjunctivitis / VKC control</w:t>
            </w:r>
          </w:p>
        </w:tc>
        <w:tc>
          <w:tcPr>
            <w:tcW w:type="dxa" w:w="1655"/>
            <w:vAlign w:val="top"/>
          </w:tcPr>
          <w:p>
            <w:pPr>
              <w:spacing w:after="40" w:before="0" w:line="259" w:lineRule="auto"/>
            </w:pPr>
            <w:r>
              <w:rPr>
                <w:rFonts w:ascii="Calibri" w:hAnsi="Calibri"/>
                <w:b w:val="0"/>
                <w:i w:val="0"/>
                <w:color w:val="212121"/>
                <w:sz w:val="19"/>
              </w:rPr>
              <w:t>Atopic children and young adults</w:t>
            </w:r>
          </w:p>
        </w:tc>
        <w:tc>
          <w:tcPr>
            <w:tcW w:type="dxa" w:w="1512"/>
            <w:vAlign w:val="top"/>
          </w:tcPr>
          <w:p>
            <w:pPr>
              <w:spacing w:after="40" w:before="0" w:line="259" w:lineRule="auto"/>
            </w:pPr>
            <w:r>
              <w:rPr>
                <w:rFonts w:ascii="Calibri" w:hAnsi="Calibri"/>
                <w:b w:val="0"/>
                <w:i w:val="0"/>
                <w:color w:val="212121"/>
                <w:sz w:val="19"/>
              </w:rPr>
              <w:t>Well controlled, minimal itch</w:t>
            </w:r>
          </w:p>
        </w:tc>
        <w:tc>
          <w:tcPr>
            <w:tcW w:type="dxa" w:w="1512"/>
            <w:vAlign w:val="top"/>
          </w:tcPr>
          <w:p>
            <w:pPr>
              <w:spacing w:after="40" w:before="0" w:line="259" w:lineRule="auto"/>
            </w:pPr>
            <w:r>
              <w:rPr>
                <w:rFonts w:ascii="Calibri" w:hAnsi="Calibri"/>
                <w:b w:val="0"/>
                <w:i w:val="0"/>
                <w:color w:val="212121"/>
                <w:sz w:val="19"/>
              </w:rPr>
              <w:t>Active itching with rubbing</w:t>
            </w:r>
          </w:p>
        </w:tc>
        <w:tc>
          <w:tcPr>
            <w:tcW w:type="dxa" w:w="1468"/>
            <w:vAlign w:val="top"/>
          </w:tcPr>
          <w:p>
            <w:pPr>
              <w:spacing w:after="60" w:line="259" w:lineRule="auto"/>
            </w:pPr>
            <w:r>
              <w:rPr>
                <w:rFonts w:ascii="Calibri" w:hAnsi="Calibri"/>
                <w:b w:val="0"/>
                <w:i w:val="0"/>
                <w:color w:val="212121"/>
                <w:sz w:val="19"/>
              </w:rPr>
              <w:t>Treating ocular allergy breaks the itch–rub cycle that drives ectasia</w:t>
            </w:r>
          </w:p>
          <w:p>
            <w:pPr>
              <w:spacing w:after="40" w:line="252" w:lineRule="auto"/>
            </w:pPr>
            <w:hyperlink r:id="rId13">
              <w:r>
                <w:rPr>
                  <w:rFonts w:ascii="Calibri" w:hAnsi="Calibri" w:cs="Calibri"/>
                  <w:sz w:val="18"/>
                  <w:color w:val="1155CC"/>
                  <w:u w:val="single"/>
                </w:rPr>
                <w:t xml:space="preserve">https://pmc.ncbi.nlm.nih.gov/articles/PMC13108012/</w:t>
              </w:r>
            </w:hyperlink>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Habitual sleep position</w:t>
            </w:r>
          </w:p>
        </w:tc>
        <w:tc>
          <w:tcPr>
            <w:tcW w:type="dxa" w:w="1655"/>
            <w:vAlign w:val="top"/>
          </w:tcPr>
          <w:p>
            <w:pPr>
              <w:spacing w:after="40" w:before="0" w:line="259" w:lineRule="auto"/>
            </w:pPr>
            <w:r>
              <w:rPr>
                <w:rFonts w:ascii="Calibri" w:hAnsi="Calibri"/>
                <w:b w:val="0"/>
                <w:i w:val="0"/>
                <w:color w:val="212121"/>
                <w:sz w:val="19"/>
              </w:rPr>
              <w:t>Adults, floppy eyelid patients</w:t>
            </w:r>
          </w:p>
        </w:tc>
        <w:tc>
          <w:tcPr>
            <w:tcW w:type="dxa" w:w="1512"/>
            <w:vAlign w:val="top"/>
          </w:tcPr>
          <w:p>
            <w:pPr>
              <w:spacing w:after="40" w:before="0" w:line="259" w:lineRule="auto"/>
            </w:pPr>
            <w:r>
              <w:rPr>
                <w:rFonts w:ascii="Calibri" w:hAnsi="Calibri"/>
                <w:b w:val="0"/>
                <w:i w:val="0"/>
                <w:color w:val="212121"/>
                <w:sz w:val="19"/>
              </w:rPr>
              <w:t>Supine or alternating sides</w:t>
            </w:r>
          </w:p>
        </w:tc>
        <w:tc>
          <w:tcPr>
            <w:tcW w:type="dxa" w:w="1512"/>
            <w:vAlign w:val="top"/>
          </w:tcPr>
          <w:p>
            <w:pPr>
              <w:spacing w:after="40" w:before="0" w:line="259" w:lineRule="auto"/>
            </w:pPr>
            <w:r>
              <w:rPr>
                <w:rFonts w:ascii="Calibri" w:hAnsi="Calibri"/>
                <w:b w:val="0"/>
                <w:i w:val="0"/>
                <w:color w:val="212121"/>
                <w:sz w:val="19"/>
              </w:rPr>
              <w:t>Habitual prone or same-side sleeping</w:t>
            </w:r>
          </w:p>
        </w:tc>
        <w:tc>
          <w:tcPr>
            <w:tcW w:type="dxa" w:w="1468"/>
            <w:vAlign w:val="top"/>
          </w:tcPr>
          <w:p>
            <w:pPr>
              <w:spacing w:after="60" w:line="259" w:lineRule="auto"/>
            </w:pPr>
            <w:r>
              <w:rPr>
                <w:rFonts w:ascii="Calibri" w:hAnsi="Calibri"/>
                <w:b w:val="0"/>
                <w:i w:val="0"/>
                <w:color w:val="212121"/>
                <w:sz w:val="19"/>
              </w:rPr>
              <w:t>Reduce nightly mechanical compression of one eye</w:t>
            </w:r>
          </w:p>
          <w:p>
            <w:pPr>
              <w:spacing w:after="40" w:line="252" w:lineRule="auto"/>
            </w:pPr>
            <w:hyperlink r:id="rId13">
              <w:r>
                <w:rPr>
                  <w:rFonts w:ascii="Calibri" w:hAnsi="Calibri" w:cs="Calibri"/>
                  <w:sz w:val="18"/>
                  <w:color w:val="1155CC"/>
                  <w:u w:val="single"/>
                </w:rPr>
                <w:t xml:space="preserve">https://pmc.ncbi.nlm.nih.gov/articles/PMC13108012/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OSA / floppy eyelid screen (STOP-BANG, AHI)</w:t>
            </w:r>
          </w:p>
        </w:tc>
        <w:tc>
          <w:tcPr>
            <w:tcW w:type="dxa" w:w="1655"/>
            <w:vAlign w:val="top"/>
          </w:tcPr>
          <w:p>
            <w:pPr>
              <w:spacing w:after="40" w:before="0" w:line="259" w:lineRule="auto"/>
            </w:pPr>
            <w:r>
              <w:rPr>
                <w:rFonts w:ascii="Calibri" w:hAnsi="Calibri"/>
                <w:b w:val="0"/>
                <w:i w:val="0"/>
                <w:color w:val="212121"/>
                <w:sz w:val="19"/>
              </w:rPr>
              <w:t>Obese adults</w:t>
            </w:r>
          </w:p>
        </w:tc>
        <w:tc>
          <w:tcPr>
            <w:tcW w:type="dxa" w:w="1512"/>
            <w:vAlign w:val="top"/>
          </w:tcPr>
          <w:p>
            <w:pPr>
              <w:spacing w:after="40" w:before="0" w:line="259" w:lineRule="auto"/>
            </w:pPr>
            <w:r>
              <w:rPr>
                <w:rFonts w:ascii="Calibri" w:hAnsi="Calibri"/>
                <w:b w:val="0"/>
                <w:i w:val="0"/>
                <w:color w:val="212121"/>
                <w:sz w:val="19"/>
              </w:rPr>
              <w:t>Low risk / AHI &lt; 5</w:t>
            </w:r>
          </w:p>
        </w:tc>
        <w:tc>
          <w:tcPr>
            <w:tcW w:type="dxa" w:w="1512"/>
            <w:vAlign w:val="top"/>
          </w:tcPr>
          <w:p>
            <w:pPr>
              <w:spacing w:after="40" w:before="0" w:line="259" w:lineRule="auto"/>
            </w:pPr>
            <w:r>
              <w:rPr>
                <w:rFonts w:ascii="Calibri" w:hAnsi="Calibri"/>
                <w:b w:val="0"/>
                <w:i w:val="0"/>
                <w:color w:val="212121"/>
                <w:sz w:val="19"/>
              </w:rPr>
              <w:t>AHI ≥ 5 with lax eyelids</w:t>
            </w:r>
          </w:p>
        </w:tc>
        <w:tc>
          <w:tcPr>
            <w:tcW w:type="dxa" w:w="1468"/>
            <w:vAlign w:val="top"/>
          </w:tcPr>
          <w:p>
            <w:pPr>
              <w:spacing w:after="60" w:line="259" w:lineRule="auto"/>
            </w:pPr>
            <w:r>
              <w:rPr>
                <w:rFonts w:ascii="Calibri" w:hAnsi="Calibri"/>
                <w:b w:val="0"/>
                <w:i w:val="0"/>
                <w:color w:val="212121"/>
                <w:sz w:val="19"/>
              </w:rPr>
              <w:t>Screen for and treat obstructive sleep apnoea and floppy eyelid syndrome</w:t>
            </w:r>
          </w:p>
          <w:p>
            <w:pPr>
              <w:spacing w:after="40" w:line="252" w:lineRule="auto"/>
            </w:pPr>
            <w:hyperlink r:id="rId14">
              <w:r>
                <w:rPr>
                  <w:rFonts w:ascii="Calibri" w:hAnsi="Calibri" w:cs="Calibri"/>
                  <w:sz w:val="18"/>
                  <w:color w:val="1155CC"/>
                  <w:u w:val="single"/>
                </w:rPr>
                <w:t xml:space="preserve">https://entokey.com/keratoconus-associated-systemic-diseases/</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25-OH vitamin D (ng/mL)</w:t>
            </w:r>
          </w:p>
        </w:tc>
        <w:tc>
          <w:tcPr>
            <w:tcW w:type="dxa" w:w="1655"/>
            <w:vAlign w:val="top"/>
          </w:tcPr>
          <w:p>
            <w:pPr>
              <w:spacing w:after="40" w:before="0" w:line="259" w:lineRule="auto"/>
            </w:pPr>
            <w:r>
              <w:rPr>
                <w:rFonts w:ascii="Calibri" w:hAnsi="Calibri"/>
                <w:b w:val="0"/>
                <w:i w:val="0"/>
                <w:color w:val="212121"/>
                <w:sz w:val="19"/>
              </w:rPr>
              <w:t>Indian adults and children</w:t>
            </w:r>
          </w:p>
        </w:tc>
        <w:tc>
          <w:tcPr>
            <w:tcW w:type="dxa" w:w="1512"/>
            <w:vAlign w:val="top"/>
          </w:tcPr>
          <w:p>
            <w:pPr>
              <w:spacing w:after="40" w:before="0" w:line="259" w:lineRule="auto"/>
            </w:pPr>
            <w:r>
              <w:rPr>
                <w:rFonts w:ascii="Calibri" w:hAnsi="Calibri"/>
                <w:b w:val="0"/>
                <w:i w:val="0"/>
                <w:color w:val="212121"/>
                <w:sz w:val="19"/>
              </w:rPr>
              <w:t>≥ 30 ng/mL</w:t>
            </w:r>
          </w:p>
        </w:tc>
        <w:tc>
          <w:tcPr>
            <w:tcW w:type="dxa" w:w="1512"/>
            <w:vAlign w:val="top"/>
          </w:tcPr>
          <w:p>
            <w:pPr>
              <w:spacing w:after="40" w:before="0" w:line="259" w:lineRule="auto"/>
            </w:pPr>
            <w:r>
              <w:rPr>
                <w:rFonts w:ascii="Calibri" w:hAnsi="Calibri"/>
                <w:b w:val="0"/>
                <w:i w:val="0"/>
                <w:color w:val="212121"/>
                <w:sz w:val="19"/>
              </w:rPr>
              <w:t>&lt; 20 ng/mL (deficient)</w:t>
            </w:r>
          </w:p>
        </w:tc>
        <w:tc>
          <w:tcPr>
            <w:tcW w:type="dxa" w:w="1468"/>
            <w:vAlign w:val="top"/>
          </w:tcPr>
          <w:p>
            <w:pPr>
              <w:spacing w:after="40" w:before="0" w:line="259" w:lineRule="auto"/>
            </w:pPr>
            <w:r>
              <w:rPr>
                <w:rFonts w:ascii="Calibri" w:hAnsi="Calibri"/>
                <w:b w:val="0"/>
                <w:i w:val="0"/>
                <w:color w:val="212121"/>
                <w:sz w:val="19"/>
              </w:rPr>
              <w:t>Deficiency is highly prevalent in India and may reduce corneal antioxidant defence; evidence associational</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Anxiety/depression screen (GAD-7 / PHQ-9)</w:t>
            </w:r>
          </w:p>
        </w:tc>
        <w:tc>
          <w:tcPr>
            <w:tcW w:type="dxa" w:w="1655"/>
            <w:vAlign w:val="top"/>
          </w:tcPr>
          <w:p>
            <w:pPr>
              <w:spacing w:after="40" w:before="0" w:line="259" w:lineRule="auto"/>
            </w:pPr>
            <w:r>
              <w:rPr>
                <w:rFonts w:ascii="Calibri" w:hAnsi="Calibri"/>
                <w:b w:val="0"/>
                <w:i w:val="0"/>
                <w:color w:val="212121"/>
                <w:sz w:val="19"/>
              </w:rPr>
              <w:t>Keratoconus patients with vision loss</w:t>
            </w:r>
          </w:p>
        </w:tc>
        <w:tc>
          <w:tcPr>
            <w:tcW w:type="dxa" w:w="1512"/>
            <w:vAlign w:val="top"/>
          </w:tcPr>
          <w:p>
            <w:pPr>
              <w:spacing w:after="40" w:before="0" w:line="259" w:lineRule="auto"/>
            </w:pPr>
            <w:r>
              <w:rPr>
                <w:rFonts w:ascii="Calibri" w:hAnsi="Calibri"/>
                <w:b w:val="0"/>
                <w:i w:val="0"/>
                <w:color w:val="212121"/>
                <w:sz w:val="19"/>
              </w:rPr>
              <w:t>Minimal symptoms</w:t>
            </w:r>
          </w:p>
        </w:tc>
        <w:tc>
          <w:tcPr>
            <w:tcW w:type="dxa" w:w="1512"/>
            <w:vAlign w:val="top"/>
          </w:tcPr>
          <w:p>
            <w:pPr>
              <w:spacing w:after="40" w:before="0" w:line="259" w:lineRule="auto"/>
            </w:pPr>
            <w:r>
              <w:rPr>
                <w:rFonts w:ascii="Calibri" w:hAnsi="Calibri"/>
                <w:b w:val="0"/>
                <w:i w:val="0"/>
                <w:color w:val="212121"/>
                <w:sz w:val="19"/>
              </w:rPr>
              <w:t>Elevated screening score</w:t>
            </w:r>
          </w:p>
        </w:tc>
        <w:tc>
          <w:tcPr>
            <w:tcW w:type="dxa" w:w="1468"/>
            <w:vAlign w:val="top"/>
          </w:tcPr>
          <w:p>
            <w:pPr>
              <w:spacing w:after="40" w:before="0" w:line="259" w:lineRule="auto"/>
            </w:pPr>
            <w:r>
              <w:rPr>
                <w:rFonts w:ascii="Calibri" w:hAnsi="Calibri"/>
                <w:b w:val="0"/>
                <w:i w:val="0"/>
                <w:color w:val="212121"/>
                <w:sz w:val="19"/>
              </w:rPr>
              <w:t>Address the psychological burden and any compulsive eye-rubbing behaviour</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Corneal imaging</w:t>
            </w:r>
          </w:p>
        </w:tc>
        <w:tc>
          <w:tcPr>
            <w:tcW w:type="dxa" w:w="1036"/>
            <w:vAlign w:val="top"/>
          </w:tcPr>
          <w:p>
            <w:pPr>
              <w:spacing w:after="40" w:before="0" w:line="259" w:lineRule="auto"/>
            </w:pPr>
            <w:r>
              <w:rPr>
                <w:rFonts w:ascii="Calibri" w:hAnsi="Calibri"/>
                <w:b w:val="0"/>
                <w:i w:val="0"/>
                <w:color w:val="212121"/>
                <w:sz w:val="16"/>
              </w:rPr>
              <w:t>Maximum keratometry (Kmax)</w:t>
            </w:r>
          </w:p>
        </w:tc>
        <w:tc>
          <w:tcPr>
            <w:tcW w:type="dxa" w:w="892"/>
            <w:vAlign w:val="top"/>
          </w:tcPr>
          <w:p>
            <w:pPr>
              <w:spacing w:after="40" w:before="0" w:line="259" w:lineRule="auto"/>
            </w:pPr>
            <w:r>
              <w:rPr>
                <w:rFonts w:ascii="Calibri" w:hAnsi="Calibri"/>
                <w:b w:val="0"/>
                <w:i w:val="0"/>
                <w:color w:val="212121"/>
                <w:sz w:val="16"/>
              </w:rPr>
              <w:t>Corneal Topography / Tomography (Pentacam, Placido disc)</w:t>
            </w:r>
          </w:p>
        </w:tc>
        <w:tc>
          <w:tcPr>
            <w:tcW w:type="dxa" w:w="950"/>
            <w:vAlign w:val="top"/>
          </w:tcPr>
          <w:p>
            <w:pPr>
              <w:spacing w:after="40" w:before="0" w:line="259" w:lineRule="auto"/>
            </w:pPr>
            <w:r>
              <w:rPr>
                <w:rFonts w:ascii="Calibri" w:hAnsi="Calibri"/>
                <w:b w:val="0"/>
                <w:i w:val="0"/>
                <w:color w:val="212121"/>
                <w:sz w:val="16"/>
              </w:rPr>
              <w:t>&lt; 47 D</w:t>
            </w:r>
          </w:p>
        </w:tc>
        <w:tc>
          <w:tcPr>
            <w:tcW w:type="dxa" w:w="950"/>
            <w:vAlign w:val="top"/>
          </w:tcPr>
          <w:p>
            <w:pPr>
              <w:spacing w:after="40" w:before="0" w:line="259" w:lineRule="auto"/>
            </w:pPr>
            <w:r>
              <w:rPr>
                <w:rFonts w:ascii="Calibri" w:hAnsi="Calibri"/>
                <w:b w:val="0"/>
                <w:i w:val="0"/>
                <w:color w:val="212121"/>
                <w:sz w:val="16"/>
              </w:rPr>
              <w:t>≥ 47–48 D or asymmetric steepening</w:t>
            </w:r>
          </w:p>
        </w:tc>
        <w:tc>
          <w:tcPr>
            <w:tcW w:type="dxa" w:w="1036"/>
            <w:vAlign w:val="top"/>
          </w:tcPr>
          <w:p>
            <w:pPr>
              <w:spacing w:after="40" w:before="0" w:line="259" w:lineRule="auto"/>
            </w:pPr>
            <w:r>
              <w:rPr>
                <w:rFonts w:ascii="Calibri" w:hAnsi="Calibri"/>
                <w:b w:val="0"/>
                <w:i w:val="0"/>
                <w:color w:val="212121"/>
                <w:sz w:val="16"/>
              </w:rPr>
              <w:t>Quantifies conical steepening; a rise ≥ 1 D indicates progression</w:t>
            </w:r>
          </w:p>
        </w:tc>
        <w:tc>
          <w:tcPr>
            <w:tcW w:type="dxa" w:w="1036"/>
            <w:vAlign w:val="top"/>
          </w:tcPr>
          <w:p>
            <w:pPr>
              <w:spacing w:after="40" w:before="0" w:line="259" w:lineRule="auto"/>
            </w:pPr>
            <w:r>
              <w:rPr>
                <w:rFonts w:ascii="Calibri" w:hAnsi="Calibri"/>
                <w:b w:val="0"/>
                <w:i w:val="0"/>
                <w:color w:val="212121"/>
                <w:sz w:val="16"/>
              </w:rPr>
              <w:t>Keratoconus patients, suspects, refractive-surgery candidates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Primary tool for diagnosis and monitoring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Corneal imaging</w:t>
            </w:r>
          </w:p>
        </w:tc>
        <w:tc>
          <w:tcPr>
            <w:tcW w:type="dxa" w:w="1036"/>
            <w:vAlign w:val="top"/>
          </w:tcPr>
          <w:p>
            <w:pPr>
              <w:spacing w:after="40" w:before="0" w:line="259" w:lineRule="auto"/>
            </w:pPr>
            <w:r>
              <w:rPr>
                <w:rFonts w:ascii="Calibri" w:hAnsi="Calibri"/>
                <w:b w:val="0"/>
                <w:i w:val="0"/>
                <w:color w:val="212121"/>
                <w:sz w:val="16"/>
              </w:rPr>
              <w:t>Thinnest corneal thickness (pachymetry)</w:t>
            </w:r>
          </w:p>
        </w:tc>
        <w:tc>
          <w:tcPr>
            <w:tcW w:type="dxa" w:w="892"/>
            <w:vAlign w:val="top"/>
          </w:tcPr>
          <w:p>
            <w:pPr>
              <w:spacing w:after="40" w:before="0" w:line="259" w:lineRule="auto"/>
            </w:pPr>
            <w:r>
              <w:rPr>
                <w:rFonts w:ascii="Calibri" w:hAnsi="Calibri"/>
                <w:b w:val="0"/>
                <w:i w:val="0"/>
                <w:color w:val="212121"/>
                <w:sz w:val="16"/>
              </w:rPr>
              <w:t>Scheimpflug / ultrasound pachymetry</w:t>
            </w:r>
          </w:p>
        </w:tc>
        <w:tc>
          <w:tcPr>
            <w:tcW w:type="dxa" w:w="950"/>
            <w:vAlign w:val="top"/>
          </w:tcPr>
          <w:p>
            <w:pPr>
              <w:spacing w:after="40" w:before="0" w:line="259" w:lineRule="auto"/>
            </w:pPr>
            <w:r>
              <w:rPr>
                <w:rFonts w:ascii="Calibri" w:hAnsi="Calibri"/>
                <w:b w:val="0"/>
                <w:i w:val="0"/>
                <w:color w:val="212121"/>
                <w:sz w:val="16"/>
              </w:rPr>
              <w:t>~ 540–560 µm</w:t>
            </w:r>
          </w:p>
        </w:tc>
        <w:tc>
          <w:tcPr>
            <w:tcW w:type="dxa" w:w="950"/>
            <w:vAlign w:val="top"/>
          </w:tcPr>
          <w:p>
            <w:pPr>
              <w:spacing w:after="40" w:before="0" w:line="259" w:lineRule="auto"/>
            </w:pPr>
            <w:r>
              <w:rPr>
                <w:rFonts w:ascii="Calibri" w:hAnsi="Calibri"/>
                <w:b w:val="0"/>
                <w:i w:val="0"/>
                <w:color w:val="212121"/>
                <w:sz w:val="16"/>
              </w:rPr>
              <w:t>&lt; 500 µm (borderline); &lt; 400 µm (advanced)</w:t>
            </w:r>
          </w:p>
        </w:tc>
        <w:tc>
          <w:tcPr>
            <w:tcW w:type="dxa" w:w="1036"/>
            <w:vAlign w:val="top"/>
          </w:tcPr>
          <w:p>
            <w:pPr>
              <w:spacing w:after="40" w:before="0" w:line="259" w:lineRule="auto"/>
            </w:pPr>
            <w:r>
              <w:rPr>
                <w:rFonts w:ascii="Calibri" w:hAnsi="Calibri"/>
                <w:b w:val="0"/>
                <w:i w:val="0"/>
                <w:color w:val="212121"/>
                <w:sz w:val="16"/>
              </w:rPr>
              <w:t>Focal thinning confirms ectasia and determines cross-linking eligibility</w:t>
            </w:r>
          </w:p>
        </w:tc>
        <w:tc>
          <w:tcPr>
            <w:tcW w:type="dxa" w:w="1036"/>
            <w:vAlign w:val="top"/>
          </w:tcPr>
          <w:p>
            <w:pPr>
              <w:spacing w:after="40" w:before="0" w:line="259" w:lineRule="auto"/>
            </w:pPr>
            <w:r>
              <w:rPr>
                <w:rFonts w:ascii="Calibri" w:hAnsi="Calibri"/>
                <w:b w:val="0"/>
                <w:i w:val="0"/>
                <w:color w:val="212121"/>
                <w:sz w:val="16"/>
              </w:rPr>
              <w:t>Keratoconus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Thinnest point typically inferotemporal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Corneal imaging</w:t>
            </w:r>
          </w:p>
        </w:tc>
        <w:tc>
          <w:tcPr>
            <w:tcW w:type="dxa" w:w="1036"/>
            <w:vAlign w:val="top"/>
          </w:tcPr>
          <w:p>
            <w:pPr>
              <w:spacing w:after="40" w:before="0" w:line="259" w:lineRule="auto"/>
            </w:pPr>
            <w:r>
              <w:rPr>
                <w:rFonts w:ascii="Calibri" w:hAnsi="Calibri"/>
                <w:b w:val="0"/>
                <w:i w:val="0"/>
                <w:color w:val="212121"/>
                <w:sz w:val="16"/>
              </w:rPr>
              <w:t>Posterior corneal elevation</w:t>
            </w:r>
          </w:p>
        </w:tc>
        <w:tc>
          <w:tcPr>
            <w:tcW w:type="dxa" w:w="892"/>
            <w:vAlign w:val="top"/>
          </w:tcPr>
          <w:p>
            <w:pPr>
              <w:spacing w:after="40" w:before="0" w:line="259" w:lineRule="auto"/>
            </w:pPr>
            <w:r>
              <w:rPr>
                <w:rFonts w:ascii="Calibri" w:hAnsi="Calibri"/>
                <w:b w:val="0"/>
                <w:i w:val="0"/>
                <w:color w:val="212121"/>
                <w:sz w:val="16"/>
              </w:rPr>
              <w:t>Scheimpflug tomography</w:t>
            </w:r>
          </w:p>
        </w:tc>
        <w:tc>
          <w:tcPr>
            <w:tcW w:type="dxa" w:w="950"/>
            <w:vAlign w:val="top"/>
          </w:tcPr>
          <w:p>
            <w:pPr>
              <w:spacing w:after="40" w:before="0" w:line="259" w:lineRule="auto"/>
            </w:pPr>
            <w:r>
              <w:rPr>
                <w:rFonts w:ascii="Calibri" w:hAnsi="Calibri"/>
                <w:b w:val="0"/>
                <w:i w:val="0"/>
                <w:color w:val="212121"/>
                <w:sz w:val="16"/>
              </w:rPr>
              <w:t>&lt; 15 µm over best-fit sphere</w:t>
            </w:r>
          </w:p>
        </w:tc>
        <w:tc>
          <w:tcPr>
            <w:tcW w:type="dxa" w:w="950"/>
            <w:vAlign w:val="top"/>
          </w:tcPr>
          <w:p>
            <w:pPr>
              <w:spacing w:after="40" w:before="0" w:line="259" w:lineRule="auto"/>
            </w:pPr>
            <w:r>
              <w:rPr>
                <w:rFonts w:ascii="Calibri" w:hAnsi="Calibri"/>
                <w:b w:val="0"/>
                <w:i w:val="0"/>
                <w:color w:val="212121"/>
                <w:sz w:val="16"/>
              </w:rPr>
              <w:t>≥ 15–20 µm</w:t>
            </w:r>
          </w:p>
        </w:tc>
        <w:tc>
          <w:tcPr>
            <w:tcW w:type="dxa" w:w="1036"/>
            <w:vAlign w:val="top"/>
          </w:tcPr>
          <w:p>
            <w:pPr>
              <w:spacing w:after="40" w:before="0" w:line="259" w:lineRule="auto"/>
            </w:pPr>
            <w:r>
              <w:rPr>
                <w:rFonts w:ascii="Calibri" w:hAnsi="Calibri"/>
                <w:b w:val="0"/>
                <w:i w:val="0"/>
                <w:color w:val="212121"/>
                <w:sz w:val="16"/>
              </w:rPr>
              <w:t>Detects early / subclinical (forme-fruste) ectasia before anterior changes</w:t>
            </w:r>
          </w:p>
        </w:tc>
        <w:tc>
          <w:tcPr>
            <w:tcW w:type="dxa" w:w="1036"/>
            <w:vAlign w:val="top"/>
          </w:tcPr>
          <w:p>
            <w:pPr>
              <w:spacing w:after="40" w:before="0" w:line="259" w:lineRule="auto"/>
            </w:pPr>
            <w:r>
              <w:rPr>
                <w:rFonts w:ascii="Calibri" w:hAnsi="Calibri"/>
                <w:b w:val="0"/>
                <w:i w:val="0"/>
                <w:color w:val="212121"/>
                <w:sz w:val="16"/>
              </w:rPr>
              <w:t>Subclinical cases, fellow eyes, refractive-surgery screening</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Early detection</w:t>
            </w:r>
          </w:p>
        </w:tc>
        <w:tc>
          <w:tcPr>
            <w:tcW w:type="dxa" w:w="720"/>
            <w:vAlign w:val="top"/>
          </w:tcPr>
          <w:p>
            <w:pPr>
              <w:spacing w:after="40" w:before="0" w:line="259" w:lineRule="auto"/>
            </w:pPr>
            <w:r>
              <w:rPr>
                <w:rFonts w:ascii="Calibri" w:hAnsi="Calibri"/>
                <w:b w:val="0"/>
                <w:i w:val="0"/>
                <w:color w:val="212121"/>
                <w:sz w:val="16"/>
              </w:rPr>
              <w:t>Most sensitive early marker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Biomechanics</w:t>
            </w:r>
          </w:p>
        </w:tc>
        <w:tc>
          <w:tcPr>
            <w:tcW w:type="dxa" w:w="1036"/>
            <w:vAlign w:val="top"/>
          </w:tcPr>
          <w:p>
            <w:pPr>
              <w:spacing w:after="40" w:before="0" w:line="259" w:lineRule="auto"/>
            </w:pPr>
            <w:r>
              <w:rPr>
                <w:rFonts w:ascii="Calibri" w:hAnsi="Calibri"/>
                <w:b w:val="0"/>
                <w:i w:val="0"/>
                <w:color w:val="212121"/>
                <w:sz w:val="16"/>
              </w:rPr>
              <w:t>Corneal hysteresis / biomechanical index</w:t>
            </w:r>
          </w:p>
        </w:tc>
        <w:tc>
          <w:tcPr>
            <w:tcW w:type="dxa" w:w="892"/>
            <w:vAlign w:val="top"/>
          </w:tcPr>
          <w:p>
            <w:pPr>
              <w:spacing w:after="40" w:before="0" w:line="259" w:lineRule="auto"/>
            </w:pPr>
            <w:r>
              <w:rPr>
                <w:rFonts w:ascii="Calibri" w:hAnsi="Calibri"/>
                <w:b w:val="0"/>
                <w:i w:val="0"/>
                <w:color w:val="212121"/>
                <w:sz w:val="16"/>
              </w:rPr>
              <w:t>Ocular Response Analyser / Corvis ST</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Reduced hysteresis; high tomographic-biomechanical index</w:t>
            </w:r>
          </w:p>
        </w:tc>
        <w:tc>
          <w:tcPr>
            <w:tcW w:type="dxa" w:w="1036"/>
            <w:vAlign w:val="top"/>
          </w:tcPr>
          <w:p>
            <w:pPr>
              <w:spacing w:after="40" w:before="0" w:line="259" w:lineRule="auto"/>
            </w:pPr>
            <w:r>
              <w:rPr>
                <w:rFonts w:ascii="Calibri" w:hAnsi="Calibri"/>
                <w:b w:val="0"/>
                <w:i w:val="0"/>
                <w:color w:val="212121"/>
                <w:sz w:val="16"/>
              </w:rPr>
              <w:t>Reflects reduced corneal rigidity supporting the diagnosis</w:t>
            </w:r>
          </w:p>
        </w:tc>
        <w:tc>
          <w:tcPr>
            <w:tcW w:type="dxa" w:w="1036"/>
            <w:vAlign w:val="top"/>
          </w:tcPr>
          <w:p>
            <w:pPr>
              <w:spacing w:after="40" w:before="0" w:line="259" w:lineRule="auto"/>
            </w:pPr>
            <w:r>
              <w:rPr>
                <w:rFonts w:ascii="Calibri" w:hAnsi="Calibri"/>
                <w:b w:val="0"/>
                <w:i w:val="0"/>
                <w:color w:val="212121"/>
                <w:sz w:val="16"/>
              </w:rPr>
              <w:t>Keratoconus suspects, borderline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Useful when tomography is equivocal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Refraction</w:t>
            </w:r>
          </w:p>
        </w:tc>
        <w:tc>
          <w:tcPr>
            <w:tcW w:type="dxa" w:w="1036"/>
            <w:vAlign w:val="top"/>
          </w:tcPr>
          <w:p>
            <w:pPr>
              <w:spacing w:after="40" w:before="0" w:line="259" w:lineRule="auto"/>
            </w:pPr>
            <w:r>
              <w:rPr>
                <w:rFonts w:ascii="Calibri" w:hAnsi="Calibri"/>
                <w:b w:val="0"/>
                <w:i w:val="0"/>
                <w:color w:val="212121"/>
                <w:sz w:val="16"/>
              </w:rPr>
              <w:t>Refractive / keratometric astigmatism</w:t>
            </w:r>
          </w:p>
        </w:tc>
        <w:tc>
          <w:tcPr>
            <w:tcW w:type="dxa" w:w="892"/>
            <w:vAlign w:val="top"/>
          </w:tcPr>
          <w:p>
            <w:pPr>
              <w:spacing w:after="40" w:before="0" w:line="259" w:lineRule="auto"/>
            </w:pPr>
            <w:r>
              <w:rPr>
                <w:rFonts w:ascii="Calibri" w:hAnsi="Calibri"/>
                <w:b w:val="0"/>
                <w:i w:val="0"/>
                <w:color w:val="212121"/>
                <w:sz w:val="16"/>
              </w:rPr>
              <w:t>Autorefraction / Retinoscopy</w:t>
            </w:r>
          </w:p>
        </w:tc>
        <w:tc>
          <w:tcPr>
            <w:tcW w:type="dxa" w:w="950"/>
            <w:vAlign w:val="top"/>
          </w:tcPr>
          <w:p>
            <w:pPr>
              <w:spacing w:after="40" w:before="0" w:line="259" w:lineRule="auto"/>
            </w:pPr>
            <w:r>
              <w:rPr>
                <w:rFonts w:ascii="Calibri" w:hAnsi="Calibri"/>
                <w:b w:val="0"/>
                <w:i w:val="0"/>
                <w:color w:val="212121"/>
                <w:sz w:val="16"/>
              </w:rPr>
              <w:t>Low, regular</w:t>
            </w:r>
          </w:p>
        </w:tc>
        <w:tc>
          <w:tcPr>
            <w:tcW w:type="dxa" w:w="950"/>
            <w:vAlign w:val="top"/>
          </w:tcPr>
          <w:p>
            <w:pPr>
              <w:spacing w:after="40" w:before="0" w:line="259" w:lineRule="auto"/>
            </w:pPr>
            <w:r>
              <w:rPr>
                <w:rFonts w:ascii="Calibri" w:hAnsi="Calibri"/>
                <w:b w:val="0"/>
                <w:i w:val="0"/>
                <w:color w:val="212121"/>
                <w:sz w:val="16"/>
              </w:rPr>
              <w:t>High, irregular; scissoring reflex</w:t>
            </w:r>
          </w:p>
        </w:tc>
        <w:tc>
          <w:tcPr>
            <w:tcW w:type="dxa" w:w="1036"/>
            <w:vAlign w:val="top"/>
          </w:tcPr>
          <w:p>
            <w:pPr>
              <w:spacing w:after="40" w:before="0" w:line="259" w:lineRule="auto"/>
            </w:pPr>
            <w:r>
              <w:rPr>
                <w:rFonts w:ascii="Calibri" w:hAnsi="Calibri"/>
                <w:b w:val="0"/>
                <w:i w:val="0"/>
                <w:color w:val="212121"/>
                <w:sz w:val="16"/>
              </w:rPr>
              <w:t>Irregular astigmatism is the functional hallmark of keratoconus</w:t>
            </w:r>
          </w:p>
        </w:tc>
        <w:tc>
          <w:tcPr>
            <w:tcW w:type="dxa" w:w="1036"/>
            <w:vAlign w:val="top"/>
          </w:tcPr>
          <w:p>
            <w:pPr>
              <w:spacing w:after="40" w:before="0" w:line="259" w:lineRule="auto"/>
            </w:pPr>
            <w:r>
              <w:rPr>
                <w:rFonts w:ascii="Calibri" w:hAnsi="Calibri"/>
                <w:b w:val="0"/>
                <w:i w:val="0"/>
                <w:color w:val="212121"/>
                <w:sz w:val="16"/>
              </w:rPr>
              <w:t>All suspects, frequent spectacle-changers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Frequent prescription change is an early clue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Allergy / inflammation</w:t>
            </w:r>
          </w:p>
        </w:tc>
        <w:tc>
          <w:tcPr>
            <w:tcW w:type="dxa" w:w="1036"/>
            <w:vAlign w:val="top"/>
          </w:tcPr>
          <w:p>
            <w:pPr>
              <w:spacing w:after="40" w:before="0" w:line="259" w:lineRule="auto"/>
            </w:pPr>
            <w:r>
              <w:rPr>
                <w:rFonts w:ascii="Calibri" w:hAnsi="Calibri"/>
                <w:b w:val="0"/>
                <w:i w:val="0"/>
                <w:color w:val="212121"/>
                <w:sz w:val="16"/>
              </w:rPr>
              <w:t>Serum IgE, allergy panel; tear MMP-9</w:t>
            </w:r>
          </w:p>
        </w:tc>
        <w:tc>
          <w:tcPr>
            <w:tcW w:type="dxa" w:w="892"/>
            <w:vAlign w:val="top"/>
          </w:tcPr>
          <w:p>
            <w:pPr>
              <w:spacing w:after="40" w:before="0" w:line="259" w:lineRule="auto"/>
            </w:pPr>
            <w:r>
              <w:rPr>
                <w:rFonts w:ascii="Calibri" w:hAnsi="Calibri"/>
                <w:b w:val="0"/>
                <w:i w:val="0"/>
                <w:color w:val="212121"/>
                <w:sz w:val="16"/>
              </w:rPr>
              <w:t>Serology / tear-film assay</w:t>
            </w:r>
          </w:p>
        </w:tc>
        <w:tc>
          <w:tcPr>
            <w:tcW w:type="dxa" w:w="950"/>
            <w:vAlign w:val="top"/>
          </w:tcPr>
          <w:p>
            <w:pPr>
              <w:spacing w:after="40" w:before="0" w:line="259" w:lineRule="auto"/>
            </w:pPr>
            <w:r>
              <w:rPr>
                <w:rFonts w:ascii="Calibri" w:hAnsi="Calibri"/>
                <w:b w:val="0"/>
                <w:i w:val="0"/>
                <w:color w:val="212121"/>
                <w:sz w:val="16"/>
              </w:rPr>
              <w:t>Within normal limits</w:t>
            </w:r>
          </w:p>
        </w:tc>
        <w:tc>
          <w:tcPr>
            <w:tcW w:type="dxa" w:w="950"/>
            <w:vAlign w:val="top"/>
          </w:tcPr>
          <w:p>
            <w:pPr>
              <w:spacing w:after="40" w:before="0" w:line="259" w:lineRule="auto"/>
            </w:pPr>
            <w:r>
              <w:rPr>
                <w:rFonts w:ascii="Calibri" w:hAnsi="Calibri"/>
                <w:b w:val="0"/>
                <w:i w:val="0"/>
                <w:color w:val="212121"/>
                <w:sz w:val="16"/>
              </w:rPr>
              <w:t>Elevated IgE or tear MMP-9</w:t>
            </w:r>
          </w:p>
        </w:tc>
        <w:tc>
          <w:tcPr>
            <w:tcW w:type="dxa" w:w="1036"/>
            <w:vAlign w:val="top"/>
          </w:tcPr>
          <w:p>
            <w:pPr>
              <w:spacing w:after="40" w:before="0" w:line="259" w:lineRule="auto"/>
            </w:pPr>
            <w:r>
              <w:rPr>
                <w:rFonts w:ascii="Calibri" w:hAnsi="Calibri"/>
                <w:b w:val="0"/>
                <w:i w:val="0"/>
                <w:color w:val="212121"/>
                <w:sz w:val="16"/>
              </w:rPr>
              <w:t>Supports an atopic and inflammatory contribution and guides anti-allergy therapy</w:t>
            </w:r>
          </w:p>
        </w:tc>
        <w:tc>
          <w:tcPr>
            <w:tcW w:type="dxa" w:w="1036"/>
            <w:vAlign w:val="top"/>
          </w:tcPr>
          <w:p>
            <w:pPr>
              <w:spacing w:after="40" w:before="0" w:line="259" w:lineRule="auto"/>
            </w:pPr>
            <w:r>
              <w:rPr>
                <w:rFonts w:ascii="Calibri" w:hAnsi="Calibri"/>
                <w:b w:val="0"/>
                <w:i w:val="0"/>
                <w:color w:val="212121"/>
                <w:sz w:val="16"/>
              </w:rPr>
              <w:t>VKC / atopic keratoconus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Helps break the itch–rub cycle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Progressive blurring, frequent spectacle changes, monocular ghosting and glare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Points to evolving irregular astigmatism from ectasia</w:t>
            </w:r>
          </w:p>
        </w:tc>
        <w:tc>
          <w:tcPr>
            <w:tcW w:type="dxa" w:w="1036"/>
            <w:vAlign w:val="top"/>
          </w:tcPr>
          <w:p>
            <w:pPr>
              <w:spacing w:after="40" w:before="0" w:line="259" w:lineRule="auto"/>
            </w:pPr>
            <w:r>
              <w:rPr>
                <w:rFonts w:ascii="Calibri" w:hAnsi="Calibri"/>
                <w:b w:val="0"/>
                <w:i w:val="0"/>
                <w:color w:val="212121"/>
                <w:sz w:val="16"/>
              </w:rPr>
              <w:t>Teenagers and young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Often noticeably worse in one eye first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Eye-rubbing &amp; allergy history</w:t>
            </w:r>
          </w:p>
        </w:tc>
        <w:tc>
          <w:tcPr>
            <w:tcW w:type="dxa" w:w="979"/>
            <w:vAlign w:val="top"/>
          </w:tcPr>
          <w:p>
            <w:pPr>
              <w:spacing w:after="40" w:before="0" w:line="259" w:lineRule="auto"/>
            </w:pPr>
            <w:r>
              <w:rPr>
                <w:rFonts w:ascii="Calibri" w:hAnsi="Calibri"/>
                <w:b w:val="0"/>
                <w:i w:val="0"/>
                <w:color w:val="212121"/>
                <w:sz w:val="16"/>
              </w:rPr>
              <w:t>Habitual rubbing, itching, VKC, atopy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Identifies the key modifiable driver and inflammatory contribution</w:t>
            </w:r>
          </w:p>
        </w:tc>
        <w:tc>
          <w:tcPr>
            <w:tcW w:type="dxa" w:w="1036"/>
            <w:vAlign w:val="top"/>
          </w:tcPr>
          <w:p>
            <w:pPr>
              <w:spacing w:after="40" w:before="0" w:line="259" w:lineRule="auto"/>
            </w:pPr>
            <w:r>
              <w:rPr>
                <w:rFonts w:ascii="Calibri" w:hAnsi="Calibri"/>
                <w:b w:val="0"/>
                <w:i w:val="0"/>
                <w:color w:val="212121"/>
                <w:sz w:val="16"/>
              </w:rPr>
              <w:t>Atopic children, habitual rubbers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Screening / Prognostic</w:t>
            </w:r>
          </w:p>
        </w:tc>
        <w:tc>
          <w:tcPr>
            <w:tcW w:type="dxa" w:w="720"/>
            <w:vAlign w:val="top"/>
          </w:tcPr>
          <w:p>
            <w:pPr>
              <w:spacing w:after="40" w:before="0" w:line="259" w:lineRule="auto"/>
            </w:pPr>
            <w:r>
              <w:rPr>
                <w:rFonts w:ascii="Calibri" w:hAnsi="Calibri"/>
                <w:b w:val="0"/>
                <w:i w:val="0"/>
                <w:color w:val="212121"/>
                <w:sz w:val="16"/>
              </w:rPr>
              <w:t>Quantify frequency and vigour of rubbing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consanguinity history</w:t>
            </w:r>
          </w:p>
        </w:tc>
        <w:tc>
          <w:tcPr>
            <w:tcW w:type="dxa" w:w="979"/>
            <w:vAlign w:val="top"/>
          </w:tcPr>
          <w:p>
            <w:pPr>
              <w:spacing w:after="40" w:before="0" w:line="259" w:lineRule="auto"/>
            </w:pPr>
            <w:r>
              <w:rPr>
                <w:rFonts w:ascii="Calibri" w:hAnsi="Calibri"/>
                <w:b w:val="0"/>
                <w:i w:val="0"/>
                <w:color w:val="212121"/>
                <w:sz w:val="16"/>
              </w:rPr>
              <w:t>First-degree relative with keratoconus, consanguinity, Down syndrome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Indicates genetic predisposition and prompts screening of relatives</w:t>
            </w:r>
          </w:p>
        </w:tc>
        <w:tc>
          <w:tcPr>
            <w:tcW w:type="dxa" w:w="1036"/>
            <w:vAlign w:val="top"/>
          </w:tcPr>
          <w:p>
            <w:pPr>
              <w:spacing w:after="40" w:before="0" w:line="259" w:lineRule="auto"/>
            </w:pPr>
            <w:r>
              <w:rPr>
                <w:rFonts w:ascii="Calibri" w:hAnsi="Calibri"/>
                <w:b w:val="0"/>
                <w:i w:val="0"/>
                <w:color w:val="212121"/>
                <w:sz w:val="16"/>
              </w:rPr>
              <w:t>Relatives of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Screen at-risk relatives with topography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Slit-lamp examination</w:t>
            </w:r>
          </w:p>
        </w:tc>
        <w:tc>
          <w:tcPr>
            <w:tcW w:type="dxa" w:w="950"/>
            <w:vAlign w:val="top"/>
          </w:tcPr>
          <w:p>
            <w:pPr>
              <w:spacing w:after="40" w:before="0" w:line="259" w:lineRule="auto"/>
            </w:pPr>
            <w:r>
              <w:rPr>
                <w:rFonts w:ascii="Calibri" w:hAnsi="Calibri"/>
                <w:b w:val="0"/>
                <w:i w:val="0"/>
                <w:color w:val="212121"/>
                <w:sz w:val="16"/>
              </w:rPr>
              <w:t>Corneal signs</w:t>
            </w:r>
          </w:p>
        </w:tc>
        <w:tc>
          <w:tcPr>
            <w:tcW w:type="dxa" w:w="979"/>
            <w:vAlign w:val="top"/>
          </w:tcPr>
          <w:p>
            <w:pPr>
              <w:spacing w:after="40" w:before="0" w:line="259" w:lineRule="auto"/>
            </w:pPr>
            <w:r>
              <w:rPr>
                <w:rFonts w:ascii="Calibri" w:hAnsi="Calibri"/>
                <w:b w:val="0"/>
                <w:i w:val="0"/>
                <w:color w:val="212121"/>
                <w:sz w:val="16"/>
              </w:rPr>
              <w:t>Fleischer ring, Vogt striae, apical thinning, stromal scarring</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Confirms keratoconus clinically and gauges severity</w:t>
            </w:r>
          </w:p>
        </w:tc>
        <w:tc>
          <w:tcPr>
            <w:tcW w:type="dxa" w:w="1036"/>
            <w:vAlign w:val="top"/>
          </w:tcPr>
          <w:p>
            <w:pPr>
              <w:spacing w:after="40" w:before="0" w:line="259" w:lineRule="auto"/>
            </w:pPr>
            <w:r>
              <w:rPr>
                <w:rFonts w:ascii="Calibri" w:hAnsi="Calibri"/>
                <w:b w:val="0"/>
                <w:i w:val="0"/>
                <w:color w:val="212121"/>
                <w:sz w:val="16"/>
              </w:rPr>
              <w:t>Keratoconus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Vogt striae disappear on external digital pressure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External / retinoscopy</w:t>
            </w:r>
          </w:p>
        </w:tc>
        <w:tc>
          <w:tcPr>
            <w:tcW w:type="dxa" w:w="950"/>
            <w:vAlign w:val="top"/>
          </w:tcPr>
          <w:p>
            <w:pPr>
              <w:spacing w:after="40" w:before="0" w:line="259" w:lineRule="auto"/>
            </w:pPr>
            <w:r>
              <w:rPr>
                <w:rFonts w:ascii="Calibri" w:hAnsi="Calibri"/>
                <w:b w:val="0"/>
                <w:i w:val="0"/>
                <w:color w:val="212121"/>
                <w:sz w:val="16"/>
              </w:rPr>
              <w:t>Munson, Rizzuti &amp; scissoring reflex</w:t>
            </w:r>
          </w:p>
        </w:tc>
        <w:tc>
          <w:tcPr>
            <w:tcW w:type="dxa" w:w="979"/>
            <w:vAlign w:val="top"/>
          </w:tcPr>
          <w:p>
            <w:pPr>
              <w:spacing w:after="40" w:before="0" w:line="259" w:lineRule="auto"/>
            </w:pPr>
            <w:r>
              <w:rPr>
                <w:rFonts w:ascii="Calibri" w:hAnsi="Calibri"/>
                <w:b w:val="0"/>
                <w:i w:val="0"/>
                <w:color w:val="212121"/>
                <w:sz w:val="16"/>
              </w:rPr>
              <w:t>Lower-lid indentation on downgaze; scissoring retinoscopy reflex</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Denotes an advanced cone and irregular astigmatism</w:t>
            </w:r>
          </w:p>
        </w:tc>
        <w:tc>
          <w:tcPr>
            <w:tcW w:type="dxa" w:w="1036"/>
            <w:vAlign w:val="top"/>
          </w:tcPr>
          <w:p>
            <w:pPr>
              <w:spacing w:after="40" w:before="0" w:line="259" w:lineRule="auto"/>
            </w:pPr>
            <w:r>
              <w:rPr>
                <w:rFonts w:ascii="Calibri" w:hAnsi="Calibri"/>
                <w:b w:val="0"/>
                <w:i w:val="0"/>
                <w:color w:val="212121"/>
                <w:sz w:val="16"/>
              </w:rPr>
              <w:t>Moderate-to-advanced disease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Munson sign indicates advanced ectasia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Acute presentation</w:t>
            </w:r>
          </w:p>
        </w:tc>
        <w:tc>
          <w:tcPr>
            <w:tcW w:type="dxa" w:w="950"/>
            <w:vAlign w:val="top"/>
          </w:tcPr>
          <w:p>
            <w:pPr>
              <w:spacing w:after="40" w:before="0" w:line="259" w:lineRule="auto"/>
            </w:pPr>
            <w:r>
              <w:rPr>
                <w:rFonts w:ascii="Calibri" w:hAnsi="Calibri"/>
                <w:b w:val="0"/>
                <w:i w:val="0"/>
                <w:color w:val="212121"/>
                <w:sz w:val="16"/>
              </w:rPr>
              <w:t>Acute hydrops features</w:t>
            </w:r>
          </w:p>
        </w:tc>
        <w:tc>
          <w:tcPr>
            <w:tcW w:type="dxa" w:w="979"/>
            <w:vAlign w:val="top"/>
          </w:tcPr>
          <w:p>
            <w:pPr>
              <w:spacing w:after="40" w:before="0" w:line="259" w:lineRule="auto"/>
            </w:pPr>
            <w:r>
              <w:rPr>
                <w:rFonts w:ascii="Calibri" w:hAnsi="Calibri"/>
                <w:b w:val="0"/>
                <w:i w:val="0"/>
                <w:color w:val="212121"/>
                <w:sz w:val="16"/>
              </w:rPr>
              <w:t>Sudden pain, redness, watering, marked vision drop with corneal oedema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Descemet-membrane break with aqueous ingress into the stroma</w:t>
            </w:r>
          </w:p>
        </w:tc>
        <w:tc>
          <w:tcPr>
            <w:tcW w:type="dxa" w:w="1036"/>
            <w:vAlign w:val="top"/>
          </w:tcPr>
          <w:p>
            <w:pPr>
              <w:spacing w:after="40" w:before="0" w:line="259" w:lineRule="auto"/>
            </w:pPr>
            <w:r>
              <w:rPr>
                <w:rFonts w:ascii="Calibri" w:hAnsi="Calibri"/>
                <w:b w:val="0"/>
                <w:i w:val="0"/>
                <w:color w:val="212121"/>
                <w:sz w:val="16"/>
              </w:rPr>
              <w:t>Advanced keratoconus, Down syndrome, vigorous rubbers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Urgent</w:t>
            </w:r>
          </w:p>
        </w:tc>
        <w:tc>
          <w:tcPr>
            <w:tcW w:type="dxa" w:w="720"/>
            <w:vAlign w:val="top"/>
          </w:tcPr>
          <w:p>
            <w:pPr>
              <w:spacing w:after="40" w:before="0" w:line="259" w:lineRule="auto"/>
            </w:pPr>
            <w:r>
              <w:rPr>
                <w:rFonts w:ascii="Calibri" w:hAnsi="Calibri"/>
                <w:b w:val="0"/>
                <w:i w:val="0"/>
                <w:color w:val="212121"/>
                <w:sz w:val="16"/>
              </w:rPr>
              <w:t>Often follows an episode of vigorous eye rubbing</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Progressive blurred vision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Gradual, painless blurring not fully corrected by glasses, from irregular astigmatism and myopia.</w:t>
            </w:r>
          </w:p>
        </w:tc>
      </w:tr>
      <w:tr>
        <w:trPr>
          <w:cantSplit/>
        </w:trPr>
        <w:tc>
          <w:tcPr>
            <w:tcW w:type="dxa" w:w="2304"/>
            <w:vAlign w:val="top"/>
          </w:tcPr>
          <w:p>
            <w:pPr>
              <w:spacing w:after="40" w:before="0" w:line="259" w:lineRule="auto"/>
            </w:pPr>
            <w:r>
              <w:rPr>
                <w:rFonts w:ascii="Calibri" w:hAnsi="Calibri"/>
                <w:b/>
                <w:i w:val="0"/>
                <w:color w:val="212121"/>
                <w:sz w:val="19"/>
              </w:rPr>
              <w:t>Frequent changes of spectacle prescription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Rapidly shifting refraction and rising astigmatism are an early clue.</w:t>
            </w:r>
          </w:p>
        </w:tc>
      </w:tr>
      <w:tr>
        <w:trPr>
          <w:cantSplit/>
        </w:trPr>
        <w:tc>
          <w:tcPr>
            <w:tcW w:type="dxa" w:w="2304"/>
            <w:vAlign w:val="top"/>
          </w:tcPr>
          <w:p>
            <w:pPr>
              <w:spacing w:after="40" w:before="0" w:line="259" w:lineRule="auto"/>
            </w:pPr>
            <w:r>
              <w:rPr>
                <w:rFonts w:ascii="Calibri" w:hAnsi="Calibri"/>
                <w:b/>
                <w:i w:val="0"/>
                <w:color w:val="212121"/>
                <w:sz w:val="19"/>
              </w:rPr>
              <w:t>Monocular diplopia / ghosting of images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Multiple or overlapping images in one eye due to the irregular corneal surface.</w:t>
            </w:r>
          </w:p>
        </w:tc>
      </w:tr>
      <w:tr>
        <w:trPr>
          <w:cantSplit/>
        </w:trPr>
        <w:tc>
          <w:tcPr>
            <w:tcW w:type="dxa" w:w="2304"/>
            <w:vAlign w:val="top"/>
          </w:tcPr>
          <w:p>
            <w:pPr>
              <w:spacing w:after="40" w:before="0" w:line="259" w:lineRule="auto"/>
            </w:pPr>
            <w:r>
              <w:rPr>
                <w:rFonts w:ascii="Calibri" w:hAnsi="Calibri"/>
                <w:b/>
                <w:i w:val="0"/>
                <w:color w:val="212121"/>
                <w:sz w:val="19"/>
              </w:rPr>
              <w:t>Glare and haloes around lights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Especially at night and while driving, caused by higher-order optical aberrations.</w:t>
            </w:r>
          </w:p>
        </w:tc>
      </w:tr>
      <w:tr>
        <w:trPr>
          <w:cantSplit/>
        </w:trPr>
        <w:tc>
          <w:tcPr>
            <w:tcW w:type="dxa" w:w="2304"/>
            <w:vAlign w:val="top"/>
          </w:tcPr>
          <w:p>
            <w:pPr>
              <w:spacing w:after="40" w:before="0" w:line="259" w:lineRule="auto"/>
            </w:pPr>
            <w:r>
              <w:rPr>
                <w:rFonts w:ascii="Calibri" w:hAnsi="Calibri"/>
                <w:b/>
                <w:i w:val="0"/>
                <w:color w:val="212121"/>
                <w:sz w:val="19"/>
              </w:rPr>
              <w:t>Photophobia (light sensitivity)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Increased sensitivity to bright light.</w:t>
            </w:r>
          </w:p>
        </w:tc>
      </w:tr>
      <w:tr>
        <w:trPr>
          <w:cantSplit/>
        </w:trPr>
        <w:tc>
          <w:tcPr>
            <w:tcW w:type="dxa" w:w="2304"/>
            <w:vAlign w:val="top"/>
          </w:tcPr>
          <w:p>
            <w:pPr>
              <w:spacing w:after="40" w:before="0" w:line="259" w:lineRule="auto"/>
            </w:pPr>
            <w:r>
              <w:rPr>
                <w:rFonts w:ascii="Calibri" w:hAnsi="Calibri"/>
                <w:b/>
                <w:i w:val="0"/>
                <w:color w:val="212121"/>
                <w:sz w:val="19"/>
              </w:rPr>
              <w:t>Ocular itching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Prominent in those with atopy or vernal keratoconjunctivitis, driving the itch–rub cycle.</w:t>
            </w:r>
          </w:p>
        </w:tc>
      </w:tr>
      <w:tr>
        <w:trPr>
          <w:cantSplit/>
        </w:trPr>
        <w:tc>
          <w:tcPr>
            <w:tcW w:type="dxa" w:w="2304"/>
            <w:vAlign w:val="top"/>
          </w:tcPr>
          <w:p>
            <w:pPr>
              <w:spacing w:after="40" w:before="0" w:line="259" w:lineRule="auto"/>
            </w:pPr>
            <w:r>
              <w:rPr>
                <w:rFonts w:ascii="Calibri" w:hAnsi="Calibri"/>
                <w:b/>
                <w:i w:val="0"/>
                <w:color w:val="212121"/>
                <w:sz w:val="19"/>
              </w:rPr>
              <w:t>Eye strain and difficulty reading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uncorrected or under-corrected irregular astigmatism.</w:t>
            </w:r>
          </w:p>
        </w:tc>
      </w:tr>
      <w:tr>
        <w:trPr>
          <w:cantSplit/>
        </w:trPr>
        <w:tc>
          <w:tcPr>
            <w:tcW w:type="dxa" w:w="2304"/>
            <w:vAlign w:val="top"/>
          </w:tcPr>
          <w:p>
            <w:pPr>
              <w:spacing w:after="40" w:before="0" w:line="259" w:lineRule="auto"/>
            </w:pPr>
            <w:r>
              <w:rPr>
                <w:rFonts w:ascii="Calibri" w:hAnsi="Calibri"/>
                <w:b/>
                <w:i w:val="0"/>
                <w:color w:val="212121"/>
                <w:sz w:val="19"/>
              </w:rPr>
              <w:t>Distortion of straight lines and poor night vision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Metamorphopsia and reduced contrast sensitivity.</w:t>
            </w:r>
          </w:p>
        </w:tc>
      </w:tr>
      <w:tr>
        <w:trPr>
          <w:cantSplit/>
        </w:trPr>
        <w:tc>
          <w:tcPr>
            <w:tcW w:type="dxa" w:w="2304"/>
            <w:vAlign w:val="top"/>
          </w:tcPr>
          <w:p>
            <w:pPr>
              <w:spacing w:after="40" w:before="0" w:line="259" w:lineRule="auto"/>
            </w:pPr>
            <w:r>
              <w:rPr>
                <w:rFonts w:ascii="Calibri" w:hAnsi="Calibri"/>
                <w:b/>
                <w:i w:val="0"/>
                <w:color w:val="212121"/>
                <w:sz w:val="19"/>
              </w:rPr>
              <w:t>Contact-lens intolerance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Progressive difficulty achieving a stable, comfortable lens fit as the cone steepens.</w:t>
            </w:r>
          </w:p>
        </w:tc>
      </w:tr>
      <w:tr>
        <w:trPr>
          <w:cantSplit/>
        </w:trPr>
        <w:tc>
          <w:tcPr>
            <w:tcW w:type="dxa" w:w="2304"/>
            <w:vAlign w:val="top"/>
          </w:tcPr>
          <w:p>
            <w:pPr>
              <w:spacing w:after="40" w:before="0" w:line="259" w:lineRule="auto"/>
            </w:pPr>
            <w:r>
              <w:rPr>
                <w:rFonts w:ascii="Calibri" w:hAnsi="Calibri"/>
                <w:b/>
                <w:i w:val="0"/>
                <w:color w:val="212121"/>
                <w:sz w:val="19"/>
              </w:rPr>
              <w:t>Sudden marked drop in vision with pain, redness and watering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Acute corneal hydrops in advanced disease.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Scissoring retinoscopic reflex</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Irregular “scissor” reflex on retinoscopy; a useful early sign of irregular astigmatism.</w:t>
            </w:r>
          </w:p>
        </w:tc>
      </w:tr>
      <w:tr>
        <w:trPr>
          <w:cantSplit/>
        </w:trPr>
        <w:tc>
          <w:tcPr>
            <w:tcW w:type="dxa" w:w="3456"/>
            <w:vAlign w:val="top"/>
          </w:tcPr>
          <w:p>
            <w:pPr>
              <w:spacing w:after="40" w:before="0" w:line="259" w:lineRule="auto"/>
            </w:pPr>
            <w:r>
              <w:rPr>
                <w:rFonts w:ascii="Calibri" w:hAnsi="Calibri"/>
                <w:b/>
                <w:i w:val="0"/>
                <w:color w:val="212121"/>
                <w:sz w:val="19"/>
              </w:rPr>
              <w:t>Fleischer ring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Iron-deposition ring at the base of the cone within the epithelium, brown, seen best with a cobalt-blue filter.</w:t>
            </w:r>
          </w:p>
        </w:tc>
      </w:tr>
      <w:tr>
        <w:trPr>
          <w:cantSplit/>
        </w:trPr>
        <w:tc>
          <w:tcPr>
            <w:tcW w:type="dxa" w:w="3456"/>
            <w:vAlign w:val="top"/>
          </w:tcPr>
          <w:p>
            <w:pPr>
              <w:spacing w:after="40" w:before="0" w:line="259" w:lineRule="auto"/>
            </w:pPr>
            <w:r>
              <w:rPr>
                <w:rFonts w:ascii="Calibri" w:hAnsi="Calibri"/>
                <w:b/>
                <w:i w:val="0"/>
                <w:color w:val="212121"/>
                <w:sz w:val="19"/>
              </w:rPr>
              <w:t>Vogt striae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Fine, roughly vertical stromal stress lines that disappear on external digital pressure.</w:t>
            </w:r>
          </w:p>
        </w:tc>
      </w:tr>
      <w:tr>
        <w:trPr>
          <w:cantSplit/>
        </w:trPr>
        <w:tc>
          <w:tcPr>
            <w:tcW w:type="dxa" w:w="3456"/>
            <w:vAlign w:val="top"/>
          </w:tcPr>
          <w:p>
            <w:pPr>
              <w:spacing w:after="40" w:before="0" w:line="259" w:lineRule="auto"/>
            </w:pPr>
            <w:r>
              <w:rPr>
                <w:rFonts w:ascii="Calibri" w:hAnsi="Calibri"/>
                <w:b/>
                <w:i w:val="0"/>
                <w:color w:val="212121"/>
                <w:sz w:val="19"/>
              </w:rPr>
              <w:t>Inferior / paracentral corneal thinning and steepening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Focal ectasia visible on slit lamp and confirmed on topography.</w:t>
            </w:r>
          </w:p>
        </w:tc>
      </w:tr>
      <w:tr>
        <w:trPr>
          <w:cantSplit/>
        </w:trPr>
        <w:tc>
          <w:tcPr>
            <w:tcW w:type="dxa" w:w="3456"/>
            <w:vAlign w:val="top"/>
          </w:tcPr>
          <w:p>
            <w:pPr>
              <w:spacing w:after="40" w:before="0" w:line="259" w:lineRule="auto"/>
            </w:pPr>
            <w:r>
              <w:rPr>
                <w:rFonts w:ascii="Calibri" w:hAnsi="Calibri"/>
                <w:b/>
                <w:i w:val="0"/>
                <w:color w:val="212121"/>
                <w:sz w:val="19"/>
              </w:rPr>
              <w:t>Topographic inferior steepening / skewed axis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Asymmetric bow-tie pattern with a skewed radial axis on corneal topography.</w:t>
            </w:r>
          </w:p>
        </w:tc>
      </w:tr>
      <w:tr>
        <w:trPr>
          <w:cantSplit/>
        </w:trPr>
        <w:tc>
          <w:tcPr>
            <w:tcW w:type="dxa" w:w="3456"/>
            <w:vAlign w:val="top"/>
          </w:tcPr>
          <w:p>
            <w:pPr>
              <w:spacing w:after="40" w:before="0" w:line="259" w:lineRule="auto"/>
            </w:pPr>
            <w:r>
              <w:rPr>
                <w:rFonts w:ascii="Calibri" w:hAnsi="Calibri"/>
                <w:b/>
                <w:i w:val="0"/>
                <w:color w:val="212121"/>
                <w:sz w:val="19"/>
              </w:rPr>
              <w:t>Munson sign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V-shaped indentation of the lower lid on downgaze in advanced cones.</w:t>
            </w:r>
          </w:p>
        </w:tc>
      </w:tr>
      <w:tr>
        <w:trPr>
          <w:cantSplit/>
        </w:trPr>
        <w:tc>
          <w:tcPr>
            <w:tcW w:type="dxa" w:w="3456"/>
            <w:vAlign w:val="top"/>
          </w:tcPr>
          <w:p>
            <w:pPr>
              <w:spacing w:after="40" w:before="0" w:line="259" w:lineRule="auto"/>
            </w:pPr>
            <w:r>
              <w:rPr>
                <w:rFonts w:ascii="Calibri" w:hAnsi="Calibri"/>
                <w:b/>
                <w:i w:val="0"/>
                <w:color w:val="212121"/>
                <w:sz w:val="19"/>
              </w:rPr>
              <w:t>Rizzuti sign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Conical light reflection on the nasal cornea when a light is shone from the temporal side.</w:t>
            </w:r>
          </w:p>
        </w:tc>
      </w:tr>
      <w:tr>
        <w:trPr>
          <w:cantSplit/>
        </w:trPr>
        <w:tc>
          <w:tcPr>
            <w:tcW w:type="dxa" w:w="3456"/>
            <w:vAlign w:val="top"/>
          </w:tcPr>
          <w:p>
            <w:pPr>
              <w:spacing w:after="40" w:before="0" w:line="259" w:lineRule="auto"/>
            </w:pPr>
            <w:r>
              <w:rPr>
                <w:rFonts w:ascii="Calibri" w:hAnsi="Calibri"/>
                <w:b/>
                <w:i w:val="0"/>
                <w:color w:val="212121"/>
                <w:sz w:val="19"/>
              </w:rPr>
              <w:t>Charleaux oil-droplet reflex</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Round dark reflex seen on distant direct ophthalmoscopy through the cone.</w:t>
            </w:r>
          </w:p>
        </w:tc>
      </w:tr>
      <w:tr>
        <w:trPr>
          <w:cantSplit/>
        </w:trPr>
        <w:tc>
          <w:tcPr>
            <w:tcW w:type="dxa" w:w="3456"/>
            <w:vAlign w:val="top"/>
          </w:tcPr>
          <w:p>
            <w:pPr>
              <w:spacing w:after="40" w:before="0" w:line="259" w:lineRule="auto"/>
            </w:pPr>
            <w:r>
              <w:rPr>
                <w:rFonts w:ascii="Calibri" w:hAnsi="Calibri"/>
                <w:b/>
                <w:i w:val="0"/>
                <w:color w:val="212121"/>
                <w:sz w:val="19"/>
              </w:rPr>
              <w:t>Apical (Bowman-layer) stromal scarring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Anterior stromal scar from longstanding ectasia or a resolved episode of hydrops.</w:t>
            </w:r>
          </w:p>
        </w:tc>
      </w:tr>
      <w:tr>
        <w:trPr>
          <w:cantSplit/>
        </w:trPr>
        <w:tc>
          <w:tcPr>
            <w:tcW w:type="dxa" w:w="3456"/>
            <w:vAlign w:val="top"/>
          </w:tcPr>
          <w:p>
            <w:pPr>
              <w:spacing w:after="40" w:before="0" w:line="259" w:lineRule="auto"/>
            </w:pPr>
            <w:r>
              <w:rPr>
                <w:rFonts w:ascii="Calibri" w:hAnsi="Calibri"/>
                <w:b/>
                <w:i w:val="0"/>
                <w:color w:val="212121"/>
                <w:sz w:val="19"/>
              </w:rPr>
              <w:t>Acute corneal hydrops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Sudden stromal oedema from a Descemet-membrane break, causing marked thickening and vision loss.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irregular astigmatism and myopia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Corneal stromal thinning and conical protrusion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loss of best-corrected visual acuity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Higher-order optical aberrations (glare, ghosting, haloes)</w:t>
            </w:r>
          </w:p>
        </w:tc>
        <w:tc>
          <w:tcPr>
            <w:tcW w:type="dxa" w:w="2980"/>
            <w:vAlign w:val="top"/>
          </w:tcPr>
          <w:p>
            <w:pPr>
              <w:spacing w:after="40" w:before="0" w:line="259" w:lineRule="auto"/>
            </w:pPr>
            <w:r>
              <w:rPr>
                <w:rFonts w:ascii="Calibri" w:hAnsi="Calibri"/>
                <w:b w:val="0"/>
                <w:i w:val="0"/>
                <w:color w:val="212121"/>
                <w:sz w:val="19"/>
              </w:rPr>
              <w:t>Direct optical and structural consequences of corneal ectasia.</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corneal hydrops (Descemet-membrane rupture)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Apical stromal scarring and corneal opacity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Contact-lens intolerance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epithelial breakdown with risk of microbial keratitis</w:t>
            </w:r>
          </w:p>
        </w:tc>
        <w:tc>
          <w:tcPr>
            <w:tcW w:type="dxa" w:w="2980"/>
            <w:vAlign w:val="top"/>
          </w:tcPr>
          <w:p>
            <w:pPr>
              <w:spacing w:after="40" w:before="0" w:line="259" w:lineRule="auto"/>
            </w:pPr>
            <w:r>
              <w:rPr>
                <w:rFonts w:ascii="Calibri" w:hAnsi="Calibri"/>
                <w:b w:val="0"/>
                <w:i w:val="0"/>
                <w:color w:val="212121"/>
                <w:sz w:val="19"/>
              </w:rPr>
              <w:t>Result from advancing ectasia, mechanical stress and a fragile corneal surface.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corneal transplantation (DALK or penetrating keratoplasty)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Corneal graft rejection or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Amblyopia in early-onset childhood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visual impairment or functional blindness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quality of life, education and employment</w:t>
            </w:r>
          </w:p>
        </w:tc>
        <w:tc>
          <w:tcPr>
            <w:tcW w:type="dxa" w:w="2980"/>
            <w:vAlign w:val="top"/>
          </w:tcPr>
          <w:p>
            <w:pPr>
              <w:spacing w:after="40" w:before="0" w:line="259" w:lineRule="auto"/>
            </w:pPr>
            <w:r>
              <w:rPr>
                <w:rFonts w:ascii="Calibri" w:hAnsi="Calibri"/>
                <w:b w:val="0"/>
                <w:i w:val="0"/>
                <w:color w:val="212121"/>
                <w:sz w:val="19"/>
              </w:rPr>
              <w:t>Irreversible, disabling outcomes of longstanding severe disease; up to about 20% of patients eventually require keratoplasty.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Vernal keratoconjunctivitis (VKC) / allergic eye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Chronic itching drives habitual eye rubbing and matrix-metalloproteinase-mediated stromal breakdown; a leading Indian paediatric association.</w:t>
            </w:r>
          </w:p>
          <w:p>
            <w:pPr>
              <w:spacing w:after="40" w:before="0" w:line="259" w:lineRule="auto"/>
            </w:pPr>
            <w:r>
              <w:rPr>
                <w:rFonts w:ascii="Calibri" w:hAnsi="Calibri"/>
                <w:b/>
                <w:i w:val="0"/>
                <w:color w:val="212121"/>
                <w:sz w:val="19"/>
              </w:rPr>
              <w:t>~10% of VKC patients (7.84× risk)</w:t>
            </w:r>
          </w:p>
        </w:tc>
      </w:tr>
      <w:tr>
        <w:trPr>
          <w:cantSplit/>
        </w:trPr>
        <w:tc>
          <w:tcPr>
            <w:tcW w:type="dxa" w:w="2232"/>
            <w:vAlign w:val="top"/>
          </w:tcPr>
          <w:p>
            <w:pPr>
              <w:spacing w:after="40" w:before="0" w:line="259" w:lineRule="auto"/>
            </w:pPr>
            <w:r>
              <w:rPr>
                <w:rFonts w:ascii="Calibri" w:hAnsi="Calibri"/>
                <w:b/>
                <w:i w:val="0"/>
                <w:color w:val="212121"/>
                <w:sz w:val="19"/>
              </w:rPr>
              <w:t>Atopy (asthma, eczema, allergic rhinitis)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 systemic atopic diathesis correlates with keratoconus via allergic ocular inflammation and eye rubbing.</w:t>
            </w:r>
          </w:p>
          <w:p>
            <w:pPr>
              <w:spacing w:after="40" w:before="0" w:line="259" w:lineRule="auto"/>
            </w:pPr>
            <w:r>
              <w:rPr>
                <w:rFonts w:ascii="Calibri" w:hAnsi="Calibri"/>
                <w:b/>
                <w:i w:val="0"/>
                <w:color w:val="212121"/>
                <w:sz w:val="19"/>
              </w:rPr>
              <w:t>Asthma ~23% vs 6% controls; hay fever up to 53%</w:t>
            </w:r>
          </w:p>
        </w:tc>
      </w:tr>
      <w:tr>
        <w:trPr>
          <w:cantSplit/>
        </w:trPr>
        <w:tc>
          <w:tcPr>
            <w:tcW w:type="dxa" w:w="2232"/>
            <w:vAlign w:val="top"/>
          </w:tcPr>
          <w:p>
            <w:pPr>
              <w:spacing w:after="40" w:before="0" w:line="259" w:lineRule="auto"/>
            </w:pPr>
            <w:r>
              <w:rPr>
                <w:rFonts w:ascii="Calibri" w:hAnsi="Calibri"/>
                <w:b/>
                <w:i w:val="0"/>
                <w:color w:val="212121"/>
                <w:sz w:val="19"/>
              </w:rPr>
              <w:t>Down syndrome (Trisomy 21)</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Strong association from collagen laxity, connective-tissue abnormality and habitual eye rubbing, with higher hydrops risk.</w:t>
            </w:r>
          </w:p>
          <w:p>
            <w:pPr>
              <w:spacing w:after="40" w:before="0" w:line="259" w:lineRule="auto"/>
            </w:pPr>
            <w:r>
              <w:rPr>
                <w:rFonts w:ascii="Calibri" w:hAnsi="Calibri"/>
                <w:b/>
                <w:i w:val="0"/>
                <w:color w:val="212121"/>
                <w:sz w:val="19"/>
              </w:rPr>
              <w:t>5.5–15%</w:t>
            </w:r>
          </w:p>
        </w:tc>
      </w:tr>
      <w:tr>
        <w:trPr>
          <w:cantSplit/>
        </w:trPr>
        <w:tc>
          <w:tcPr>
            <w:tcW w:type="dxa" w:w="2232"/>
            <w:vAlign w:val="top"/>
          </w:tcPr>
          <w:p>
            <w:pPr>
              <w:spacing w:after="40" w:before="0" w:line="259" w:lineRule="auto"/>
            </w:pPr>
            <w:r>
              <w:rPr>
                <w:rFonts w:ascii="Calibri" w:hAnsi="Calibri"/>
                <w:b/>
                <w:i w:val="0"/>
                <w:color w:val="212121"/>
                <w:sz w:val="19"/>
              </w:rPr>
              <w:t>Floppy eyelid syndrome / obstructive sleep apnoea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Lax eyelids and nocturnal eversion cause chronic mechanical corneal stress; intermittent hypoxia adds oxidative injury.</w:t>
            </w:r>
          </w:p>
          <w:p>
            <w:pPr>
              <w:spacing w:after="40" w:before="0" w:line="259" w:lineRule="auto"/>
            </w:pPr>
            <w:r>
              <w:rPr>
                <w:rFonts w:ascii="Calibri" w:hAnsi="Calibri"/>
                <w:b/>
                <w:i w:val="0"/>
                <w:color w:val="212121"/>
                <w:sz w:val="19"/>
              </w:rPr>
              <w:t>Floppy eyelid OR ~19.3</w:t>
            </w:r>
          </w:p>
        </w:tc>
      </w:tr>
      <w:tr>
        <w:trPr>
          <w:cantSplit/>
        </w:trPr>
        <w:tc>
          <w:tcPr>
            <w:tcW w:type="dxa" w:w="2232"/>
            <w:vAlign w:val="top"/>
          </w:tcPr>
          <w:p>
            <w:pPr>
              <w:spacing w:after="40" w:before="0" w:line="259" w:lineRule="auto"/>
            </w:pPr>
            <w:r>
              <w:rPr>
                <w:rFonts w:ascii="Calibri" w:hAnsi="Calibri"/>
                <w:b/>
                <w:i w:val="0"/>
                <w:color w:val="212121"/>
                <w:sz w:val="19"/>
              </w:rPr>
              <w:t>Mitral valve prolapse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Shares a systemic connective-tissue and collagen abnormality with keratoconus.</w:t>
            </w:r>
          </w:p>
          <w:p>
            <w:pPr>
              <w:spacing w:after="40" w:before="0" w:line="259" w:lineRule="auto"/>
            </w:pPr>
            <w:r>
              <w:rPr>
                <w:rFonts w:ascii="Calibri" w:hAnsi="Calibri"/>
                <w:b/>
                <w:i w:val="0"/>
                <w:color w:val="212121"/>
                <w:sz w:val="19"/>
              </w:rPr>
              <w:t>22.6–58%</w:t>
            </w:r>
          </w:p>
        </w:tc>
      </w:tr>
      <w:tr>
        <w:trPr>
          <w:cantSplit/>
        </w:trPr>
        <w:tc>
          <w:tcPr>
            <w:tcW w:type="dxa" w:w="2232"/>
            <w:vAlign w:val="top"/>
          </w:tcPr>
          <w:p>
            <w:pPr>
              <w:spacing w:after="40" w:before="0" w:line="259" w:lineRule="auto"/>
            </w:pPr>
            <w:r>
              <w:rPr>
                <w:rFonts w:ascii="Calibri" w:hAnsi="Calibri"/>
                <w:b/>
                <w:i w:val="0"/>
                <w:color w:val="212121"/>
                <w:sz w:val="19"/>
              </w:rPr>
              <w:t>Connective-tissue disorders (Ehlers–Danlos, Marfan, osteogenesis imperfecta)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Generalised inherited collagen defect reduces corneal biomechanical strength.</w:t>
            </w:r>
          </w:p>
        </w:tc>
      </w:tr>
      <w:tr>
        <w:trPr>
          <w:cantSplit/>
        </w:trPr>
        <w:tc>
          <w:tcPr>
            <w:tcW w:type="dxa" w:w="2232"/>
            <w:vAlign w:val="top"/>
          </w:tcPr>
          <w:p>
            <w:pPr>
              <w:spacing w:after="40" w:before="0" w:line="259" w:lineRule="auto"/>
            </w:pPr>
            <w:r>
              <w:rPr>
                <w:rFonts w:ascii="Calibri" w:hAnsi="Calibri"/>
                <w:b/>
                <w:i w:val="0"/>
                <w:color w:val="212121"/>
                <w:sz w:val="19"/>
              </w:rPr>
              <w:t>Acute corneal hydrops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Acute Descemet-membrane rupture with stromal oedema; a consequence of advanced ectasia, commoner in Down syndrome and vigorous rubbers.</w:t>
            </w:r>
          </w:p>
        </w:tc>
      </w:tr>
      <w:tr>
        <w:trPr>
          <w:cantSplit/>
        </w:trPr>
        <w:tc>
          <w:tcPr>
            <w:tcW w:type="dxa" w:w="2232"/>
            <w:vAlign w:val="top"/>
          </w:tcPr>
          <w:p>
            <w:pPr>
              <w:spacing w:after="40" w:before="0" w:line="259" w:lineRule="auto"/>
            </w:pPr>
            <w:r>
              <w:rPr>
                <w:rFonts w:ascii="Calibri" w:hAnsi="Calibri"/>
                <w:b/>
                <w:i w:val="0"/>
                <w:color w:val="212121"/>
                <w:sz w:val="19"/>
              </w:rPr>
              <w:t>Anxiety and 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High psychological burden from progressive vision loss; also drives compulsive, stress-related eye rubbing that worsens disease.</w:t>
            </w:r>
          </w:p>
        </w:tc>
      </w:tr>
      <w:tr>
        <w:trPr>
          <w:cantSplit/>
        </w:trPr>
        <w:tc>
          <w:tcPr>
            <w:tcW w:type="dxa" w:w="2232"/>
            <w:vAlign w:val="top"/>
          </w:tcPr>
          <w:p>
            <w:pPr>
              <w:spacing w:after="40" w:before="0" w:line="259" w:lineRule="auto"/>
            </w:pPr>
            <w:r>
              <w:rPr>
                <w:rFonts w:ascii="Calibri" w:hAnsi="Calibri"/>
                <w:b/>
                <w:i w:val="0"/>
                <w:color w:val="212121"/>
                <w:sz w:val="19"/>
              </w:rPr>
              <w:t>Retinal dystrophies (retinitis pigmentosa, Leber congenital amaurosis)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Associated with keratoconus partly via the oculodigital eye-rubbing reflex and shared genetic pathways.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rub the eyes; treat the underlying itch (allergy) instead — eye rubbing is the single strongest modifiable cause of keratoconus.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frequently changing glasses, blurring or ghosting of images not corrected by spectacles, glare and poor night vision — and seek corneal topography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children with recurrent eye itching or vernal catarrh (VKC) have corneal screening, as untreated ocular allergy can lead to keratoconus.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Request topographic screening before any refractive (LASIK) surgery and for first-degree relatives of keratoconus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corneal cross-linking can halt progression when caught early but cannot reverse established scarring, making timely diagnosis essential.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Atopic / VKC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First-degree relatives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Refractive-surgery candidates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topography follow-up (every 3–6 months while progressing) so cross-linking can be timed before significant thinning occurs.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correct rigid or scleral contact-lens insertion, removal and strict hygiene to protect the fragile cornea from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rubbing even after lens wear; use preservative-free lubricants for comfort instead.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cross-linking or corneal transplantation, adhere strictly to prescribed medication, follow-up and a lifelong no-rubbing rule.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urgent eye care for sudden pain, redness and a drop in vision, which may indicate acute corneal hydrops.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Keratoconus patients on contact lenses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Post-cross-linking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Post-keratoplasty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protective eyewear for contact and racquet sports to avoid direct ocular trauma to a weakened cornea.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sweating or exercise, rinse and gently dab the eyes rather than rubbing to relieve itch.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exertional eye itch with lubricants or antihistamine drops instead of rubbing.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and general fitness to reduce obstructive sleep apnoea and floppy eyelid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Keratoconus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Atopic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adults with OSA / floppy eyelid</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an antioxidant-rich diet of fruits, vegetables and leafy greens to support corneal defence against oxidative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vitamin D deficiency — highly prevalent in India — through safe sun exposure, diet or supplementation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A, C and E and omega-3 intake for overall ocular-surface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limit any foods that worsen an individual's allergic response and ocular itching.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Indian adults and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Atopic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Vitamin-D-deficient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habitual prone or same-side sleeping that presses one eye against the pillow or arm, which is linked to asymmetric progression.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and floppy eyelid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protective eye shield at night if the eyelids are lax or evert during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sleep hygiene to reduce daytime eye fatigue and the urge to rub.</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Floppy eyelid / OSA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take up smoking; although some data are paradoxical, smoking harms the ocular surface, wound healing and general eye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smoky, dusty and polluted environments that trigger eye irritation and rubbing.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the eyes from smoke and airborne irritants with glasses in high-exposure settings.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keratoconus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dwellers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Atopic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 specific alcohol link to keratoconus exists, but keep intake moderate to protect general and ocular-surface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excess, which worsens sleep apnoea and eyelid laxity that mechanically stress the cornea.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combine heavy alcohol use with poor sleep, which increases daytime eye rubbing.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OSA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anxiety and depression, which are common with progressive vision loss, and refer for support or counselling.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compulsive or stress-related eye rubbing with behavioural strategies alongside effective allergy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patients that modern specialty lenses and cross-linking give good outcomes when diagnosed early, improving treatment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low-vision rehabilitation and vocational counselling for those with advanced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Keratoconus patients with vision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Habitual eye rubbers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Advanced / keratoplasty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vpei.org/news-event/demographics-and-presentation-of-keratoconus-in-india" TargetMode="External"/><Relationship Id="rId10" Type="http://schemas.openxmlformats.org/officeDocument/2006/relationships/hyperlink" Target="https://www.nature.com/articles/s41433-025-04162-w" TargetMode="External"/><Relationship Id="rId11" Type="http://schemas.openxmlformats.org/officeDocument/2006/relationships/hyperlink" Target="https://www.frontiersin.org/journals/medicine/articles/10.3389/fmed.2023.1212314/full" TargetMode="External"/><Relationship Id="rId12" Type="http://schemas.openxmlformats.org/officeDocument/2006/relationships/hyperlink" Target="https://link.springer.com/article/10.1007/s00417-021-05081-8" TargetMode="External"/><Relationship Id="rId13" Type="http://schemas.openxmlformats.org/officeDocument/2006/relationships/hyperlink" Target="https://pmc.ncbi.nlm.nih.gov/articles/PMC13108012/" TargetMode="External"/><Relationship Id="rId14" Type="http://schemas.openxmlformats.org/officeDocument/2006/relationships/hyperlink" Target="https://entokey.com/keratoconus-associated-systemic-diseases/" TargetMode="External"/><Relationship Id="rId15" Type="http://schemas.openxmlformats.org/officeDocument/2006/relationships/hyperlink" Target="https://www.optogrid.com/blog/keratoconus/" TargetMode="External"/><Relationship Id="rId16" Type="http://schemas.openxmlformats.org/officeDocument/2006/relationships/hyperlink" Target="https://eyewiki.org/Keratocon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