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Low Vision &amp; Blindness</w:t>
      </w:r>
    </w:p>
    <w:p>
      <w:pPr>
        <w:spacing w:before="0" w:after="160"/>
      </w:pPr>
      <w:r>
        <w:rPr>
          <w:rFonts w:ascii="Calibri" w:hAnsi="Calibri"/>
          <w:b/>
          <w:i w:val="0"/>
          <w:color w:val="212121"/>
          <w:sz w:val="22"/>
        </w:rPr>
        <w:t xml:space="preserve">AKA </w:t>
      </w:r>
      <w:r>
        <w:rPr>
          <w:rFonts w:ascii="Calibri" w:hAnsi="Calibri"/>
          <w:b w:val="0"/>
          <w:i w:val="0"/>
          <w:color w:val="212121"/>
          <w:sz w:val="22"/>
        </w:rPr>
        <w:t>i.e., Visual impairment, Vision loss, Partial sight (low vision), Legal / economic blindness, Andhata / Andhapan (Hindi), Kurudutana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Low vision and blindness describe a spectrum of reduced visual function affecting one or both eyes that cannot be corrected with ordinary spectacles, medication or surgery. “Low vision” denotes significant but partial loss with some usable residual sight (best-corrected acuity worse than 6/18 down to light perception, or a constricted field), while “blindness” denotes presenting visual acuity worse than 3/60 in the better eye or a visual field ≤ 10° around fixation. It is not a single disease but the shared end-point of many ocular and systemic disorders — chiefly cataract, uncorrected refractive error, glaucoma, diabetic retinopathy and corneal disease — the large majority of which are avoidable, being either preventable or treatable.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 National Blindness and Visual Impairment Survey 2015–19 (NPCBVI) estimated the prevalence of blindness in Indians aged 50 years and older at 1.99% and of visual impairment at 26.68%, rising steeply with age from 0.45% at 50–59 years to 11.62% at ≥ 80 years. Extrapolated to all ages this is about 0.36% blindness (≈ 4.8 million people blind) and 5.47% visual impairment (≈ 74 million people). Cataract remains the single largest cause of blindness (66.2%), and an estimated 92.9% of blindness is avoidable.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Low vision and blindness are defined functionally by presenting visual acuity in the better eye (WHO ICD-11 categories) and by visual field, after separating correctable refractive error. The standard thresholds and assessment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Blindness: presenting visual acuity in the better eye worse than 3/60 (WHO categories 3–5, down to no light perception), or a visual field no greater than 10° radius around central fixation, irrespective of acuity;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Severe visual impairment (SVI): presenting acuity worse than 6/60 but equal to or better than 3/60;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Moderate visual impairment: presenting acuity worse than 6/18 but equal to or better than 6/60;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Mild visual impairment: presenting acuity worse than 6/12 but equal to or better than 6/18;</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Near-vision impairment: presenting near acuity worse than N6 (or N8) at 40 cm with any existing distance correction in place — most often uncorrected presbyopia;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vision (functional): best-corrected distance acuity worse than 6/18 to light perception, or a field &lt; 10°, in the better eye, with some residual usable vision that cannot be improved by refraction, medical or surgical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India / NPCBVI “economic-blindness” threshold: presenting acuity &lt; 6/60 in the better eye — a broader national programme cut-off historically used for cataract-blindness targets;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sequence: distance acuity on a Snellen or logMAR chart, pinhole and refraction to isolate correctable error, near acuity, intraocular pressure, slit-lamp anterior-segment and dilated fundus examination, and perimetry where field loss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Vision loss is graded by severity (WHO ICD-11 categories of the better eye) and, for management, classified by the anatomical/etiological level and by whether it is avoidable:</w:t>
      </w:r>
    </w:p>
    <w:p>
      <w:pPr>
        <w:spacing w:before="0" w:after="80"/>
      </w:pPr>
      <w:r>
        <w:rPr>
          <w:rFonts w:ascii="Calibri" w:hAnsi="Calibri"/>
          <w:b w:val="0"/>
          <w:i w:val="0"/>
          <w:color w:val="212121"/>
          <w:sz w:val="21"/>
        </w:rPr>
        <w:t>(1) Mild visual impairment (category 1) — acuity worse than 6/12 to 6/18; often early cataract or under-corrected refractive error, functionally limiting for driving and fine tasks;</w:t>
      </w:r>
    </w:p>
    <w:p>
      <w:pPr>
        <w:spacing w:before="0" w:after="80"/>
      </w:pPr>
      <w:r>
        <w:rPr>
          <w:rFonts w:ascii="Calibri" w:hAnsi="Calibri"/>
          <w:b w:val="0"/>
          <w:i w:val="0"/>
          <w:color w:val="212121"/>
          <w:sz w:val="21"/>
        </w:rPr>
        <w:t>(2) Moderate and (3) severe visual impairment (categories 1–2) — acuity worse than 6/18 to 3/60; the group usually labelled clinically as “low vision,” where rehabilitation and optical aids are key;</w:t>
      </w:r>
    </w:p>
    <w:p>
      <w:pPr>
        <w:spacing w:before="0" w:after="80"/>
      </w:pPr>
      <w:r>
        <w:rPr>
          <w:rFonts w:ascii="Calibri" w:hAnsi="Calibri"/>
          <w:b w:val="0"/>
          <w:i w:val="0"/>
          <w:color w:val="212121"/>
          <w:sz w:val="21"/>
        </w:rPr>
        <w:t>(4) Blindness (categories 3, 4 and 5) — acuity worse than 3/60 down to no light perception, or field ≤ 10°; category 5 denotes no light perception at all;</w:t>
      </w:r>
    </w:p>
    <w:p>
      <w:pPr>
        <w:spacing w:before="0" w:after="80"/>
      </w:pPr>
      <w:r>
        <w:rPr>
          <w:rFonts w:ascii="Calibri" w:hAnsi="Calibri"/>
          <w:b w:val="0"/>
          <w:i w:val="0"/>
          <w:color w:val="212121"/>
          <w:sz w:val="21"/>
        </w:rPr>
        <w:t>Etiological / anatomical classification — refractive (uncorrected error, presbyopia); media (cataract, corneal opacity); retinal (diabetic retinopathy, age-related macular degeneration, retinal detachment, retinitis pigmentosa, retinopathy of prematurity); and neural (glaucoma, optic atrophy, cerebral visual impairment);</w:t>
      </w:r>
    </w:p>
    <w:p>
      <w:pPr>
        <w:spacing w:before="0" w:after="80"/>
      </w:pPr>
      <w:r>
        <w:rPr>
          <w:rFonts w:ascii="Calibri" w:hAnsi="Calibri"/>
          <w:b w:val="0"/>
          <w:i w:val="0"/>
          <w:color w:val="212121"/>
          <w:sz w:val="21"/>
        </w:rPr>
        <w:t>Avoidability — the operationally critical split into avoidable blindness (preventable, e.g. vitamin-A prophylaxis and infection control, plus treatable, e.g. cataract surgery and refractive correction) versus currently unavoidable causes (e.g. end-stage glaucoma, hereditary dystrophies); in India ≈ 92.9% of blindness is avoidable.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Cataract (lens opacification): Age-related clouding of the crystalline lens is the single largest cause of blindness in India, accounting for roughly two-thirds of blindness, and is entirely reversible with surgery.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Uncorrected refractive error: Myopia, hyperopia, astigmatism and presbyopia left un-spectacled form the commonest cause of moderate visual impairment and the most easily corrected.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Glaucoma: A group of optic neuropathies, usually with raised intraocular pressure, causing progressive and irreversible loss of retinal nerve fibres and visual field, typically painless and silent until advanced.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Diabetic retinopathy and other retinal disease: Chronic hyperglycaemia damages the retinal microvasculature; together with age-related macular degeneration and retinal vascular occlusions these are the leading posterior-segment causes of irreversible loss.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Corneal disease: Infective keratitis, ocular trauma, vitamin-A deficiency and trachoma scar the cornea and are a major cause of unilateral blindness, often in young, working-age people.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Congenital and childhood causes: Congenital cataract, retinopathy of prematurity, hereditary retinal dystrophies and vitamin-A deficiency drive avoidable childhood blindness.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Neuro-visual and systemic causes: Optic atrophy, stroke-related cerebral visual impairment, demyelination and toxic/nutritional optic neuropathies reduce vision at the optic nerve or brain.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Working-age adults carry the bulk of uncorrected refractive error and, from about 40 years, near-vision loss from presbyopia, alongside early cataract and the onset of diabetic retinopathy — the causes most amenable to spectacles and screening.</w:t>
            </w:r>
          </w:p>
          <w:p>
            <w:pPr>
              <w:spacing w:after="40" w:before="60" w:line="259" w:lineRule="auto"/>
            </w:pPr>
            <w:r>
              <w:rPr>
                <w:rFonts w:ascii="Calibri" w:hAnsi="Calibri"/>
                <w:b w:val="0"/>
                <w:i w:val="0"/>
                <w:color w:val="212121"/>
                <w:sz w:val="19"/>
              </w:rPr>
              <w:t>Uncorrected refractive error accounts for about 41.5% of all visual impairment in India, and presbyopia becomes near-universal after age 40.</w:t>
            </w:r>
          </w:p>
          <w:p>
            <w:pPr>
              <w:spacing w:after="40" w:line="252" w:lineRule="auto"/>
            </w:pPr>
            <w:hyperlink r:id="rId9">
              <w:r>
                <w:rPr>
                  <w:rFonts w:ascii="Calibri" w:hAnsi="Calibri" w:cs="Calibri"/>
                  <w:sz w:val="18"/>
                  <w:color w:val="1155CC"/>
                  <w:u w:val="single"/>
                </w:rPr>
                <w:t xml:space="preserve">journals.plos.org — NBVI 2015–19 national survey</w:t>
              </w:r>
            </w:hyperlink>
          </w:p>
          <w:p>
            <w:pPr>
              <w:spacing w:before="60" w:after="40"/>
            </w:pPr>
            <w:r>
              <w:rPr>
                <w:rFonts w:ascii="Calibri" w:hAnsi="Calibri"/>
                <w:b w:val="0"/>
                <w:i w:val="0"/>
                <w:color w:val="5A5A5A"/>
                <w:sz w:val="18"/>
              </w:rPr>
              <w:t>#refractiveerror  #presbyopia  #screentime  #workingage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Cumulative lens, retinal and optic-nerve ageing makes the elderly the highest-risk group; cataract, glaucoma and age-related macular degeneration all cluster here.</w:t>
            </w:r>
          </w:p>
          <w:p>
            <w:pPr>
              <w:spacing w:after="40" w:before="60" w:line="259" w:lineRule="auto"/>
            </w:pPr>
            <w:r>
              <w:rPr>
                <w:rFonts w:ascii="Calibri" w:hAnsi="Calibri"/>
                <w:b w:val="0"/>
                <w:i w:val="0"/>
                <w:color w:val="212121"/>
                <w:sz w:val="19"/>
              </w:rPr>
              <w:t>Blindness prevalence rises from 0.45% at 50–59 years to 4.11% at 70–79 and 11.62% at ≥ 80 years; age ≥ 80 carries an odds ratio of 20.3 for blindness.</w:t>
            </w:r>
          </w:p>
          <w:p>
            <w:pPr>
              <w:spacing w:after="40" w:line="252" w:lineRule="auto"/>
            </w:pPr>
            <w:hyperlink r:id="rId9">
              <w:r>
                <w:rPr>
                  <w:rFonts w:ascii="Calibri" w:hAnsi="Calibri" w:cs="Calibri"/>
                  <w:sz w:val="18"/>
                  <w:color w:val="1155CC"/>
                  <w:u w:val="single"/>
                </w:rPr>
                <w:t xml:space="preserve">journals.plos.org — NBVI 2015–19 national survey</w:t>
              </w:r>
            </w:hyperlink>
          </w:p>
          <w:p>
            <w:pPr>
              <w:spacing w:before="60" w:after="40"/>
            </w:pPr>
            <w:r>
              <w:rPr>
                <w:rFonts w:ascii="Calibri" w:hAnsi="Calibri"/>
                <w:b w:val="0"/>
                <w:i w:val="0"/>
                <w:color w:val="5A5A5A"/>
                <w:sz w:val="18"/>
              </w:rPr>
              <w:t>#cataract  #agerelated  #AMD  #glaucoma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carry a higher burden of blindness, driven both by longer life expectancy and by gender inequity in access to and uptake of cataract surgery and refraction services.</w:t>
            </w:r>
          </w:p>
          <w:p>
            <w:pPr>
              <w:spacing w:after="40" w:before="60" w:line="259" w:lineRule="auto"/>
            </w:pPr>
            <w:r>
              <w:rPr>
                <w:rFonts w:ascii="Calibri" w:hAnsi="Calibri"/>
                <w:b w:val="0"/>
                <w:i w:val="0"/>
                <w:color w:val="212121"/>
                <w:sz w:val="19"/>
              </w:rPr>
              <w:t>Blindness prevalence in women aged 50+ is 2.31% versus 1.67% in men.</w:t>
            </w:r>
          </w:p>
          <w:p>
            <w:pPr>
              <w:spacing w:after="40" w:line="252" w:lineRule="auto"/>
            </w:pPr>
            <w:hyperlink r:id="rId9">
              <w:r>
                <w:rPr>
                  <w:rFonts w:ascii="Calibri" w:hAnsi="Calibri" w:cs="Calibri"/>
                  <w:sz w:val="18"/>
                  <w:color w:val="1155CC"/>
                  <w:u w:val="single"/>
                </w:rPr>
                <w:t xml:space="preserve">journals.plos.org — NBVI 2015–19 national survey</w:t>
              </w:r>
            </w:hyperlink>
          </w:p>
          <w:p>
            <w:pPr>
              <w:spacing w:before="60" w:after="40"/>
            </w:pPr>
            <w:r>
              <w:rPr>
                <w:rFonts w:ascii="Calibri" w:hAnsi="Calibri"/>
                <w:b w:val="0"/>
                <w:i w:val="0"/>
                <w:color w:val="5A5A5A"/>
                <w:sz w:val="18"/>
              </w:rPr>
              <w:t>#genderdisparity  #accessbarrier  #cataractbacklog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Illiterate &amp; low-income</w:t>
            </w:r>
          </w:p>
        </w:tc>
        <w:tc>
          <w:tcPr>
            <w:tcW w:type="dxa" w:w="4276"/>
            <w:vAlign w:val="top"/>
          </w:tcPr>
          <w:p>
            <w:pPr>
              <w:spacing w:after="60" w:line="259" w:lineRule="auto"/>
            </w:pPr>
            <w:r>
              <w:rPr>
                <w:rFonts w:ascii="Calibri" w:hAnsi="Calibri"/>
                <w:b w:val="0"/>
                <w:i w:val="0"/>
                <w:color w:val="212121"/>
                <w:sz w:val="19"/>
              </w:rPr>
              <w:t>Poverty and illiteracy reduce awareness, health-seeking and affordability of surgery and spectacles, so avoidable causes go untreated and progress to blindness.</w:t>
            </w:r>
          </w:p>
          <w:p>
            <w:pPr>
              <w:spacing w:after="40" w:before="60" w:line="259" w:lineRule="auto"/>
            </w:pPr>
            <w:r>
              <w:rPr>
                <w:rFonts w:ascii="Calibri" w:hAnsi="Calibri"/>
                <w:b w:val="0"/>
                <w:i w:val="0"/>
                <w:color w:val="212121"/>
                <w:sz w:val="19"/>
              </w:rPr>
              <w:t>Illiteracy was independently associated with blindness (odds ratio 5.6) in the national survey.</w:t>
            </w:r>
          </w:p>
          <w:p>
            <w:pPr>
              <w:spacing w:after="40" w:line="252" w:lineRule="auto"/>
            </w:pPr>
            <w:hyperlink r:id="rId9">
              <w:r>
                <w:rPr>
                  <w:rFonts w:ascii="Calibri" w:hAnsi="Calibri" w:cs="Calibri"/>
                  <w:sz w:val="18"/>
                  <w:color w:val="1155CC"/>
                  <w:u w:val="single"/>
                </w:rPr>
                <w:t xml:space="preserve">journals.plos.org — NBVI 2015–19 national survey</w:t>
              </w:r>
            </w:hyperlink>
          </w:p>
          <w:p>
            <w:pPr>
              <w:spacing w:before="60" w:after="40"/>
            </w:pPr>
            <w:r>
              <w:rPr>
                <w:rFonts w:ascii="Calibri" w:hAnsi="Calibri"/>
                <w:b w:val="0"/>
                <w:i w:val="0"/>
                <w:color w:val="5A5A5A"/>
                <w:sz w:val="18"/>
              </w:rPr>
              <w:t>#illiteracy  #poverty  #healthaccess  #equity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Locality</w:t>
            </w:r>
          </w:p>
        </w:tc>
        <w:tc>
          <w:tcPr>
            <w:tcW w:type="dxa" w:w="2160"/>
            <w:vAlign w:val="top"/>
          </w:tcPr>
          <w:p>
            <w:pPr>
              <w:spacing w:after="40" w:before="0" w:line="259" w:lineRule="auto"/>
            </w:pPr>
            <w:r>
              <w:rPr>
                <w:rFonts w:ascii="Calibri" w:hAnsi="Calibri"/>
                <w:b w:val="0"/>
                <w:i w:val="0"/>
                <w:color w:val="212121"/>
                <w:sz w:val="19"/>
              </w:rPr>
              <w:t>Rural residents</w:t>
            </w:r>
          </w:p>
        </w:tc>
        <w:tc>
          <w:tcPr>
            <w:tcW w:type="dxa" w:w="4276"/>
            <w:vAlign w:val="top"/>
          </w:tcPr>
          <w:p>
            <w:pPr>
              <w:spacing w:after="60" w:line="259" w:lineRule="auto"/>
            </w:pPr>
            <w:r>
              <w:rPr>
                <w:rFonts w:ascii="Calibri" w:hAnsi="Calibri"/>
                <w:b w:val="0"/>
                <w:i w:val="0"/>
                <w:color w:val="212121"/>
                <w:sz w:val="19"/>
              </w:rPr>
              <w:t>Rural populations face longer travel, fewer ophthalmologists and a larger untreated cataract backlog, giving higher blindness rates despite outreach eye camps.</w:t>
            </w:r>
          </w:p>
          <w:p>
            <w:pPr>
              <w:spacing w:after="40" w:before="60" w:line="259" w:lineRule="auto"/>
            </w:pPr>
            <w:r>
              <w:rPr>
                <w:rFonts w:ascii="Calibri" w:hAnsi="Calibri"/>
                <w:b w:val="0"/>
                <w:i w:val="0"/>
                <w:color w:val="212121"/>
                <w:sz w:val="19"/>
              </w:rPr>
              <w:t>Blindness prevalence is higher in rural (2.14%) than urban (1.80%) Indians aged 50+.</w:t>
            </w:r>
          </w:p>
          <w:p>
            <w:pPr>
              <w:spacing w:after="40" w:line="252" w:lineRule="auto"/>
            </w:pPr>
            <w:hyperlink r:id="rId9">
              <w:r>
                <w:rPr>
                  <w:rFonts w:ascii="Calibri" w:hAnsi="Calibri" w:cs="Calibri"/>
                  <w:sz w:val="18"/>
                  <w:color w:val="1155CC"/>
                  <w:u w:val="single"/>
                </w:rPr>
                <w:t xml:space="preserve">journals.plos.org — NBVI 2015–19 national survey</w:t>
              </w:r>
            </w:hyperlink>
          </w:p>
          <w:p>
            <w:pPr>
              <w:spacing w:before="60" w:after="40"/>
            </w:pPr>
            <w:r>
              <w:rPr>
                <w:rFonts w:ascii="Calibri" w:hAnsi="Calibri"/>
                <w:b w:val="0"/>
                <w:i w:val="0"/>
                <w:color w:val="5A5A5A"/>
                <w:sz w:val="18"/>
              </w:rPr>
              <w:t>#rural  #surgicalbacklog  #eyecamps  #access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Northern, central &amp; tribal belts</w:t>
            </w:r>
          </w:p>
        </w:tc>
        <w:tc>
          <w:tcPr>
            <w:tcW w:type="dxa" w:w="4276"/>
            <w:vAlign w:val="top"/>
          </w:tcPr>
          <w:p>
            <w:pPr>
              <w:spacing w:after="60" w:line="259" w:lineRule="auto"/>
            </w:pPr>
            <w:r>
              <w:rPr>
                <w:rFonts w:ascii="Calibri" w:hAnsi="Calibri"/>
                <w:b w:val="0"/>
                <w:i w:val="0"/>
                <w:color w:val="212121"/>
                <w:sz w:val="19"/>
              </w:rPr>
              <w:t>Historic pockets of vitamin-A deficiency and trachoma in northern/central states, endemic fluorosis and lower surgical density create regional disparities, while rising neonatal survival is increasing retinopathy of prematurity in urban centres.</w:t>
            </w:r>
          </w:p>
          <w:p>
            <w:pPr>
              <w:spacing w:after="40" w:before="60" w:line="259" w:lineRule="auto"/>
            </w:pPr>
            <w:r>
              <w:rPr>
                <w:rFonts w:ascii="Calibri" w:hAnsi="Calibri"/>
                <w:b w:val="0"/>
                <w:i w:val="0"/>
                <w:color w:val="212121"/>
                <w:sz w:val="19"/>
              </w:rPr>
              <w:t>Cataract surgical coverage and cause-mix vary widely between states, keeping avoidable blindness concentrated in underserved districts.</w:t>
            </w:r>
          </w:p>
          <w:p>
            <w:pPr>
              <w:spacing w:before="60" w:after="40"/>
            </w:pPr>
            <w:r>
              <w:rPr>
                <w:rFonts w:ascii="Calibri" w:hAnsi="Calibri"/>
                <w:b w:val="0"/>
                <w:i w:val="0"/>
                <w:color w:val="5A5A5A"/>
                <w:sz w:val="18"/>
              </w:rPr>
              <w:t>#regionalvariation  #trachoma  #VAD  #disparity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Near-work &amp; screen time</w:t>
            </w:r>
          </w:p>
        </w:tc>
        <w:tc>
          <w:tcPr>
            <w:tcW w:type="dxa" w:w="2160"/>
            <w:vAlign w:val="top"/>
          </w:tcPr>
          <w:p>
            <w:pPr>
              <w:spacing w:after="40" w:before="0" w:line="259" w:lineRule="auto"/>
            </w:pPr>
            <w:r>
              <w:rPr>
                <w:rFonts w:ascii="Calibri" w:hAnsi="Calibri"/>
                <w:b w:val="0"/>
                <w:i w:val="0"/>
                <w:color w:val="212121"/>
                <w:sz w:val="19"/>
              </w:rPr>
              <w:t>Urban school children &amp; students</w:t>
            </w:r>
          </w:p>
        </w:tc>
        <w:tc>
          <w:tcPr>
            <w:tcW w:type="dxa" w:w="4276"/>
            <w:vAlign w:val="top"/>
          </w:tcPr>
          <w:p>
            <w:pPr>
              <w:spacing w:after="60" w:line="259" w:lineRule="auto"/>
            </w:pPr>
            <w:r>
              <w:rPr>
                <w:rFonts w:ascii="Calibri" w:hAnsi="Calibri"/>
                <w:b w:val="0"/>
                <w:i w:val="0"/>
                <w:color w:val="212121"/>
                <w:sz w:val="19"/>
              </w:rPr>
              <w:t>Intensive near work, high educational pressure and heavy device use with little daylight exposure drive an escalating myopia epidemic, which in high grades raises lifelong risk of retinal detachment, myopic maculopathy and glaucoma.</w:t>
            </w:r>
          </w:p>
          <w:p>
            <w:pPr>
              <w:spacing w:after="40" w:before="60" w:line="259" w:lineRule="auto"/>
            </w:pPr>
            <w:r>
              <w:rPr>
                <w:rFonts w:ascii="Calibri" w:hAnsi="Calibri"/>
                <w:b w:val="0"/>
                <w:i w:val="0"/>
                <w:color w:val="212121"/>
                <w:sz w:val="19"/>
              </w:rPr>
              <w:t>Myopia among urban Indian adolescents (11–15 y) rose from 6.8% in 1980–2008 to 15.0% in 2009–2019.</w:t>
            </w:r>
          </w:p>
          <w:p>
            <w:pPr>
              <w:spacing w:after="40" w:line="252" w:lineRule="auto"/>
            </w:pPr>
            <w:hyperlink r:id="rId10">
              <w:r>
                <w:rPr>
                  <w:rFonts w:ascii="Calibri" w:hAnsi="Calibri" w:cs="Calibri"/>
                  <w:sz w:val="18"/>
                  <w:color w:val="1155CC"/>
                  <w:u w:val="single"/>
                </w:rPr>
                <w:t xml:space="preserve">journals.plos.org — myopia in Indian schoolchildren (meta-analysis)</w:t>
              </w:r>
            </w:hyperlink>
          </w:p>
          <w:p>
            <w:pPr>
              <w:spacing w:before="60" w:after="40"/>
            </w:pPr>
            <w:r>
              <w:rPr>
                <w:rFonts w:ascii="Calibri" w:hAnsi="Calibri"/>
                <w:b w:val="0"/>
                <w:i w:val="0"/>
                <w:color w:val="5A5A5A"/>
                <w:sz w:val="18"/>
              </w:rPr>
              <w:t>#myopia  #screentime  #nearwork  #digitaleyestrain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outdoor time (sedentary)</w:t>
            </w:r>
          </w:p>
        </w:tc>
        <w:tc>
          <w:tcPr>
            <w:tcW w:type="dxa" w:w="2160"/>
            <w:vAlign w:val="top"/>
          </w:tcPr>
          <w:p>
            <w:pPr>
              <w:spacing w:after="40" w:before="0" w:line="259" w:lineRule="auto"/>
            </w:pPr>
            <w:r>
              <w:rPr>
                <w:rFonts w:ascii="Calibri" w:hAnsi="Calibri"/>
                <w:b w:val="0"/>
                <w:i w:val="0"/>
                <w:color w:val="212121"/>
                <w:sz w:val="19"/>
              </w:rPr>
              <w:t>Indoor-bound children</w:t>
            </w:r>
          </w:p>
        </w:tc>
        <w:tc>
          <w:tcPr>
            <w:tcW w:type="dxa" w:w="4276"/>
            <w:vAlign w:val="top"/>
          </w:tcPr>
          <w:p>
            <w:pPr>
              <w:spacing w:after="60" w:line="259" w:lineRule="auto"/>
            </w:pPr>
            <w:r>
              <w:rPr>
                <w:rFonts w:ascii="Calibri" w:hAnsi="Calibri"/>
                <w:b w:val="0"/>
                <w:i w:val="0"/>
                <w:color w:val="212121"/>
                <w:sz w:val="19"/>
              </w:rPr>
              <w:t>Reduced time in bright outdoor light removes a protective, dopamine-mediated brake on axial elongation of the eye, accelerating onset and progression of myopia.</w:t>
            </w:r>
          </w:p>
          <w:p>
            <w:pPr>
              <w:spacing w:after="40" w:before="60" w:line="259" w:lineRule="auto"/>
            </w:pPr>
            <w:r>
              <w:rPr>
                <w:rFonts w:ascii="Calibri" w:hAnsi="Calibri"/>
                <w:b w:val="0"/>
                <w:i w:val="0"/>
                <w:color w:val="212121"/>
                <w:sz w:val="19"/>
              </w:rPr>
              <w:t>Increasing outdoor time to ≥ 11 hours/week cut the risk of rapid myopia progression by 54% (odds ratio 0.46).</w:t>
            </w:r>
          </w:p>
          <w:p>
            <w:pPr>
              <w:spacing w:after="40" w:line="252" w:lineRule="auto"/>
            </w:pPr>
            <w:hyperlink r:id="rId11">
              <w:r>
                <w:rPr>
                  <w:rFonts w:ascii="Calibri" w:hAnsi="Calibri" w:cs="Calibri"/>
                  <w:sz w:val="18"/>
                  <w:color w:val="1155CC"/>
                  <w:u w:val="single"/>
                </w:rPr>
                <w:t xml:space="preserve">aao.org — outdoor activity and myopia in children</w:t>
              </w:r>
            </w:hyperlink>
          </w:p>
          <w:p>
            <w:pPr>
              <w:spacing w:before="60" w:after="40"/>
            </w:pPr>
            <w:r>
              <w:rPr>
                <w:rFonts w:ascii="Calibri" w:hAnsi="Calibri"/>
                <w:b w:val="0"/>
                <w:i w:val="0"/>
                <w:color w:val="5A5A5A"/>
                <w:sz w:val="18"/>
              </w:rPr>
              <w:t>#outdoortime  #myopiacontrol  #sunlight  #activekids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Adult smokers</w:t>
            </w:r>
          </w:p>
        </w:tc>
        <w:tc>
          <w:tcPr>
            <w:tcW w:type="dxa" w:w="4276"/>
            <w:vAlign w:val="top"/>
          </w:tcPr>
          <w:p>
            <w:pPr>
              <w:spacing w:after="60" w:line="259" w:lineRule="auto"/>
            </w:pPr>
            <w:r>
              <w:rPr>
                <w:rFonts w:ascii="Calibri" w:hAnsi="Calibri"/>
                <w:b w:val="0"/>
                <w:i w:val="0"/>
                <w:color w:val="212121"/>
                <w:sz w:val="19"/>
              </w:rPr>
              <w:t>Tobacco-driven oxidative stress and reduced ocular blood flow accelerate lens opacification and macular degeneration; second-hand smoke extends the risk to non-smoking family members and children.</w:t>
            </w:r>
          </w:p>
          <w:p>
            <w:pPr>
              <w:spacing w:after="40" w:before="60" w:line="259" w:lineRule="auto"/>
            </w:pPr>
            <w:r>
              <w:rPr>
                <w:rFonts w:ascii="Calibri" w:hAnsi="Calibri"/>
                <w:b w:val="0"/>
                <w:i w:val="0"/>
                <w:color w:val="212121"/>
                <w:sz w:val="19"/>
              </w:rPr>
              <w:t>Smokers develop age-related macular degeneration up to 5.5 years earlier, second-hand smoke roughly doubles AMD risk, and smoking increases cataract risk.</w:t>
            </w:r>
          </w:p>
          <w:p>
            <w:pPr>
              <w:spacing w:after="40" w:line="252" w:lineRule="auto"/>
            </w:pPr>
            <w:hyperlink r:id="rId12">
              <w:r>
                <w:rPr>
                  <w:rFonts w:ascii="Calibri" w:hAnsi="Calibri" w:cs="Calibri"/>
                  <w:sz w:val="18"/>
                  <w:color w:val="1155CC"/>
                  <w:u w:val="single"/>
                </w:rPr>
                <w:t xml:space="preserve">who.int — smoking linked to vision loss and cataracts</w:t>
              </w:r>
            </w:hyperlink>
          </w:p>
          <w:p>
            <w:pPr>
              <w:spacing w:before="60" w:after="40"/>
            </w:pPr>
            <w:r>
              <w:rPr>
                <w:rFonts w:ascii="Calibri" w:hAnsi="Calibri"/>
                <w:b w:val="0"/>
                <w:i w:val="0"/>
                <w:color w:val="5A5A5A"/>
                <w:sz w:val="18"/>
              </w:rPr>
              <w:t>#smoking  #cataract  #AMD  #oxidativestress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&amp; illicit drinkers</w:t>
            </w:r>
          </w:p>
        </w:tc>
        <w:tc>
          <w:tcPr>
            <w:tcW w:type="dxa" w:w="4276"/>
            <w:vAlign w:val="top"/>
          </w:tcPr>
          <w:p>
            <w:pPr>
              <w:spacing w:after="60" w:line="259" w:lineRule="auto"/>
            </w:pPr>
            <w:r>
              <w:rPr>
                <w:rFonts w:ascii="Calibri" w:hAnsi="Calibri"/>
                <w:b w:val="0"/>
                <w:i w:val="0"/>
                <w:color w:val="212121"/>
                <w:sz w:val="19"/>
              </w:rPr>
              <w:t>Chronic heavy alcohol use contributes to cataract and to nutritional/toxic optic neuropathy; illicit, methanol-adulterated liquor causes sudden, permanent bilateral blindness in recurrent Indian “hooch” outbreaks.</w:t>
            </w:r>
          </w:p>
          <w:p>
            <w:pPr>
              <w:spacing w:after="40" w:before="60" w:line="259" w:lineRule="auto"/>
            </w:pPr>
            <w:r>
              <w:rPr>
                <w:rFonts w:ascii="Calibri" w:hAnsi="Calibri"/>
                <w:b w:val="0"/>
                <w:i w:val="0"/>
                <w:color w:val="212121"/>
                <w:sz w:val="19"/>
              </w:rPr>
              <w:t>Methanol poisoning from adulterated country liquor is a recurring cause of acute bilateral blindness and death in India.</w:t>
            </w:r>
          </w:p>
          <w:p>
            <w:pPr>
              <w:spacing w:before="60" w:after="40"/>
            </w:pPr>
            <w:r>
              <w:rPr>
                <w:rFonts w:ascii="Calibri" w:hAnsi="Calibri"/>
                <w:b w:val="0"/>
                <w:i w:val="0"/>
                <w:color w:val="5A5A5A"/>
                <w:sz w:val="18"/>
              </w:rPr>
              <w:t>#alcohol  #toxicopticneuropathy  #methanol  #hooch</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Vitamin-A deficiency</w:t>
            </w:r>
          </w:p>
        </w:tc>
        <w:tc>
          <w:tcPr>
            <w:tcW w:type="dxa" w:w="2160"/>
            <w:vAlign w:val="top"/>
          </w:tcPr>
          <w:p>
            <w:pPr>
              <w:spacing w:after="40" w:before="0" w:line="259" w:lineRule="auto"/>
            </w:pPr>
            <w:r>
              <w:rPr>
                <w:rFonts w:ascii="Calibri" w:hAnsi="Calibri"/>
                <w:b w:val="0"/>
                <w:i w:val="0"/>
                <w:color w:val="212121"/>
                <w:sz w:val="19"/>
              </w:rPr>
              <w:t>Undernourished young children</w:t>
            </w:r>
          </w:p>
        </w:tc>
        <w:tc>
          <w:tcPr>
            <w:tcW w:type="dxa" w:w="4276"/>
            <w:vAlign w:val="top"/>
          </w:tcPr>
          <w:p>
            <w:pPr>
              <w:spacing w:after="60" w:line="259" w:lineRule="auto"/>
            </w:pPr>
            <w:r>
              <w:rPr>
                <w:rFonts w:ascii="Calibri" w:hAnsi="Calibri"/>
                <w:b w:val="0"/>
                <w:i w:val="0"/>
                <w:color w:val="212121"/>
                <w:sz w:val="19"/>
              </w:rPr>
              <w:t>Vitamin-A deficiency causes conjunctival/corneal xerosis, Bitot's spots and, when severe, keratomalacia that melts the cornea — a leading preventable cause of childhood blindness.</w:t>
            </w:r>
          </w:p>
          <w:p>
            <w:pPr>
              <w:spacing w:after="40" w:before="60" w:line="259" w:lineRule="auto"/>
            </w:pPr>
            <w:r>
              <w:rPr>
                <w:rFonts w:ascii="Calibri" w:hAnsi="Calibri"/>
                <w:b w:val="0"/>
                <w:i w:val="0"/>
                <w:color w:val="212121"/>
                <w:sz w:val="19"/>
              </w:rPr>
              <w:t>Vitamin-A deficiency underlies roughly 19% of childhood corneal blindness.</w:t>
            </w:r>
          </w:p>
          <w:p>
            <w:pPr>
              <w:spacing w:after="40" w:line="252" w:lineRule="auto"/>
            </w:pPr>
            <w:hyperlink r:id="rId13">
              <w:r>
                <w:rPr>
                  <w:rFonts w:ascii="Calibri" w:hAnsi="Calibri" w:cs="Calibri"/>
                  <w:sz w:val="18"/>
                  <w:color w:val="1155CC"/>
                  <w:u w:val="single"/>
                </w:rPr>
                <w:t xml:space="preserve">academia.edu — Burden of corneal blindness in India</w:t>
              </w:r>
            </w:hyperlink>
          </w:p>
          <w:p>
            <w:pPr>
              <w:spacing w:before="60" w:after="40"/>
            </w:pPr>
            <w:r>
              <w:rPr>
                <w:rFonts w:ascii="Calibri" w:hAnsi="Calibri"/>
                <w:b w:val="0"/>
                <w:i w:val="0"/>
                <w:color w:val="5A5A5A"/>
                <w:sz w:val="18"/>
              </w:rPr>
              <w:t>#vitaminA  #xerophthalmia  #childhoodblindness  #nutrition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Antioxidant-poor diet</w:t>
            </w:r>
          </w:p>
        </w:tc>
        <w:tc>
          <w:tcPr>
            <w:tcW w:type="dxa" w:w="2160"/>
            <w:vAlign w:val="top"/>
          </w:tcPr>
          <w:p>
            <w:pPr>
              <w:spacing w:after="40" w:before="0" w:line="259" w:lineRule="auto"/>
            </w:pPr>
            <w:r>
              <w:rPr>
                <w:rFonts w:ascii="Calibri" w:hAnsi="Calibri"/>
                <w:b w:val="0"/>
                <w:i w:val="0"/>
                <w:color w:val="212121"/>
                <w:sz w:val="19"/>
              </w:rPr>
              <w:t>Adults low in fruit &amp; greens</w:t>
            </w:r>
          </w:p>
        </w:tc>
        <w:tc>
          <w:tcPr>
            <w:tcW w:type="dxa" w:w="4276"/>
            <w:vAlign w:val="top"/>
          </w:tcPr>
          <w:p>
            <w:pPr>
              <w:spacing w:after="60" w:line="259" w:lineRule="auto"/>
            </w:pPr>
            <w:r>
              <w:rPr>
                <w:rFonts w:ascii="Calibri" w:hAnsi="Calibri"/>
                <w:b w:val="0"/>
                <w:i w:val="0"/>
                <w:color w:val="212121"/>
                <w:sz w:val="19"/>
              </w:rPr>
              <w:t>Diets low in antioxidants (vitamin C and E), lutein and zeaxanthin and omega-3 fatty acids are associated with higher rates of cataract and age-related macular degeneration.</w:t>
            </w:r>
          </w:p>
          <w:p>
            <w:pPr>
              <w:spacing w:after="40" w:before="60" w:line="259" w:lineRule="auto"/>
            </w:pPr>
            <w:r>
              <w:rPr>
                <w:rFonts w:ascii="Calibri" w:hAnsi="Calibri"/>
                <w:b w:val="0"/>
                <w:i w:val="0"/>
                <w:color w:val="212121"/>
                <w:sz w:val="19"/>
              </w:rPr>
              <w:t>Low dietary antioxidant and carotenoid intake is a recognised modifiable risk factor for cataract and AMD.</w:t>
            </w:r>
          </w:p>
          <w:p>
            <w:pPr>
              <w:spacing w:before="60" w:after="40"/>
            </w:pPr>
            <w:r>
              <w:rPr>
                <w:rFonts w:ascii="Calibri" w:hAnsi="Calibri"/>
                <w:b w:val="0"/>
                <w:i w:val="0"/>
                <w:color w:val="5A5A5A"/>
                <w:sz w:val="18"/>
              </w:rPr>
              <w:t>#antioxidants  #lutein  #cataract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Relatives of glaucoma / retinal-dystrophy patients</w:t>
            </w:r>
          </w:p>
        </w:tc>
        <w:tc>
          <w:tcPr>
            <w:tcW w:type="dxa" w:w="4276"/>
            <w:vAlign w:val="top"/>
          </w:tcPr>
          <w:p>
            <w:pPr>
              <w:spacing w:after="60" w:line="259" w:lineRule="auto"/>
            </w:pPr>
            <w:r>
              <w:rPr>
                <w:rFonts w:ascii="Calibri" w:hAnsi="Calibri"/>
                <w:b w:val="0"/>
                <w:i w:val="0"/>
                <w:color w:val="212121"/>
                <w:sz w:val="19"/>
              </w:rPr>
              <w:t>First-degree relatives of glaucoma patients carry several-fold higher risk, and inherited retinal dystrophies such as retinitis pigmentosa run strongly in families, causing early progressive field and night-vision loss.</w:t>
            </w:r>
          </w:p>
          <w:p>
            <w:pPr>
              <w:spacing w:after="40" w:before="60" w:line="259" w:lineRule="auto"/>
            </w:pPr>
            <w:r>
              <w:rPr>
                <w:rFonts w:ascii="Calibri" w:hAnsi="Calibri"/>
                <w:b w:val="0"/>
                <w:i w:val="0"/>
                <w:color w:val="212121"/>
                <w:sz w:val="19"/>
              </w:rPr>
              <w:t>A positive family history is one of the strongest risk factors for primary open-angle glaucoma and for hereditary retinal disease.</w:t>
            </w:r>
          </w:p>
          <w:p>
            <w:pPr>
              <w:spacing w:before="60" w:after="40"/>
            </w:pPr>
            <w:r>
              <w:rPr>
                <w:rFonts w:ascii="Calibri" w:hAnsi="Calibri"/>
                <w:b w:val="0"/>
                <w:i w:val="0"/>
                <w:color w:val="5A5A5A"/>
                <w:sz w:val="18"/>
              </w:rPr>
              <w:t>#familyhistory  #glaucoma  #retinitispigmentosa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Children of consanguineous unions</w:t>
            </w:r>
          </w:p>
        </w:tc>
        <w:tc>
          <w:tcPr>
            <w:tcW w:type="dxa" w:w="4276"/>
            <w:vAlign w:val="top"/>
          </w:tcPr>
          <w:p>
            <w:pPr>
              <w:spacing w:after="60" w:line="259" w:lineRule="auto"/>
            </w:pPr>
            <w:r>
              <w:rPr>
                <w:rFonts w:ascii="Calibri" w:hAnsi="Calibri"/>
                <w:b w:val="0"/>
                <w:i w:val="0"/>
                <w:color w:val="212121"/>
                <w:sz w:val="19"/>
              </w:rPr>
              <w:t>High rates of consanguineous marriage in parts of India raise the risk of autosomal-recessive congenital cataract, retinal dystrophies and other hereditary causes of childhood blindness.</w:t>
            </w:r>
          </w:p>
          <w:p>
            <w:pPr>
              <w:spacing w:after="40" w:before="60" w:line="259" w:lineRule="auto"/>
            </w:pPr>
            <w:r>
              <w:rPr>
                <w:rFonts w:ascii="Calibri" w:hAnsi="Calibri"/>
                <w:b w:val="0"/>
                <w:i w:val="0"/>
                <w:color w:val="212121"/>
                <w:sz w:val="19"/>
              </w:rPr>
              <w:t>Consanguinity increases the burden of autosomal-recessive congenital and hereditary eye disease in affected communities.</w:t>
            </w:r>
          </w:p>
          <w:p>
            <w:pPr>
              <w:spacing w:before="60" w:after="40"/>
            </w:pPr>
            <w:r>
              <w:rPr>
                <w:rFonts w:ascii="Calibri" w:hAnsi="Calibri"/>
                <w:b w:val="0"/>
                <w:i w:val="0"/>
                <w:color w:val="5A5A5A"/>
                <w:sz w:val="18"/>
              </w:rPr>
              <w:t>#consanguinity  #congenital  #hereditary  #childhoodblindness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People with diabetes</w:t>
            </w:r>
          </w:p>
        </w:tc>
        <w:tc>
          <w:tcPr>
            <w:tcW w:type="dxa" w:w="4276"/>
            <w:vAlign w:val="top"/>
          </w:tcPr>
          <w:p>
            <w:pPr>
              <w:spacing w:after="60" w:line="259" w:lineRule="auto"/>
            </w:pPr>
            <w:r>
              <w:rPr>
                <w:rFonts w:ascii="Calibri" w:hAnsi="Calibri"/>
                <w:b w:val="0"/>
                <w:i w:val="0"/>
                <w:color w:val="212121"/>
                <w:sz w:val="19"/>
              </w:rPr>
              <w:t>Chronic hyperglycaemia damages retinal capillaries, producing microaneurysms, haemorrhage, macular oedema and neovascularisation — the leading cause of preventable blindness in working-age adults.</w:t>
            </w:r>
          </w:p>
          <w:p>
            <w:pPr>
              <w:spacing w:after="40" w:before="60" w:line="259" w:lineRule="auto"/>
            </w:pPr>
            <w:r>
              <w:rPr>
                <w:rFonts w:ascii="Calibri" w:hAnsi="Calibri"/>
                <w:b w:val="0"/>
                <w:i w:val="0"/>
                <w:color w:val="212121"/>
                <w:sz w:val="19"/>
              </w:rPr>
              <w:t>Diabetic retinopathy is present in 16.9% of Indians aged 50+ with diabetes, and sight-threatening retinopathy in 3.6%.</w:t>
            </w:r>
          </w:p>
          <w:p>
            <w:pPr>
              <w:spacing w:after="40" w:line="252" w:lineRule="auto"/>
            </w:pPr>
            <w:hyperlink r:id="rId14">
              <w:r>
                <w:rPr>
                  <w:rFonts w:ascii="Calibri" w:hAnsi="Calibri" w:cs="Calibri"/>
                  <w:sz w:val="18"/>
                  <w:color w:val="1155CC"/>
                  <w:u w:val="single"/>
                </w:rPr>
                <w:t xml:space="preserve">pmc.ncbi.nlm.nih.gov — DR prevalence, National Survey 2015–19</w:t>
              </w:r>
            </w:hyperlink>
          </w:p>
          <w:p>
            <w:pPr>
              <w:spacing w:before="60" w:after="40"/>
            </w:pPr>
            <w:r>
              <w:rPr>
                <w:rFonts w:ascii="Calibri" w:hAnsi="Calibri"/>
                <w:b w:val="0"/>
                <w:i w:val="0"/>
                <w:color w:val="5A5A5A"/>
                <w:sz w:val="18"/>
              </w:rPr>
              <w:t>#diabeticretinopathy  #STDR  #diabetes  #maculaoedema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Glaucoma</w:t>
            </w:r>
          </w:p>
        </w:tc>
        <w:tc>
          <w:tcPr>
            <w:tcW w:type="dxa" w:w="2160"/>
            <w:vAlign w:val="top"/>
          </w:tcPr>
          <w:p>
            <w:pPr>
              <w:spacing w:after="40" w:before="0" w:line="259" w:lineRule="auto"/>
            </w:pPr>
            <w:r>
              <w:rPr>
                <w:rFonts w:ascii="Calibri" w:hAnsi="Calibri"/>
                <w:b w:val="0"/>
                <w:i w:val="0"/>
                <w:color w:val="212121"/>
                <w:sz w:val="19"/>
              </w:rPr>
              <w:t>Adults 40+ with raised IOP</w:t>
            </w:r>
          </w:p>
        </w:tc>
        <w:tc>
          <w:tcPr>
            <w:tcW w:type="dxa" w:w="4276"/>
            <w:vAlign w:val="top"/>
          </w:tcPr>
          <w:p>
            <w:pPr>
              <w:spacing w:after="60" w:line="259" w:lineRule="auto"/>
            </w:pPr>
            <w:r>
              <w:rPr>
                <w:rFonts w:ascii="Calibri" w:hAnsi="Calibri"/>
                <w:b w:val="0"/>
                <w:i w:val="0"/>
                <w:color w:val="212121"/>
                <w:sz w:val="19"/>
              </w:rPr>
              <w:t>Glaucoma silently destroys the optic nerve and visual field; because it is painless and asymptomatic until late, most Indian patients present already visually disabled.</w:t>
            </w:r>
          </w:p>
          <w:p>
            <w:pPr>
              <w:spacing w:after="40" w:before="60" w:line="259" w:lineRule="auto"/>
            </w:pPr>
            <w:r>
              <w:rPr>
                <w:rFonts w:ascii="Calibri" w:hAnsi="Calibri"/>
                <w:b w:val="0"/>
                <w:i w:val="0"/>
                <w:color w:val="212121"/>
                <w:sz w:val="19"/>
              </w:rPr>
              <w:t>An estimated 11.2 million Indians aged 40+ have glaucoma, of whom roughly 90% are undiagnosed.</w:t>
            </w:r>
          </w:p>
          <w:p>
            <w:pPr>
              <w:spacing w:after="40" w:line="252" w:lineRule="auto"/>
            </w:pPr>
            <w:hyperlink r:id="rId15">
              <w:r>
                <w:rPr>
                  <w:rFonts w:ascii="Calibri" w:hAnsi="Calibri" w:cs="Calibri"/>
                  <w:sz w:val="18"/>
                  <w:color w:val="1155CC"/>
                  <w:u w:val="single"/>
                </w:rPr>
                <w:t xml:space="preserve">glaucomatoday.com — glaucoma care in India</w:t>
              </w:r>
            </w:hyperlink>
          </w:p>
          <w:p>
            <w:pPr>
              <w:spacing w:before="60" w:after="40"/>
            </w:pPr>
            <w:r>
              <w:rPr>
                <w:rFonts w:ascii="Calibri" w:hAnsi="Calibri"/>
                <w:b w:val="0"/>
                <w:i w:val="0"/>
                <w:color w:val="5A5A5A"/>
                <w:sz w:val="18"/>
              </w:rPr>
              <w:t>#glaucoma  #silentthief  #undiagnosed  #opticnerve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 (ROP)</w:t>
            </w:r>
          </w:p>
        </w:tc>
        <w:tc>
          <w:tcPr>
            <w:tcW w:type="dxa" w:w="2160"/>
            <w:vAlign w:val="top"/>
          </w:tcPr>
          <w:p>
            <w:pPr>
              <w:spacing w:after="40" w:before="0" w:line="259" w:lineRule="auto"/>
            </w:pPr>
            <w:r>
              <w:rPr>
                <w:rFonts w:ascii="Calibri" w:hAnsi="Calibri"/>
                <w:b w:val="0"/>
                <w:i w:val="0"/>
                <w:color w:val="212121"/>
                <w:sz w:val="19"/>
              </w:rPr>
              <w:t>Preterm, low-birth-weight infants</w:t>
            </w:r>
          </w:p>
        </w:tc>
        <w:tc>
          <w:tcPr>
            <w:tcW w:type="dxa" w:w="4276"/>
            <w:vAlign w:val="top"/>
          </w:tcPr>
          <w:p>
            <w:pPr>
              <w:spacing w:after="60" w:line="259" w:lineRule="auto"/>
            </w:pPr>
            <w:r>
              <w:rPr>
                <w:rFonts w:ascii="Calibri" w:hAnsi="Calibri"/>
                <w:b w:val="0"/>
                <w:i w:val="0"/>
                <w:color w:val="212121"/>
                <w:sz w:val="19"/>
              </w:rPr>
              <w:t>Retinopathy of prematurity, driven by immature retinal vasculature and unregulated supplemental oxygen, is a fast-growing avoidable cause of childhood blindness as neonatal survival improves — India lies in the so-called “third epidemic” of ROP.</w:t>
            </w:r>
          </w:p>
          <w:p>
            <w:pPr>
              <w:spacing w:after="40" w:before="60" w:line="259" w:lineRule="auto"/>
            </w:pPr>
            <w:r>
              <w:rPr>
                <w:rFonts w:ascii="Calibri" w:hAnsi="Calibri"/>
                <w:b w:val="0"/>
                <w:i w:val="0"/>
                <w:color w:val="212121"/>
                <w:sz w:val="19"/>
              </w:rPr>
              <w:t>ROP is a rapidly rising cause of avoidable infant blindness in India, tied to expanding neonatal intensive care and screening gaps.</w:t>
            </w:r>
          </w:p>
          <w:p>
            <w:pPr>
              <w:spacing w:before="60" w:after="40"/>
            </w:pPr>
            <w:r>
              <w:rPr>
                <w:rFonts w:ascii="Calibri" w:hAnsi="Calibri"/>
                <w:b w:val="0"/>
                <w:i w:val="0"/>
                <w:color w:val="5A5A5A"/>
                <w:sz w:val="18"/>
              </w:rPr>
              <w:t>#ROP  #prematurity  #neonatal  #avoidable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Time spent outdoors in daylight is protective against myopia onset and progression in children (≥ 11 h/week cut rapid progression by 54%), while physical activity also improves glycaemic and blood-pressure control that lowers diabetic-retinopathy and vascular vision loss.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Vitamin-A deficiency directly causes xerophthalmia and corneal blindness in children, and antioxidant-, lutein- and omega-3-rich diets are associated with lower cataract and age-related macular degeneration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is limited, but obstructive sleep apnoea is associated with glaucoma and non-arteritic anterior ischaemic optic neuropathy, and disrupted sleep worsens diabetic control.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accelerates cataract and brings on AMD up to 5.5 years earlier; second-hand smoke roughly doubles AMD risk, and tobacco is linked to toxic optic neuropathy.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drinking contributes to cataract and nutritional/toxic optic neuropathy, while methanol-adulterated illicit liquor causes sudden, permanent bilateral blindness.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Vision loss and depression are bidirectionally linked — sight loss raises depression and anxiety, while poor mental health reduces treatment adherence and self-care.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little direct effect on vision, but safe water and sanitation are central to preventing trachoma (the SAFE strategy) and water-borne ocular infection.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 caffeine intake can transiently and modestly raise intraocular pressure; the clinical impact on glaucoma risk is small and inconsistent.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facial cleanliness and unsanitary environments spread trachoma, and unhygienic contact-lens use or traditional eye remedies precipitate infective keratitis and corneal scarring.</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Ocular trauma, chronic unprotected ultraviolet exposure, welding/agricultural injury and harmful traditional eye medications are important, avoidable precipitants of vision loss.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Outdoor daylight time (hours/week)</w:t>
            </w:r>
          </w:p>
        </w:tc>
        <w:tc>
          <w:tcPr>
            <w:tcW w:type="dxa" w:w="1655"/>
            <w:vAlign w:val="top"/>
          </w:tcPr>
          <w:p>
            <w:pPr>
              <w:spacing w:after="40" w:before="0" w:line="259" w:lineRule="auto"/>
            </w:pPr>
            <w:r>
              <w:rPr>
                <w:rFonts w:ascii="Calibri" w:hAnsi="Calibri"/>
                <w:b w:val="0"/>
                <w:i w:val="0"/>
                <w:color w:val="212121"/>
                <w:sz w:val="19"/>
              </w:rPr>
              <w:t>School children</w:t>
            </w:r>
          </w:p>
        </w:tc>
        <w:tc>
          <w:tcPr>
            <w:tcW w:type="dxa" w:w="1512"/>
            <w:vAlign w:val="top"/>
          </w:tcPr>
          <w:p>
            <w:pPr>
              <w:spacing w:after="40" w:before="0" w:line="259" w:lineRule="auto"/>
            </w:pPr>
            <w:r>
              <w:rPr>
                <w:rFonts w:ascii="Calibri" w:hAnsi="Calibri"/>
                <w:b w:val="0"/>
                <w:i w:val="0"/>
                <w:color w:val="212121"/>
                <w:sz w:val="19"/>
              </w:rPr>
              <w:t>≥ 11–14 h/week (≈ 90–120 min/day)</w:t>
            </w:r>
          </w:p>
        </w:tc>
        <w:tc>
          <w:tcPr>
            <w:tcW w:type="dxa" w:w="1512"/>
            <w:vAlign w:val="top"/>
          </w:tcPr>
          <w:p>
            <w:pPr>
              <w:spacing w:after="40" w:before="0" w:line="259" w:lineRule="auto"/>
            </w:pPr>
            <w:r>
              <w:rPr>
                <w:rFonts w:ascii="Calibri" w:hAnsi="Calibri"/>
                <w:b w:val="0"/>
                <w:i w:val="0"/>
                <w:color w:val="212121"/>
                <w:sz w:val="19"/>
              </w:rPr>
              <w:t>&lt; 7 h/week</w:t>
            </w:r>
          </w:p>
        </w:tc>
        <w:tc>
          <w:tcPr>
            <w:tcW w:type="dxa" w:w="1468"/>
            <w:vAlign w:val="top"/>
          </w:tcPr>
          <w:p>
            <w:pPr>
              <w:spacing w:after="60" w:line="259" w:lineRule="auto"/>
            </w:pPr>
            <w:r>
              <w:rPr>
                <w:rFonts w:ascii="Calibri" w:hAnsi="Calibri"/>
                <w:b w:val="0"/>
                <w:i w:val="0"/>
                <w:color w:val="212121"/>
                <w:sz w:val="19"/>
              </w:rPr>
              <w:t>More outdoor time delays myopia onset and slows progression</w:t>
            </w:r>
          </w:p>
          <w:p>
            <w:pPr>
              <w:spacing w:after="40" w:line="252" w:lineRule="auto"/>
            </w:pPr>
            <w:hyperlink r:id="rId11">
              <w:r>
                <w:rPr>
                  <w:rFonts w:ascii="Calibri" w:hAnsi="Calibri" w:cs="Calibri"/>
                  <w:sz w:val="18"/>
                  <w:color w:val="1155CC"/>
                  <w:u w:val="single"/>
                </w:rPr>
                <w:t xml:space="preserve">https://www.aao.org/eyenet/article/outdoor-activity-and-myopia-in-children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Continuous near-work / screen time</w:t>
            </w:r>
          </w:p>
        </w:tc>
        <w:tc>
          <w:tcPr>
            <w:tcW w:type="dxa" w:w="1655"/>
            <w:vAlign w:val="top"/>
          </w:tcPr>
          <w:p>
            <w:pPr>
              <w:spacing w:after="40" w:before="0" w:line="259" w:lineRule="auto"/>
            </w:pPr>
            <w:r>
              <w:rPr>
                <w:rFonts w:ascii="Calibri" w:hAnsi="Calibri"/>
                <w:b w:val="0"/>
                <w:i w:val="0"/>
                <w:color w:val="212121"/>
                <w:sz w:val="19"/>
              </w:rPr>
              <w:t>Children, students, screen workers</w:t>
            </w:r>
          </w:p>
        </w:tc>
        <w:tc>
          <w:tcPr>
            <w:tcW w:type="dxa" w:w="1512"/>
            <w:vAlign w:val="top"/>
          </w:tcPr>
          <w:p>
            <w:pPr>
              <w:spacing w:after="40" w:before="0" w:line="259" w:lineRule="auto"/>
            </w:pPr>
            <w:r>
              <w:rPr>
                <w:rFonts w:ascii="Calibri" w:hAnsi="Calibri"/>
                <w:b w:val="0"/>
                <w:i w:val="0"/>
                <w:color w:val="212121"/>
                <w:sz w:val="19"/>
              </w:rPr>
              <w:t>≤ 2 h/day recreational; 20-20-20 breaks</w:t>
            </w:r>
          </w:p>
        </w:tc>
        <w:tc>
          <w:tcPr>
            <w:tcW w:type="dxa" w:w="1512"/>
            <w:vAlign w:val="top"/>
          </w:tcPr>
          <w:p>
            <w:pPr>
              <w:spacing w:after="40" w:before="0" w:line="259" w:lineRule="auto"/>
            </w:pPr>
            <w:r>
              <w:rPr>
                <w:rFonts w:ascii="Calibri" w:hAnsi="Calibri"/>
                <w:b w:val="0"/>
                <w:i w:val="0"/>
                <w:color w:val="212121"/>
                <w:sz w:val="19"/>
              </w:rPr>
              <w:t>&gt; 3 h/day sustained near work</w:t>
            </w:r>
          </w:p>
        </w:tc>
        <w:tc>
          <w:tcPr>
            <w:tcW w:type="dxa" w:w="1468"/>
            <w:vAlign w:val="top"/>
          </w:tcPr>
          <w:p>
            <w:pPr>
              <w:spacing w:after="40" w:before="0" w:line="259" w:lineRule="auto"/>
            </w:pPr>
            <w:r>
              <w:rPr>
                <w:rFonts w:ascii="Calibri" w:hAnsi="Calibri"/>
                <w:b w:val="0"/>
                <w:i w:val="0"/>
                <w:color w:val="212121"/>
                <w:sz w:val="19"/>
              </w:rPr>
              <w:t>Prolonged near work is myopigenic; enforce regular distance breaks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retinol (vitamin A)</w:t>
            </w:r>
          </w:p>
        </w:tc>
        <w:tc>
          <w:tcPr>
            <w:tcW w:type="dxa" w:w="1655"/>
            <w:vAlign w:val="top"/>
          </w:tcPr>
          <w:p>
            <w:pPr>
              <w:spacing w:after="40" w:before="0" w:line="259" w:lineRule="auto"/>
            </w:pPr>
            <w:r>
              <w:rPr>
                <w:rFonts w:ascii="Calibri" w:hAnsi="Calibri"/>
                <w:b w:val="0"/>
                <w:i w:val="0"/>
                <w:color w:val="212121"/>
                <w:sz w:val="19"/>
              </w:rPr>
              <w:t>Children, pregnant/lactating women</w:t>
            </w:r>
          </w:p>
        </w:tc>
        <w:tc>
          <w:tcPr>
            <w:tcW w:type="dxa" w:w="1512"/>
            <w:vAlign w:val="top"/>
          </w:tcPr>
          <w:p>
            <w:pPr>
              <w:spacing w:after="40" w:before="0" w:line="259" w:lineRule="auto"/>
            </w:pPr>
            <w:r>
              <w:rPr>
                <w:rFonts w:ascii="Calibri" w:hAnsi="Calibri"/>
                <w:b w:val="0"/>
                <w:i w:val="0"/>
                <w:color w:val="212121"/>
                <w:sz w:val="19"/>
              </w:rPr>
              <w:t>≥ 20 µg/dL (0.70 µmol/L)</w:t>
            </w:r>
          </w:p>
        </w:tc>
        <w:tc>
          <w:tcPr>
            <w:tcW w:type="dxa" w:w="1512"/>
            <w:vAlign w:val="top"/>
          </w:tcPr>
          <w:p>
            <w:pPr>
              <w:spacing w:after="40" w:before="0" w:line="259" w:lineRule="auto"/>
            </w:pPr>
            <w:r>
              <w:rPr>
                <w:rFonts w:ascii="Calibri" w:hAnsi="Calibri"/>
                <w:b w:val="0"/>
                <w:i w:val="0"/>
                <w:color w:val="212121"/>
                <w:sz w:val="19"/>
              </w:rPr>
              <w:t>&lt; 10 µg/dL (deficient)</w:t>
            </w:r>
          </w:p>
        </w:tc>
        <w:tc>
          <w:tcPr>
            <w:tcW w:type="dxa" w:w="1468"/>
            <w:vAlign w:val="top"/>
          </w:tcPr>
          <w:p>
            <w:pPr>
              <w:spacing w:after="40" w:before="0" w:line="259" w:lineRule="auto"/>
            </w:pPr>
            <w:r>
              <w:rPr>
                <w:rFonts w:ascii="Calibri" w:hAnsi="Calibri"/>
                <w:b w:val="0"/>
                <w:i w:val="0"/>
                <w:color w:val="212121"/>
                <w:sz w:val="19"/>
              </w:rPr>
              <w:t>Deficiency causes xerophthalmia and corneal blindness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Vitamin-A prophylaxis (under-5)</w:t>
            </w:r>
          </w:p>
        </w:tc>
        <w:tc>
          <w:tcPr>
            <w:tcW w:type="dxa" w:w="1655"/>
            <w:vAlign w:val="top"/>
          </w:tcPr>
          <w:p>
            <w:pPr>
              <w:spacing w:after="40" w:before="0" w:line="259" w:lineRule="auto"/>
            </w:pPr>
            <w:r>
              <w:rPr>
                <w:rFonts w:ascii="Calibri" w:hAnsi="Calibri"/>
                <w:b w:val="0"/>
                <w:i w:val="0"/>
                <w:color w:val="212121"/>
                <w:sz w:val="19"/>
              </w:rPr>
              <w:t>Children 9 months–5 years</w:t>
            </w:r>
          </w:p>
        </w:tc>
        <w:tc>
          <w:tcPr>
            <w:tcW w:type="dxa" w:w="1512"/>
            <w:vAlign w:val="top"/>
          </w:tcPr>
          <w:p>
            <w:pPr>
              <w:spacing w:after="40" w:before="0" w:line="259" w:lineRule="auto"/>
            </w:pPr>
            <w:r>
              <w:rPr>
                <w:rFonts w:ascii="Calibri" w:hAnsi="Calibri"/>
                <w:b w:val="0"/>
                <w:i w:val="0"/>
                <w:color w:val="212121"/>
                <w:sz w:val="19"/>
              </w:rPr>
              <w:t>Biannual high-dose vitamin A per national schedule</w:t>
            </w:r>
          </w:p>
        </w:tc>
        <w:tc>
          <w:tcPr>
            <w:tcW w:type="dxa" w:w="1512"/>
            <w:vAlign w:val="top"/>
          </w:tcPr>
          <w:p>
            <w:pPr>
              <w:spacing w:after="40" w:before="0" w:line="259" w:lineRule="auto"/>
            </w:pPr>
            <w:r>
              <w:rPr>
                <w:rFonts w:ascii="Calibri" w:hAnsi="Calibri"/>
                <w:b w:val="0"/>
                <w:i w:val="0"/>
                <w:color w:val="212121"/>
                <w:sz w:val="19"/>
              </w:rPr>
              <w:t>Missed doses / deficient diet</w:t>
            </w:r>
          </w:p>
        </w:tc>
        <w:tc>
          <w:tcPr>
            <w:tcW w:type="dxa" w:w="1468"/>
            <w:vAlign w:val="top"/>
          </w:tcPr>
          <w:p>
            <w:pPr>
              <w:spacing w:after="40" w:before="0" w:line="259" w:lineRule="auto"/>
            </w:pPr>
            <w:r>
              <w:rPr>
                <w:rFonts w:ascii="Calibri" w:hAnsi="Calibri"/>
                <w:b w:val="0"/>
                <w:i w:val="0"/>
                <w:color w:val="212121"/>
                <w:sz w:val="19"/>
              </w:rPr>
              <w:t>Prophylaxis plus measles immunisation prevents keratomalacia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Dose-related increase in cataract and AMD risk</w:t>
            </w:r>
          </w:p>
          <w:p>
            <w:pPr>
              <w:spacing w:after="40" w:line="252" w:lineRule="auto"/>
            </w:pPr>
            <w:hyperlink r:id="rId12">
              <w:r>
                <w:rPr>
                  <w:rFonts w:ascii="Calibri" w:hAnsi="Calibri" w:cs="Calibri"/>
                  <w:sz w:val="18"/>
                  <w:color w:val="1155CC"/>
                  <w:u w:val="single"/>
                </w:rPr>
                <w:t xml:space="preserve">https://www.who.int/news/item/20-10-2022-smoking-linked-to-early-vision-loss-and-cataracts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(units/week)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14 units/week; never illicit spirits</w:t>
            </w:r>
          </w:p>
        </w:tc>
        <w:tc>
          <w:tcPr>
            <w:tcW w:type="dxa" w:w="1512"/>
            <w:vAlign w:val="top"/>
          </w:tcPr>
          <w:p>
            <w:pPr>
              <w:spacing w:after="40" w:before="0" w:line="259" w:lineRule="auto"/>
            </w:pPr>
            <w:r>
              <w:rPr>
                <w:rFonts w:ascii="Calibri" w:hAnsi="Calibri"/>
                <w:b w:val="0"/>
                <w:i w:val="0"/>
                <w:color w:val="212121"/>
                <w:sz w:val="19"/>
              </w:rPr>
              <w:t>&gt; 14 units/week or any illicit/hooch liquor</w:t>
            </w:r>
          </w:p>
        </w:tc>
        <w:tc>
          <w:tcPr>
            <w:tcW w:type="dxa" w:w="1468"/>
            <w:vAlign w:val="top"/>
          </w:tcPr>
          <w:p>
            <w:pPr>
              <w:spacing w:after="40" w:before="0" w:line="259" w:lineRule="auto"/>
            </w:pPr>
            <w:r>
              <w:rPr>
                <w:rFonts w:ascii="Calibri" w:hAnsi="Calibri"/>
                <w:b w:val="0"/>
                <w:i w:val="0"/>
                <w:color w:val="212121"/>
                <w:sz w:val="19"/>
              </w:rPr>
              <w:t>Methanol adulteration causes sudden bilateral blindness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Facial cleanliness (trachoma / SAFE)</w:t>
            </w:r>
          </w:p>
        </w:tc>
        <w:tc>
          <w:tcPr>
            <w:tcW w:type="dxa" w:w="1655"/>
            <w:vAlign w:val="top"/>
          </w:tcPr>
          <w:p>
            <w:pPr>
              <w:spacing w:after="40" w:before="0" w:line="259" w:lineRule="auto"/>
            </w:pPr>
            <w:r>
              <w:rPr>
                <w:rFonts w:ascii="Calibri" w:hAnsi="Calibri"/>
                <w:b w:val="0"/>
                <w:i w:val="0"/>
                <w:color w:val="212121"/>
                <w:sz w:val="19"/>
              </w:rPr>
              <w:t>Children in endemic areas</w:t>
            </w:r>
          </w:p>
        </w:tc>
        <w:tc>
          <w:tcPr>
            <w:tcW w:type="dxa" w:w="1512"/>
            <w:vAlign w:val="top"/>
          </w:tcPr>
          <w:p>
            <w:pPr>
              <w:spacing w:after="40" w:before="0" w:line="259" w:lineRule="auto"/>
            </w:pPr>
            <w:r>
              <w:rPr>
                <w:rFonts w:ascii="Calibri" w:hAnsi="Calibri"/>
                <w:b w:val="0"/>
                <w:i w:val="0"/>
                <w:color w:val="212121"/>
                <w:sz w:val="19"/>
              </w:rPr>
              <w:t>Clean face, ≥ 1 face-wash/day, fly control</w:t>
            </w:r>
          </w:p>
        </w:tc>
        <w:tc>
          <w:tcPr>
            <w:tcW w:type="dxa" w:w="1512"/>
            <w:vAlign w:val="top"/>
          </w:tcPr>
          <w:p>
            <w:pPr>
              <w:spacing w:after="40" w:before="0" w:line="259" w:lineRule="auto"/>
            </w:pPr>
            <w:r>
              <w:rPr>
                <w:rFonts w:ascii="Calibri" w:hAnsi="Calibri"/>
                <w:b w:val="0"/>
                <w:i w:val="0"/>
                <w:color w:val="212121"/>
                <w:sz w:val="19"/>
              </w:rPr>
              <w:t>Unclean face, flies, poor sanitation</w:t>
            </w:r>
          </w:p>
        </w:tc>
        <w:tc>
          <w:tcPr>
            <w:tcW w:type="dxa" w:w="1468"/>
            <w:vAlign w:val="top"/>
          </w:tcPr>
          <w:p>
            <w:pPr>
              <w:spacing w:after="40" w:before="0" w:line="259" w:lineRule="auto"/>
            </w:pPr>
            <w:r>
              <w:rPr>
                <w:rFonts w:ascii="Calibri" w:hAnsi="Calibri"/>
                <w:b w:val="0"/>
                <w:i w:val="0"/>
                <w:color w:val="212121"/>
                <w:sz w:val="19"/>
              </w:rPr>
              <w:t>Reduces trachoma transmission and repeat infection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UV exposure &amp; eye protection</w:t>
            </w:r>
          </w:p>
        </w:tc>
        <w:tc>
          <w:tcPr>
            <w:tcW w:type="dxa" w:w="1655"/>
            <w:vAlign w:val="top"/>
          </w:tcPr>
          <w:p>
            <w:pPr>
              <w:spacing w:after="40" w:before="0" w:line="259" w:lineRule="auto"/>
            </w:pPr>
            <w:r>
              <w:rPr>
                <w:rFonts w:ascii="Calibri" w:hAnsi="Calibri"/>
                <w:b w:val="0"/>
                <w:i w:val="0"/>
                <w:color w:val="212121"/>
                <w:sz w:val="19"/>
              </w:rPr>
              <w:t>Outdoor &amp; farm workers</w:t>
            </w:r>
          </w:p>
        </w:tc>
        <w:tc>
          <w:tcPr>
            <w:tcW w:type="dxa" w:w="1512"/>
            <w:vAlign w:val="top"/>
          </w:tcPr>
          <w:p>
            <w:pPr>
              <w:spacing w:after="40" w:before="0" w:line="259" w:lineRule="auto"/>
            </w:pPr>
            <w:r>
              <w:rPr>
                <w:rFonts w:ascii="Calibri" w:hAnsi="Calibri"/>
                <w:b w:val="0"/>
                <w:i w:val="0"/>
                <w:color w:val="212121"/>
                <w:sz w:val="19"/>
              </w:rPr>
              <w:t>UV-blocking sunglasses + brimmed hat</w:t>
            </w:r>
          </w:p>
        </w:tc>
        <w:tc>
          <w:tcPr>
            <w:tcW w:type="dxa" w:w="1512"/>
            <w:vAlign w:val="top"/>
          </w:tcPr>
          <w:p>
            <w:pPr>
              <w:spacing w:after="40" w:before="0" w:line="259" w:lineRule="auto"/>
            </w:pPr>
            <w:r>
              <w:rPr>
                <w:rFonts w:ascii="Calibri" w:hAnsi="Calibri"/>
                <w:b w:val="0"/>
                <w:i w:val="0"/>
                <w:color w:val="212121"/>
                <w:sz w:val="19"/>
              </w:rPr>
              <w:t>Chronic unprotected sun exposure</w:t>
            </w:r>
          </w:p>
        </w:tc>
        <w:tc>
          <w:tcPr>
            <w:tcW w:type="dxa" w:w="1468"/>
            <w:vAlign w:val="top"/>
          </w:tcPr>
          <w:p>
            <w:pPr>
              <w:spacing w:after="40" w:before="0" w:line="259" w:lineRule="auto"/>
            </w:pPr>
            <w:r>
              <w:rPr>
                <w:rFonts w:ascii="Calibri" w:hAnsi="Calibri"/>
                <w:b w:val="0"/>
                <w:i w:val="0"/>
                <w:color w:val="212121"/>
                <w:sz w:val="19"/>
              </w:rPr>
              <w:t>UV exposure promotes cortical cataract and pterygium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Ocular trauma / harmful eye practices</w:t>
            </w:r>
          </w:p>
        </w:tc>
        <w:tc>
          <w:tcPr>
            <w:tcW w:type="dxa" w:w="1655"/>
            <w:vAlign w:val="top"/>
          </w:tcPr>
          <w:p>
            <w:pPr>
              <w:spacing w:after="40" w:before="0" w:line="259" w:lineRule="auto"/>
            </w:pPr>
            <w:r>
              <w:rPr>
                <w:rFonts w:ascii="Calibri" w:hAnsi="Calibri"/>
                <w:b w:val="0"/>
                <w:i w:val="0"/>
                <w:color w:val="212121"/>
                <w:sz w:val="19"/>
              </w:rPr>
              <w:t>Agricultural &amp; industrial workers, infants</w:t>
            </w:r>
          </w:p>
        </w:tc>
        <w:tc>
          <w:tcPr>
            <w:tcW w:type="dxa" w:w="1512"/>
            <w:vAlign w:val="top"/>
          </w:tcPr>
          <w:p>
            <w:pPr>
              <w:spacing w:after="40" w:before="0" w:line="259" w:lineRule="auto"/>
            </w:pPr>
            <w:r>
              <w:rPr>
                <w:rFonts w:ascii="Calibri" w:hAnsi="Calibri"/>
                <w:b w:val="0"/>
                <w:i w:val="0"/>
                <w:color w:val="212121"/>
                <w:sz w:val="19"/>
              </w:rPr>
              <w:t>Protective eyewear; avoid kajal/herbal eye application</w:t>
            </w:r>
          </w:p>
        </w:tc>
        <w:tc>
          <w:tcPr>
            <w:tcW w:type="dxa" w:w="1512"/>
            <w:vAlign w:val="top"/>
          </w:tcPr>
          <w:p>
            <w:pPr>
              <w:spacing w:after="40" w:before="0" w:line="259" w:lineRule="auto"/>
            </w:pPr>
            <w:r>
              <w:rPr>
                <w:rFonts w:ascii="Calibri" w:hAnsi="Calibri"/>
                <w:b w:val="0"/>
                <w:i w:val="0"/>
                <w:color w:val="212121"/>
                <w:sz w:val="19"/>
              </w:rPr>
              <w:t>Ocular injury or traditional eye remedies</w:t>
            </w:r>
          </w:p>
        </w:tc>
        <w:tc>
          <w:tcPr>
            <w:tcW w:type="dxa" w:w="1468"/>
            <w:vAlign w:val="top"/>
          </w:tcPr>
          <w:p>
            <w:pPr>
              <w:spacing w:after="40" w:before="0" w:line="259" w:lineRule="auto"/>
            </w:pPr>
            <w:r>
              <w:rPr>
                <w:rFonts w:ascii="Calibri" w:hAnsi="Calibri"/>
                <w:b w:val="0"/>
                <w:i w:val="0"/>
                <w:color w:val="212121"/>
                <w:sz w:val="19"/>
              </w:rPr>
              <w:t>Trauma and unsafe practices cause infective keratitis and corneal scarring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Visual function</w:t>
            </w:r>
          </w:p>
        </w:tc>
        <w:tc>
          <w:tcPr>
            <w:tcW w:type="dxa" w:w="1036"/>
            <w:vAlign w:val="top"/>
          </w:tcPr>
          <w:p>
            <w:pPr>
              <w:spacing w:after="40" w:before="0" w:line="259" w:lineRule="auto"/>
            </w:pPr>
            <w:r>
              <w:rPr>
                <w:rFonts w:ascii="Calibri" w:hAnsi="Calibri"/>
                <w:b w:val="0"/>
                <w:i w:val="0"/>
                <w:color w:val="212121"/>
                <w:sz w:val="16"/>
              </w:rPr>
              <w:t>Presenting &amp; best-corrected visual acuity</w:t>
            </w:r>
          </w:p>
        </w:tc>
        <w:tc>
          <w:tcPr>
            <w:tcW w:type="dxa" w:w="892"/>
            <w:vAlign w:val="top"/>
          </w:tcPr>
          <w:p>
            <w:pPr>
              <w:spacing w:after="40" w:before="0" w:line="259" w:lineRule="auto"/>
            </w:pPr>
            <w:r>
              <w:rPr>
                <w:rFonts w:ascii="Calibri" w:hAnsi="Calibri"/>
                <w:b w:val="0"/>
                <w:i w:val="0"/>
                <w:color w:val="212121"/>
                <w:sz w:val="16"/>
              </w:rPr>
              <w:t>Snellen / logMAR chart with pinhole</w:t>
            </w:r>
          </w:p>
        </w:tc>
        <w:tc>
          <w:tcPr>
            <w:tcW w:type="dxa" w:w="950"/>
            <w:vAlign w:val="top"/>
          </w:tcPr>
          <w:p>
            <w:pPr>
              <w:spacing w:after="40" w:before="0" w:line="259" w:lineRule="auto"/>
            </w:pPr>
            <w:r>
              <w:rPr>
                <w:rFonts w:ascii="Calibri" w:hAnsi="Calibri"/>
                <w:b w:val="0"/>
                <w:i w:val="0"/>
                <w:color w:val="212121"/>
                <w:sz w:val="16"/>
              </w:rPr>
              <w:t>6/6–6/12</w:t>
            </w:r>
          </w:p>
        </w:tc>
        <w:tc>
          <w:tcPr>
            <w:tcW w:type="dxa" w:w="950"/>
            <w:vAlign w:val="top"/>
          </w:tcPr>
          <w:p>
            <w:pPr>
              <w:spacing w:after="40" w:before="0" w:line="259" w:lineRule="auto"/>
            </w:pPr>
            <w:r>
              <w:rPr>
                <w:rFonts w:ascii="Calibri" w:hAnsi="Calibri"/>
                <w:b w:val="0"/>
                <w:i w:val="0"/>
                <w:color w:val="212121"/>
                <w:sz w:val="16"/>
              </w:rPr>
              <w:t>&lt; 6/18 (impairment); &lt; 3/60 (blindness)</w:t>
            </w:r>
          </w:p>
        </w:tc>
        <w:tc>
          <w:tcPr>
            <w:tcW w:type="dxa" w:w="1036"/>
            <w:vAlign w:val="top"/>
          </w:tcPr>
          <w:p>
            <w:pPr>
              <w:spacing w:after="40" w:before="0" w:line="259" w:lineRule="auto"/>
            </w:pPr>
            <w:r>
              <w:rPr>
                <w:rFonts w:ascii="Calibri" w:hAnsi="Calibri"/>
                <w:b w:val="0"/>
                <w:i w:val="0"/>
                <w:color w:val="212121"/>
                <w:sz w:val="16"/>
              </w:rPr>
              <w:t>Defines severity category; pinhole/refraction separates correctable refractive error</w:t>
            </w:r>
          </w:p>
        </w:tc>
        <w:tc>
          <w:tcPr>
            <w:tcW w:type="dxa" w:w="1036"/>
            <w:vAlign w:val="top"/>
          </w:tcPr>
          <w:p>
            <w:pPr>
              <w:spacing w:after="40" w:before="0" w:line="259" w:lineRule="auto"/>
            </w:pPr>
            <w:r>
              <w:rPr>
                <w:rFonts w:ascii="Calibri" w:hAnsi="Calibri"/>
                <w:b w:val="0"/>
                <w:i w:val="0"/>
                <w:color w:val="212121"/>
                <w:sz w:val="16"/>
              </w:rPr>
              <w:t>All patients, refractive &amp; cataract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Test each eye separately, record both presenting and corrected acuity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Refractive status</w:t>
            </w:r>
          </w:p>
        </w:tc>
        <w:tc>
          <w:tcPr>
            <w:tcW w:type="dxa" w:w="892"/>
            <w:vAlign w:val="top"/>
          </w:tcPr>
          <w:p>
            <w:pPr>
              <w:spacing w:after="40" w:before="0" w:line="259" w:lineRule="auto"/>
            </w:pPr>
            <w:r>
              <w:rPr>
                <w:rFonts w:ascii="Calibri" w:hAnsi="Calibri"/>
                <w:b w:val="0"/>
                <w:i w:val="0"/>
                <w:color w:val="212121"/>
                <w:sz w:val="16"/>
              </w:rPr>
              <w:t>Autorefraction &amp; retinoscopy</w:t>
            </w:r>
          </w:p>
        </w:tc>
        <w:tc>
          <w:tcPr>
            <w:tcW w:type="dxa" w:w="950"/>
            <w:vAlign w:val="top"/>
          </w:tcPr>
          <w:p>
            <w:pPr>
              <w:spacing w:after="40" w:before="0" w:line="259" w:lineRule="auto"/>
            </w:pPr>
            <w:r>
              <w:rPr>
                <w:rFonts w:ascii="Calibri" w:hAnsi="Calibri"/>
                <w:b w:val="0"/>
                <w:i w:val="0"/>
                <w:color w:val="212121"/>
                <w:sz w:val="16"/>
              </w:rPr>
              <w:t>Emmetropia / corrected to 6/6</w:t>
            </w:r>
          </w:p>
        </w:tc>
        <w:tc>
          <w:tcPr>
            <w:tcW w:type="dxa" w:w="950"/>
            <w:vAlign w:val="top"/>
          </w:tcPr>
          <w:p>
            <w:pPr>
              <w:spacing w:after="40" w:before="0" w:line="259" w:lineRule="auto"/>
            </w:pPr>
            <w:r>
              <w:rPr>
                <w:rFonts w:ascii="Calibri" w:hAnsi="Calibri"/>
                <w:b w:val="0"/>
                <w:i w:val="0"/>
                <w:color w:val="212121"/>
                <w:sz w:val="16"/>
              </w:rPr>
              <w:t>Significant myopia, hyperopia, astigmatism or presbyopia</w:t>
            </w:r>
          </w:p>
        </w:tc>
        <w:tc>
          <w:tcPr>
            <w:tcW w:type="dxa" w:w="1036"/>
            <w:vAlign w:val="top"/>
          </w:tcPr>
          <w:p>
            <w:pPr>
              <w:spacing w:after="40" w:before="0" w:line="259" w:lineRule="auto"/>
            </w:pPr>
            <w:r>
              <w:rPr>
                <w:rFonts w:ascii="Calibri" w:hAnsi="Calibri"/>
                <w:b w:val="0"/>
                <w:i w:val="0"/>
                <w:color w:val="212121"/>
                <w:sz w:val="16"/>
              </w:rPr>
              <w:t>Quantifies the correctable component of vision loss</w:t>
            </w:r>
          </w:p>
        </w:tc>
        <w:tc>
          <w:tcPr>
            <w:tcW w:type="dxa" w:w="1036"/>
            <w:vAlign w:val="top"/>
          </w:tcPr>
          <w:p>
            <w:pPr>
              <w:spacing w:after="40" w:before="0" w:line="259" w:lineRule="auto"/>
            </w:pPr>
            <w:r>
              <w:rPr>
                <w:rFonts w:ascii="Calibri" w:hAnsi="Calibri"/>
                <w:b w:val="0"/>
                <w:i w:val="0"/>
                <w:color w:val="212121"/>
                <w:sz w:val="16"/>
              </w:rPr>
              <w:t>Children, students, adults ≥ 40</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Use cycloplegic refraction in children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Tonometry</w:t>
            </w:r>
          </w:p>
        </w:tc>
        <w:tc>
          <w:tcPr>
            <w:tcW w:type="dxa" w:w="1036"/>
            <w:vAlign w:val="top"/>
          </w:tcPr>
          <w:p>
            <w:pPr>
              <w:spacing w:after="40" w:before="0" w:line="259" w:lineRule="auto"/>
            </w:pPr>
            <w:r>
              <w:rPr>
                <w:rFonts w:ascii="Calibri" w:hAnsi="Calibri"/>
                <w:b w:val="0"/>
                <w:i w:val="0"/>
                <w:color w:val="212121"/>
                <w:sz w:val="16"/>
              </w:rPr>
              <w:t>Intraocular pressure</w:t>
            </w:r>
          </w:p>
        </w:tc>
        <w:tc>
          <w:tcPr>
            <w:tcW w:type="dxa" w:w="892"/>
            <w:vAlign w:val="top"/>
          </w:tcPr>
          <w:p>
            <w:pPr>
              <w:spacing w:after="40" w:before="0" w:line="259" w:lineRule="auto"/>
            </w:pPr>
            <w:r>
              <w:rPr>
                <w:rFonts w:ascii="Calibri" w:hAnsi="Calibri"/>
                <w:b w:val="0"/>
                <w:i w:val="0"/>
                <w:color w:val="212121"/>
                <w:sz w:val="16"/>
              </w:rPr>
              <w:t>Goldmann applanation tonometry</w:t>
            </w:r>
          </w:p>
        </w:tc>
        <w:tc>
          <w:tcPr>
            <w:tcW w:type="dxa" w:w="950"/>
            <w:vAlign w:val="top"/>
          </w:tcPr>
          <w:p>
            <w:pPr>
              <w:spacing w:after="40" w:before="0" w:line="259" w:lineRule="auto"/>
            </w:pPr>
            <w:r>
              <w:rPr>
                <w:rFonts w:ascii="Calibri" w:hAnsi="Calibri"/>
                <w:b w:val="0"/>
                <w:i w:val="0"/>
                <w:color w:val="212121"/>
                <w:sz w:val="16"/>
              </w:rPr>
              <w:t>10–21 mmHg</w:t>
            </w:r>
          </w:p>
        </w:tc>
        <w:tc>
          <w:tcPr>
            <w:tcW w:type="dxa" w:w="950"/>
            <w:vAlign w:val="top"/>
          </w:tcPr>
          <w:p>
            <w:pPr>
              <w:spacing w:after="40" w:before="0" w:line="259" w:lineRule="auto"/>
            </w:pPr>
            <w:r>
              <w:rPr>
                <w:rFonts w:ascii="Calibri" w:hAnsi="Calibri"/>
                <w:b w:val="0"/>
                <w:i w:val="0"/>
                <w:color w:val="212121"/>
                <w:sz w:val="16"/>
              </w:rPr>
              <w:t>&gt; 21 mmHg</w:t>
            </w:r>
          </w:p>
        </w:tc>
        <w:tc>
          <w:tcPr>
            <w:tcW w:type="dxa" w:w="1036"/>
            <w:vAlign w:val="top"/>
          </w:tcPr>
          <w:p>
            <w:pPr>
              <w:spacing w:after="40" w:before="0" w:line="259" w:lineRule="auto"/>
            </w:pPr>
            <w:r>
              <w:rPr>
                <w:rFonts w:ascii="Calibri" w:hAnsi="Calibri"/>
                <w:b w:val="0"/>
                <w:i w:val="0"/>
                <w:color w:val="212121"/>
                <w:sz w:val="16"/>
              </w:rPr>
              <w:t>Screens for glaucoma; must be read with disc and field</w:t>
            </w:r>
          </w:p>
        </w:tc>
        <w:tc>
          <w:tcPr>
            <w:tcW w:type="dxa" w:w="1036"/>
            <w:vAlign w:val="top"/>
          </w:tcPr>
          <w:p>
            <w:pPr>
              <w:spacing w:after="40" w:before="0" w:line="259" w:lineRule="auto"/>
            </w:pPr>
            <w:r>
              <w:rPr>
                <w:rFonts w:ascii="Calibri" w:hAnsi="Calibri"/>
                <w:b w:val="0"/>
                <w:i w:val="0"/>
                <w:color w:val="212121"/>
                <w:sz w:val="16"/>
              </w:rPr>
              <w:t>Adults ≥ 40, family history of glaucoma</w:t>
            </w:r>
          </w:p>
        </w:tc>
        <w:tc>
          <w:tcPr>
            <w:tcW w:type="dxa" w:w="720"/>
            <w:vAlign w:val="top"/>
          </w:tcPr>
          <w:p>
            <w:pPr>
              <w:spacing w:after="40" w:before="0" w:line="259" w:lineRule="auto"/>
            </w:pPr>
            <w:r>
              <w:rPr>
                <w:rFonts w:ascii="Calibri" w:hAnsi="Calibri"/>
                <w:b w:val="0"/>
                <w:i w:val="0"/>
                <w:color w:val="212121"/>
                <w:sz w:val="16"/>
              </w:rPr>
              <w:t>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single normal reading does not exclude glaucoma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Fundus evaluation</w:t>
            </w:r>
          </w:p>
        </w:tc>
        <w:tc>
          <w:tcPr>
            <w:tcW w:type="dxa" w:w="1036"/>
            <w:vAlign w:val="top"/>
          </w:tcPr>
          <w:p>
            <w:pPr>
              <w:spacing w:after="40" w:before="0" w:line="259" w:lineRule="auto"/>
            </w:pPr>
            <w:r>
              <w:rPr>
                <w:rFonts w:ascii="Calibri" w:hAnsi="Calibri"/>
                <w:b w:val="0"/>
                <w:i w:val="0"/>
                <w:color w:val="212121"/>
                <w:sz w:val="16"/>
              </w:rPr>
              <w:t>Optic disc &amp; retina</w:t>
            </w:r>
          </w:p>
        </w:tc>
        <w:tc>
          <w:tcPr>
            <w:tcW w:type="dxa" w:w="892"/>
            <w:vAlign w:val="top"/>
          </w:tcPr>
          <w:p>
            <w:pPr>
              <w:spacing w:after="40" w:before="0" w:line="259" w:lineRule="auto"/>
            </w:pPr>
            <w:r>
              <w:rPr>
                <w:rFonts w:ascii="Calibri" w:hAnsi="Calibri"/>
                <w:b w:val="0"/>
                <w:i w:val="0"/>
                <w:color w:val="212121"/>
                <w:sz w:val="16"/>
              </w:rPr>
              <w:t>Dilated ophthalmoscopy / fundus photography</w:t>
            </w:r>
          </w:p>
        </w:tc>
        <w:tc>
          <w:tcPr>
            <w:tcW w:type="dxa" w:w="950"/>
            <w:vAlign w:val="top"/>
          </w:tcPr>
          <w:p>
            <w:pPr>
              <w:spacing w:after="40" w:before="0" w:line="259" w:lineRule="auto"/>
            </w:pPr>
            <w:r>
              <w:rPr>
                <w:rFonts w:ascii="Calibri" w:hAnsi="Calibri"/>
                <w:b w:val="0"/>
                <w:i w:val="0"/>
                <w:color w:val="212121"/>
                <w:sz w:val="16"/>
              </w:rPr>
              <w:t>Healthy disc, clear retina</w:t>
            </w:r>
          </w:p>
        </w:tc>
        <w:tc>
          <w:tcPr>
            <w:tcW w:type="dxa" w:w="950"/>
            <w:vAlign w:val="top"/>
          </w:tcPr>
          <w:p>
            <w:pPr>
              <w:spacing w:after="40" w:before="0" w:line="259" w:lineRule="auto"/>
            </w:pPr>
            <w:r>
              <w:rPr>
                <w:rFonts w:ascii="Calibri" w:hAnsi="Calibri"/>
                <w:b w:val="0"/>
                <w:i w:val="0"/>
                <w:color w:val="212121"/>
                <w:sz w:val="16"/>
              </w:rPr>
              <w:t>Disc cupping, microaneurysms, haemorrhages, drusen, exudates</w:t>
            </w:r>
          </w:p>
        </w:tc>
        <w:tc>
          <w:tcPr>
            <w:tcW w:type="dxa" w:w="1036"/>
            <w:vAlign w:val="top"/>
          </w:tcPr>
          <w:p>
            <w:pPr>
              <w:spacing w:after="40" w:before="0" w:line="259" w:lineRule="auto"/>
            </w:pPr>
            <w:r>
              <w:rPr>
                <w:rFonts w:ascii="Calibri" w:hAnsi="Calibri"/>
                <w:b w:val="0"/>
                <w:i w:val="0"/>
                <w:color w:val="212121"/>
                <w:sz w:val="16"/>
              </w:rPr>
              <w:t>Detects glaucoma, diabetic retinopathy and macular degeneration</w:t>
            </w:r>
          </w:p>
        </w:tc>
        <w:tc>
          <w:tcPr>
            <w:tcW w:type="dxa" w:w="1036"/>
            <w:vAlign w:val="top"/>
          </w:tcPr>
          <w:p>
            <w:pPr>
              <w:spacing w:after="40" w:before="0" w:line="259" w:lineRule="auto"/>
            </w:pPr>
            <w:r>
              <w:rPr>
                <w:rFonts w:ascii="Calibri" w:hAnsi="Calibri"/>
                <w:b w:val="0"/>
                <w:i w:val="0"/>
                <w:color w:val="212121"/>
                <w:sz w:val="16"/>
              </w:rPr>
              <w:t>Diabetics, hypertensives,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Dilate the pupil; annual screening in diabetics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RNFL &amp; macula</w:t>
            </w:r>
          </w:p>
        </w:tc>
        <w:tc>
          <w:tcPr>
            <w:tcW w:type="dxa" w:w="892"/>
            <w:vAlign w:val="top"/>
          </w:tcPr>
          <w:p>
            <w:pPr>
              <w:spacing w:after="40" w:before="0" w:line="259" w:lineRule="auto"/>
            </w:pPr>
            <w:r>
              <w:rPr>
                <w:rFonts w:ascii="Calibri" w:hAnsi="Calibri"/>
                <w:b w:val="0"/>
                <w:i w:val="0"/>
                <w:color w:val="212121"/>
                <w:sz w:val="16"/>
              </w:rPr>
              <w:t>Optical coherence tomography (OCT)</w:t>
            </w:r>
          </w:p>
        </w:tc>
        <w:tc>
          <w:tcPr>
            <w:tcW w:type="dxa" w:w="950"/>
            <w:vAlign w:val="top"/>
          </w:tcPr>
          <w:p>
            <w:pPr>
              <w:spacing w:after="40" w:before="0" w:line="259" w:lineRule="auto"/>
            </w:pPr>
            <w:r>
              <w:rPr>
                <w:rFonts w:ascii="Calibri" w:hAnsi="Calibri"/>
                <w:b w:val="0"/>
                <w:i w:val="0"/>
                <w:color w:val="212121"/>
                <w:sz w:val="16"/>
              </w:rPr>
              <w:t>Normal RNFL &amp; foveal contour</w:t>
            </w:r>
          </w:p>
        </w:tc>
        <w:tc>
          <w:tcPr>
            <w:tcW w:type="dxa" w:w="950"/>
            <w:vAlign w:val="top"/>
          </w:tcPr>
          <w:p>
            <w:pPr>
              <w:spacing w:after="40" w:before="0" w:line="259" w:lineRule="auto"/>
            </w:pPr>
            <w:r>
              <w:rPr>
                <w:rFonts w:ascii="Calibri" w:hAnsi="Calibri"/>
                <w:b w:val="0"/>
                <w:i w:val="0"/>
                <w:color w:val="212121"/>
                <w:sz w:val="16"/>
              </w:rPr>
              <w:t>RNFL thinning, macular oedema, sub-retinal fluid</w:t>
            </w:r>
          </w:p>
        </w:tc>
        <w:tc>
          <w:tcPr>
            <w:tcW w:type="dxa" w:w="1036"/>
            <w:vAlign w:val="top"/>
          </w:tcPr>
          <w:p>
            <w:pPr>
              <w:spacing w:after="40" w:before="0" w:line="259" w:lineRule="auto"/>
            </w:pPr>
            <w:r>
              <w:rPr>
                <w:rFonts w:ascii="Calibri" w:hAnsi="Calibri"/>
                <w:b w:val="0"/>
                <w:i w:val="0"/>
                <w:color w:val="212121"/>
                <w:sz w:val="16"/>
              </w:rPr>
              <w:t>Quantifies glaucomatous damage and maculopathy</w:t>
            </w:r>
          </w:p>
        </w:tc>
        <w:tc>
          <w:tcPr>
            <w:tcW w:type="dxa" w:w="1036"/>
            <w:vAlign w:val="top"/>
          </w:tcPr>
          <w:p>
            <w:pPr>
              <w:spacing w:after="40" w:before="0" w:line="259" w:lineRule="auto"/>
            </w:pPr>
            <w:r>
              <w:rPr>
                <w:rFonts w:ascii="Calibri" w:hAnsi="Calibri"/>
                <w:b w:val="0"/>
                <w:i w:val="0"/>
                <w:color w:val="212121"/>
                <w:sz w:val="16"/>
              </w:rPr>
              <w:t>Glaucoma, diabetic maculopathy, AMD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Non-invasive; tracks progression over time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Perimetry</w:t>
            </w:r>
          </w:p>
        </w:tc>
        <w:tc>
          <w:tcPr>
            <w:tcW w:type="dxa" w:w="1036"/>
            <w:vAlign w:val="top"/>
          </w:tcPr>
          <w:p>
            <w:pPr>
              <w:spacing w:after="40" w:before="0" w:line="259" w:lineRule="auto"/>
            </w:pPr>
            <w:r>
              <w:rPr>
                <w:rFonts w:ascii="Calibri" w:hAnsi="Calibri"/>
                <w:b w:val="0"/>
                <w:i w:val="0"/>
                <w:color w:val="212121"/>
                <w:sz w:val="16"/>
              </w:rPr>
              <w:t>Visual field</w:t>
            </w:r>
          </w:p>
        </w:tc>
        <w:tc>
          <w:tcPr>
            <w:tcW w:type="dxa" w:w="892"/>
            <w:vAlign w:val="top"/>
          </w:tcPr>
          <w:p>
            <w:pPr>
              <w:spacing w:after="40" w:before="0" w:line="259" w:lineRule="auto"/>
            </w:pPr>
            <w:r>
              <w:rPr>
                <w:rFonts w:ascii="Calibri" w:hAnsi="Calibri"/>
                <w:b w:val="0"/>
                <w:i w:val="0"/>
                <w:color w:val="212121"/>
                <w:sz w:val="16"/>
              </w:rPr>
              <w:t>Automated static perimetry</w:t>
            </w:r>
          </w:p>
        </w:tc>
        <w:tc>
          <w:tcPr>
            <w:tcW w:type="dxa" w:w="950"/>
            <w:vAlign w:val="top"/>
          </w:tcPr>
          <w:p>
            <w:pPr>
              <w:spacing w:after="40" w:before="0" w:line="259" w:lineRule="auto"/>
            </w:pPr>
            <w:r>
              <w:rPr>
                <w:rFonts w:ascii="Calibri" w:hAnsi="Calibri"/>
                <w:b w:val="0"/>
                <w:i w:val="0"/>
                <w:color w:val="212121"/>
                <w:sz w:val="16"/>
              </w:rPr>
              <w:t>Full field</w:t>
            </w:r>
          </w:p>
        </w:tc>
        <w:tc>
          <w:tcPr>
            <w:tcW w:type="dxa" w:w="950"/>
            <w:vAlign w:val="top"/>
          </w:tcPr>
          <w:p>
            <w:pPr>
              <w:spacing w:after="40" w:before="0" w:line="259" w:lineRule="auto"/>
            </w:pPr>
            <w:r>
              <w:rPr>
                <w:rFonts w:ascii="Calibri" w:hAnsi="Calibri"/>
                <w:b w:val="0"/>
                <w:i w:val="0"/>
                <w:color w:val="212121"/>
                <w:sz w:val="16"/>
              </w:rPr>
              <w:t>Arcuate/nasal defects, generalised constriction, field ≤ 10°</w:t>
            </w:r>
          </w:p>
        </w:tc>
        <w:tc>
          <w:tcPr>
            <w:tcW w:type="dxa" w:w="1036"/>
            <w:vAlign w:val="top"/>
          </w:tcPr>
          <w:p>
            <w:pPr>
              <w:spacing w:after="40" w:before="0" w:line="259" w:lineRule="auto"/>
            </w:pPr>
            <w:r>
              <w:rPr>
                <w:rFonts w:ascii="Calibri" w:hAnsi="Calibri"/>
                <w:b w:val="0"/>
                <w:i w:val="0"/>
                <w:color w:val="212121"/>
                <w:sz w:val="16"/>
              </w:rPr>
              <w:t>Stages glaucoma and neuro-visual loss; field ≤ 10° qualifies as blindness</w:t>
            </w:r>
          </w:p>
        </w:tc>
        <w:tc>
          <w:tcPr>
            <w:tcW w:type="dxa" w:w="1036"/>
            <w:vAlign w:val="top"/>
          </w:tcPr>
          <w:p>
            <w:pPr>
              <w:spacing w:after="40" w:before="0" w:line="259" w:lineRule="auto"/>
            </w:pPr>
            <w:r>
              <w:rPr>
                <w:rFonts w:ascii="Calibri" w:hAnsi="Calibri"/>
                <w:b w:val="0"/>
                <w:i w:val="0"/>
                <w:color w:val="212121"/>
                <w:sz w:val="16"/>
              </w:rPr>
              <w:t>Glaucoma suspects, neuro-ophthalmic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Check reliability indices for false results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Anterior segment</w:t>
            </w:r>
          </w:p>
        </w:tc>
        <w:tc>
          <w:tcPr>
            <w:tcW w:type="dxa" w:w="1036"/>
            <w:vAlign w:val="top"/>
          </w:tcPr>
          <w:p>
            <w:pPr>
              <w:spacing w:after="40" w:before="0" w:line="259" w:lineRule="auto"/>
            </w:pPr>
            <w:r>
              <w:rPr>
                <w:rFonts w:ascii="Calibri" w:hAnsi="Calibri"/>
                <w:b w:val="0"/>
                <w:i w:val="0"/>
                <w:color w:val="212121"/>
                <w:sz w:val="16"/>
              </w:rPr>
              <w:t>Lens &amp; cornea</w:t>
            </w:r>
          </w:p>
        </w:tc>
        <w:tc>
          <w:tcPr>
            <w:tcW w:type="dxa" w:w="892"/>
            <w:vAlign w:val="top"/>
          </w:tcPr>
          <w:p>
            <w:pPr>
              <w:spacing w:after="40" w:before="0" w:line="259" w:lineRule="auto"/>
            </w:pPr>
            <w:r>
              <w:rPr>
                <w:rFonts w:ascii="Calibri" w:hAnsi="Calibri"/>
                <w:b w:val="0"/>
                <w:i w:val="0"/>
                <w:color w:val="212121"/>
                <w:sz w:val="16"/>
              </w:rPr>
              <w:t>Slit-lamp biomicroscopy</w:t>
            </w:r>
          </w:p>
        </w:tc>
        <w:tc>
          <w:tcPr>
            <w:tcW w:type="dxa" w:w="950"/>
            <w:vAlign w:val="top"/>
          </w:tcPr>
          <w:p>
            <w:pPr>
              <w:spacing w:after="40" w:before="0" w:line="259" w:lineRule="auto"/>
            </w:pPr>
            <w:r>
              <w:rPr>
                <w:rFonts w:ascii="Calibri" w:hAnsi="Calibri"/>
                <w:b w:val="0"/>
                <w:i w:val="0"/>
                <w:color w:val="212121"/>
                <w:sz w:val="16"/>
              </w:rPr>
              <w:t>Clear cornea and lens</w:t>
            </w:r>
          </w:p>
        </w:tc>
        <w:tc>
          <w:tcPr>
            <w:tcW w:type="dxa" w:w="950"/>
            <w:vAlign w:val="top"/>
          </w:tcPr>
          <w:p>
            <w:pPr>
              <w:spacing w:after="40" w:before="0" w:line="259" w:lineRule="auto"/>
            </w:pPr>
            <w:r>
              <w:rPr>
                <w:rFonts w:ascii="Calibri" w:hAnsi="Calibri"/>
                <w:b w:val="0"/>
                <w:i w:val="0"/>
                <w:color w:val="212121"/>
                <w:sz w:val="16"/>
              </w:rPr>
              <w:t>Cataract grade, corneal opacity or vascularised scar</w:t>
            </w:r>
          </w:p>
        </w:tc>
        <w:tc>
          <w:tcPr>
            <w:tcW w:type="dxa" w:w="1036"/>
            <w:vAlign w:val="top"/>
          </w:tcPr>
          <w:p>
            <w:pPr>
              <w:spacing w:after="40" w:before="0" w:line="259" w:lineRule="auto"/>
            </w:pPr>
            <w:r>
              <w:rPr>
                <w:rFonts w:ascii="Calibri" w:hAnsi="Calibri"/>
                <w:b w:val="0"/>
                <w:i w:val="0"/>
                <w:color w:val="212121"/>
                <w:sz w:val="16"/>
              </w:rPr>
              <w:t>Grades cataract and corneal disease and guides surgery</w:t>
            </w:r>
          </w:p>
        </w:tc>
        <w:tc>
          <w:tcPr>
            <w:tcW w:type="dxa" w:w="1036"/>
            <w:vAlign w:val="top"/>
          </w:tcPr>
          <w:p>
            <w:pPr>
              <w:spacing w:after="40" w:before="0" w:line="259" w:lineRule="auto"/>
            </w:pPr>
            <w:r>
              <w:rPr>
                <w:rFonts w:ascii="Calibri" w:hAnsi="Calibri"/>
                <w:b w:val="0"/>
                <w:i w:val="0"/>
                <w:color w:val="212121"/>
                <w:sz w:val="16"/>
              </w:rPr>
              <w:t>Elderly, trauma &amp; keratitis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Assess media clarity before planning surgery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Systemic / metabolic</w:t>
            </w:r>
          </w:p>
        </w:tc>
        <w:tc>
          <w:tcPr>
            <w:tcW w:type="dxa" w:w="1036"/>
            <w:vAlign w:val="top"/>
          </w:tcPr>
          <w:p>
            <w:pPr>
              <w:spacing w:after="40" w:before="0" w:line="259" w:lineRule="auto"/>
            </w:pPr>
            <w:r>
              <w:rPr>
                <w:rFonts w:ascii="Calibri" w:hAnsi="Calibri"/>
                <w:b w:val="0"/>
                <w:i w:val="0"/>
                <w:color w:val="212121"/>
                <w:sz w:val="16"/>
              </w:rPr>
              <w:t>Glycaemic control (HbA1c, glucose)</w:t>
            </w:r>
          </w:p>
        </w:tc>
        <w:tc>
          <w:tcPr>
            <w:tcW w:type="dxa" w:w="892"/>
            <w:vAlign w:val="top"/>
          </w:tcPr>
          <w:p>
            <w:pPr>
              <w:spacing w:after="40" w:before="0" w:line="259" w:lineRule="auto"/>
            </w:pPr>
            <w:r>
              <w:rPr>
                <w:rFonts w:ascii="Calibri" w:hAnsi="Calibri"/>
                <w:b w:val="0"/>
                <w:i w:val="0"/>
                <w:color w:val="212121"/>
                <w:sz w:val="16"/>
              </w:rPr>
              <w:t>Blood glucose &amp; HbA1c</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Drives diabetic-retinopathy risk and screening interval</w:t>
            </w:r>
          </w:p>
        </w:tc>
        <w:tc>
          <w:tcPr>
            <w:tcW w:type="dxa" w:w="1036"/>
            <w:vAlign w:val="top"/>
          </w:tcPr>
          <w:p>
            <w:pPr>
              <w:spacing w:after="40" w:before="0" w:line="259" w:lineRule="auto"/>
            </w:pPr>
            <w:r>
              <w:rPr>
                <w:rFonts w:ascii="Calibri" w:hAnsi="Calibri"/>
                <w:b w:val="0"/>
                <w:i w:val="0"/>
                <w:color w:val="212121"/>
                <w:sz w:val="16"/>
              </w:rPr>
              <w:t>Diabetics, prediabetics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Tighter control slows retinopathy progression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Blurred distance/near vision, night blindness, field loss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Localises the problem (near vs distance, central vs peripheral, sudden vs gradual)</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Speed of onset guides urgency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Ocular &amp; systemic history</w:t>
            </w:r>
          </w:p>
        </w:tc>
        <w:tc>
          <w:tcPr>
            <w:tcW w:type="dxa" w:w="979"/>
            <w:vAlign w:val="top"/>
          </w:tcPr>
          <w:p>
            <w:pPr>
              <w:spacing w:after="40" w:before="0" w:line="259" w:lineRule="auto"/>
            </w:pPr>
            <w:r>
              <w:rPr>
                <w:rFonts w:ascii="Calibri" w:hAnsi="Calibri"/>
                <w:b w:val="0"/>
                <w:i w:val="0"/>
                <w:color w:val="212121"/>
                <w:sz w:val="16"/>
              </w:rPr>
              <w:t>Diabetes, hypertension, steroid/ethambutol use, prior surgery or trauma</w:t>
            </w:r>
          </w:p>
        </w:tc>
        <w:tc>
          <w:tcPr>
            <w:tcW w:type="dxa" w:w="950"/>
            <w:vAlign w:val="top"/>
          </w:tcPr>
          <w:p>
            <w:pPr>
              <w:spacing w:after="40" w:before="0" w:line="259" w:lineRule="auto"/>
            </w:pPr>
            <w:r>
              <w:rPr>
                <w:rFonts w:ascii="Calibri" w:hAnsi="Calibri"/>
                <w:b w:val="0"/>
                <w:i w:val="0"/>
                <w:color w:val="212121"/>
                <w:sz w:val="16"/>
              </w:rPr>
              <w:t>No relevant history</w:t>
            </w:r>
          </w:p>
        </w:tc>
        <w:tc>
          <w:tcPr>
            <w:tcW w:type="dxa" w:w="950"/>
            <w:vAlign w:val="top"/>
          </w:tcPr>
          <w:p>
            <w:pPr>
              <w:spacing w:after="40" w:before="0" w:line="259" w:lineRule="auto"/>
            </w:pPr>
            <w:r>
              <w:rPr>
                <w:rFonts w:ascii="Calibri" w:hAnsi="Calibri"/>
                <w:b w:val="0"/>
                <w:i w:val="0"/>
                <w:color w:val="212121"/>
                <w:sz w:val="16"/>
              </w:rPr>
              <w:t>Positive history</w:t>
            </w:r>
          </w:p>
        </w:tc>
        <w:tc>
          <w:tcPr>
            <w:tcW w:type="dxa" w:w="1036"/>
            <w:vAlign w:val="top"/>
          </w:tcPr>
          <w:p>
            <w:pPr>
              <w:spacing w:after="40" w:before="0" w:line="259" w:lineRule="auto"/>
            </w:pPr>
            <w:r>
              <w:rPr>
                <w:rFonts w:ascii="Calibri" w:hAnsi="Calibri"/>
                <w:b w:val="0"/>
                <w:i w:val="0"/>
                <w:color w:val="212121"/>
                <w:sz w:val="16"/>
              </w:rPr>
              <w:t>Identifies systemic and iatrogenic drivers of vision loss</w:t>
            </w:r>
          </w:p>
        </w:tc>
        <w:tc>
          <w:tcPr>
            <w:tcW w:type="dxa" w:w="1036"/>
            <w:vAlign w:val="top"/>
          </w:tcPr>
          <w:p>
            <w:pPr>
              <w:spacing w:after="40" w:before="0" w:line="259" w:lineRule="auto"/>
            </w:pPr>
            <w:r>
              <w:rPr>
                <w:rFonts w:ascii="Calibri" w:hAnsi="Calibri"/>
                <w:b w:val="0"/>
                <w:i w:val="0"/>
                <w:color w:val="212121"/>
                <w:sz w:val="16"/>
              </w:rPr>
              <w:t>Diabetics, hypertensives, drug-exposed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specifically about traditional/unprescribed eye drops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birth history</w:t>
            </w:r>
          </w:p>
        </w:tc>
        <w:tc>
          <w:tcPr>
            <w:tcW w:type="dxa" w:w="979"/>
            <w:vAlign w:val="top"/>
          </w:tcPr>
          <w:p>
            <w:pPr>
              <w:spacing w:after="40" w:before="0" w:line="259" w:lineRule="auto"/>
            </w:pPr>
            <w:r>
              <w:rPr>
                <w:rFonts w:ascii="Calibri" w:hAnsi="Calibri"/>
                <w:b w:val="0"/>
                <w:i w:val="0"/>
                <w:color w:val="212121"/>
                <w:sz w:val="16"/>
              </w:rPr>
              <w:t>Glaucoma, hereditary retinal dystrophy, consanguinity, prematurity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affected relative or preterm birth</w:t>
            </w:r>
          </w:p>
        </w:tc>
        <w:tc>
          <w:tcPr>
            <w:tcW w:type="dxa" w:w="1036"/>
            <w:vAlign w:val="top"/>
          </w:tcPr>
          <w:p>
            <w:pPr>
              <w:spacing w:after="40" w:before="0" w:line="259" w:lineRule="auto"/>
            </w:pPr>
            <w:r>
              <w:rPr>
                <w:rFonts w:ascii="Calibri" w:hAnsi="Calibri"/>
                <w:b w:val="0"/>
                <w:i w:val="0"/>
                <w:color w:val="212121"/>
                <w:sz w:val="16"/>
              </w:rPr>
              <w:t>Flags genetic and congenital/ROP risk</w:t>
            </w:r>
          </w:p>
        </w:tc>
        <w:tc>
          <w:tcPr>
            <w:tcW w:type="dxa" w:w="1036"/>
            <w:vAlign w:val="top"/>
          </w:tcPr>
          <w:p>
            <w:pPr>
              <w:spacing w:after="40" w:before="0" w:line="259" w:lineRule="auto"/>
            </w:pPr>
            <w:r>
              <w:rPr>
                <w:rFonts w:ascii="Calibri" w:hAnsi="Calibri"/>
                <w:b w:val="0"/>
                <w:i w:val="0"/>
                <w:color w:val="212121"/>
                <w:sz w:val="16"/>
              </w:rPr>
              <w:t>Relatives, children of consanguineous unions, preterm infants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Record age at onset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Pupil reactions</w:t>
            </w:r>
          </w:p>
        </w:tc>
        <w:tc>
          <w:tcPr>
            <w:tcW w:type="dxa" w:w="979"/>
            <w:vAlign w:val="top"/>
          </w:tcPr>
          <w:p>
            <w:pPr>
              <w:spacing w:after="40" w:before="0" w:line="259" w:lineRule="auto"/>
            </w:pPr>
            <w:r>
              <w:rPr>
                <w:rFonts w:ascii="Calibri" w:hAnsi="Calibri"/>
                <w:b w:val="0"/>
                <w:i w:val="0"/>
                <w:color w:val="212121"/>
                <w:sz w:val="16"/>
              </w:rPr>
              <w:t>Swinging-flashlight test (RAPD)</w:t>
            </w:r>
          </w:p>
        </w:tc>
        <w:tc>
          <w:tcPr>
            <w:tcW w:type="dxa" w:w="950"/>
            <w:vAlign w:val="top"/>
          </w:tcPr>
          <w:p>
            <w:pPr>
              <w:spacing w:after="40" w:before="0" w:line="259" w:lineRule="auto"/>
            </w:pPr>
            <w:r>
              <w:rPr>
                <w:rFonts w:ascii="Calibri" w:hAnsi="Calibri"/>
                <w:b w:val="0"/>
                <w:i w:val="0"/>
                <w:color w:val="212121"/>
                <w:sz w:val="16"/>
              </w:rPr>
              <w:t>Brisk, equal reactions</w:t>
            </w:r>
          </w:p>
        </w:tc>
        <w:tc>
          <w:tcPr>
            <w:tcW w:type="dxa" w:w="950"/>
            <w:vAlign w:val="top"/>
          </w:tcPr>
          <w:p>
            <w:pPr>
              <w:spacing w:after="40" w:before="0" w:line="259" w:lineRule="auto"/>
            </w:pPr>
            <w:r>
              <w:rPr>
                <w:rFonts w:ascii="Calibri" w:hAnsi="Calibri"/>
                <w:b w:val="0"/>
                <w:i w:val="0"/>
                <w:color w:val="212121"/>
                <w:sz w:val="16"/>
              </w:rPr>
              <w:t>Relative afferent pupillary defect present</w:t>
            </w:r>
          </w:p>
        </w:tc>
        <w:tc>
          <w:tcPr>
            <w:tcW w:type="dxa" w:w="1036"/>
            <w:vAlign w:val="top"/>
          </w:tcPr>
          <w:p>
            <w:pPr>
              <w:spacing w:after="40" w:before="0" w:line="259" w:lineRule="auto"/>
            </w:pPr>
            <w:r>
              <w:rPr>
                <w:rFonts w:ascii="Calibri" w:hAnsi="Calibri"/>
                <w:b w:val="0"/>
                <w:i w:val="0"/>
                <w:color w:val="212121"/>
                <w:sz w:val="16"/>
              </w:rPr>
              <w:t>Indicates asymmetric optic-nerve or extensive retinal disease</w:t>
            </w:r>
          </w:p>
        </w:tc>
        <w:tc>
          <w:tcPr>
            <w:tcW w:type="dxa" w:w="1036"/>
            <w:vAlign w:val="top"/>
          </w:tcPr>
          <w:p>
            <w:pPr>
              <w:spacing w:after="40" w:before="0" w:line="259" w:lineRule="auto"/>
            </w:pPr>
            <w:r>
              <w:rPr>
                <w:rFonts w:ascii="Calibri" w:hAnsi="Calibri"/>
                <w:b w:val="0"/>
                <w:i w:val="0"/>
                <w:color w:val="212121"/>
                <w:sz w:val="16"/>
              </w:rPr>
              <w:t>Unilateral or asymmetric vision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bedside test for optic neuropathy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External &amp; paediatric eye exam</w:t>
            </w:r>
          </w:p>
        </w:tc>
        <w:tc>
          <w:tcPr>
            <w:tcW w:type="dxa" w:w="979"/>
            <w:vAlign w:val="top"/>
          </w:tcPr>
          <w:p>
            <w:pPr>
              <w:spacing w:after="40" w:before="0" w:line="259" w:lineRule="auto"/>
            </w:pPr>
            <w:r>
              <w:rPr>
                <w:rFonts w:ascii="Calibri" w:hAnsi="Calibri"/>
                <w:b w:val="0"/>
                <w:i w:val="0"/>
                <w:color w:val="212121"/>
                <w:sz w:val="16"/>
              </w:rPr>
              <w:t>Alignment, ocular motility, red reflex / leukocoria</w:t>
            </w:r>
          </w:p>
        </w:tc>
        <w:tc>
          <w:tcPr>
            <w:tcW w:type="dxa" w:w="950"/>
            <w:vAlign w:val="top"/>
          </w:tcPr>
          <w:p>
            <w:pPr>
              <w:spacing w:after="40" w:before="0" w:line="259" w:lineRule="auto"/>
            </w:pPr>
            <w:r>
              <w:rPr>
                <w:rFonts w:ascii="Calibri" w:hAnsi="Calibri"/>
                <w:b w:val="0"/>
                <w:i w:val="0"/>
                <w:color w:val="212121"/>
                <w:sz w:val="16"/>
              </w:rPr>
              <w:t>Straight eyes, normal red reflex</w:t>
            </w:r>
          </w:p>
        </w:tc>
        <w:tc>
          <w:tcPr>
            <w:tcW w:type="dxa" w:w="950"/>
            <w:vAlign w:val="top"/>
          </w:tcPr>
          <w:p>
            <w:pPr>
              <w:spacing w:after="40" w:before="0" w:line="259" w:lineRule="auto"/>
            </w:pPr>
            <w:r>
              <w:rPr>
                <w:rFonts w:ascii="Calibri" w:hAnsi="Calibri"/>
                <w:b w:val="0"/>
                <w:i w:val="0"/>
                <w:color w:val="212121"/>
                <w:sz w:val="16"/>
              </w:rPr>
              <w:t>Squint, nystagmus, white pupillary reflex</w:t>
            </w:r>
          </w:p>
        </w:tc>
        <w:tc>
          <w:tcPr>
            <w:tcW w:type="dxa" w:w="1036"/>
            <w:vAlign w:val="top"/>
          </w:tcPr>
          <w:p>
            <w:pPr>
              <w:spacing w:after="40" w:before="0" w:line="259" w:lineRule="auto"/>
            </w:pPr>
            <w:r>
              <w:rPr>
                <w:rFonts w:ascii="Calibri" w:hAnsi="Calibri"/>
                <w:b w:val="0"/>
                <w:i w:val="0"/>
                <w:color w:val="212121"/>
                <w:sz w:val="16"/>
              </w:rPr>
              <w:t>Screens congenital/childhood causes and sight-threatening leukocoria</w:t>
            </w:r>
          </w:p>
        </w:tc>
        <w:tc>
          <w:tcPr>
            <w:tcW w:type="dxa" w:w="1036"/>
            <w:vAlign w:val="top"/>
          </w:tcPr>
          <w:p>
            <w:pPr>
              <w:spacing w:after="40" w:before="0" w:line="259" w:lineRule="auto"/>
            </w:pPr>
            <w:r>
              <w:rPr>
                <w:rFonts w:ascii="Calibri" w:hAnsi="Calibri"/>
                <w:b w:val="0"/>
                <w:i w:val="0"/>
                <w:color w:val="212121"/>
                <w:sz w:val="16"/>
              </w:rPr>
              <w:t>Infants and children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Leukocoria demands urgent referral (cataract, ROP, retinoblastoma)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Colour vision &amp; contrast</w:t>
            </w:r>
          </w:p>
        </w:tc>
        <w:tc>
          <w:tcPr>
            <w:tcW w:type="dxa" w:w="979"/>
            <w:vAlign w:val="top"/>
          </w:tcPr>
          <w:p>
            <w:pPr>
              <w:spacing w:after="40" w:before="0" w:line="259" w:lineRule="auto"/>
            </w:pPr>
            <w:r>
              <w:rPr>
                <w:rFonts w:ascii="Calibri" w:hAnsi="Calibri"/>
                <w:b w:val="0"/>
                <w:i w:val="0"/>
                <w:color w:val="212121"/>
                <w:sz w:val="16"/>
              </w:rPr>
              <w:t>Ishihara plates, contrast sensitivity</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Acquired colour or contrast defects</w:t>
            </w:r>
          </w:p>
        </w:tc>
        <w:tc>
          <w:tcPr>
            <w:tcW w:type="dxa" w:w="1036"/>
            <w:vAlign w:val="top"/>
          </w:tcPr>
          <w:p>
            <w:pPr>
              <w:spacing w:after="40" w:before="0" w:line="259" w:lineRule="auto"/>
            </w:pPr>
            <w:r>
              <w:rPr>
                <w:rFonts w:ascii="Calibri" w:hAnsi="Calibri"/>
                <w:b w:val="0"/>
                <w:i w:val="0"/>
                <w:color w:val="212121"/>
                <w:sz w:val="16"/>
              </w:rPr>
              <w:t>Reflects optic-nerve and macular function</w:t>
            </w:r>
          </w:p>
        </w:tc>
        <w:tc>
          <w:tcPr>
            <w:tcW w:type="dxa" w:w="1036"/>
            <w:vAlign w:val="top"/>
          </w:tcPr>
          <w:p>
            <w:pPr>
              <w:spacing w:after="40" w:before="0" w:line="259" w:lineRule="auto"/>
            </w:pPr>
            <w:r>
              <w:rPr>
                <w:rFonts w:ascii="Calibri" w:hAnsi="Calibri"/>
                <w:b w:val="0"/>
                <w:i w:val="0"/>
                <w:color w:val="212121"/>
                <w:sz w:val="16"/>
              </w:rPr>
              <w:t>Optic neuropathy, maculopathy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Useful for early or subtle neuro-visual loss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Blurred distance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Refractive error, cataract or retinal disease reducing far acuity.</w:t>
            </w:r>
          </w:p>
        </w:tc>
      </w:tr>
      <w:tr>
        <w:trPr>
          <w:cantSplit/>
        </w:trPr>
        <w:tc>
          <w:tcPr>
            <w:tcW w:type="dxa" w:w="2304"/>
            <w:vAlign w:val="top"/>
          </w:tcPr>
          <w:p>
            <w:pPr>
              <w:spacing w:after="40" w:before="0" w:line="259" w:lineRule="auto"/>
            </w:pPr>
            <w:r>
              <w:rPr>
                <w:rFonts w:ascii="Calibri" w:hAnsi="Calibri"/>
                <w:b/>
                <w:i w:val="0"/>
                <w:color w:val="212121"/>
                <w:sz w:val="19"/>
              </w:rPr>
              <w:t>Difficulty reading / blurred near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Uncorrected presbyopia after 40 and early cataract.</w:t>
            </w:r>
          </w:p>
        </w:tc>
      </w:tr>
      <w:tr>
        <w:trPr>
          <w:cantSplit/>
        </w:trPr>
        <w:tc>
          <w:tcPr>
            <w:tcW w:type="dxa" w:w="2304"/>
            <w:vAlign w:val="top"/>
          </w:tcPr>
          <w:p>
            <w:pPr>
              <w:spacing w:after="40" w:before="0" w:line="259" w:lineRule="auto"/>
            </w:pPr>
            <w:r>
              <w:rPr>
                <w:rFonts w:ascii="Calibri" w:hAnsi="Calibri"/>
                <w:b/>
                <w:i w:val="0"/>
                <w:color w:val="212121"/>
                <w:sz w:val="19"/>
              </w:rPr>
              <w:t>Gradual, painless loss of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 of cataract and chronic glaucoma; often noticed late.</w:t>
            </w:r>
          </w:p>
        </w:tc>
      </w:tr>
      <w:tr>
        <w:trPr>
          <w:cantSplit/>
        </w:trPr>
        <w:tc>
          <w:tcPr>
            <w:tcW w:type="dxa" w:w="2304"/>
            <w:vAlign w:val="top"/>
          </w:tcPr>
          <w:p>
            <w:pPr>
              <w:spacing w:after="40" w:before="0" w:line="259" w:lineRule="auto"/>
            </w:pPr>
            <w:r>
              <w:rPr>
                <w:rFonts w:ascii="Calibri" w:hAnsi="Calibri"/>
                <w:b/>
                <w:i w:val="0"/>
                <w:color w:val="212121"/>
                <w:sz w:val="19"/>
              </w:rPr>
              <w:t>Glare and haloes around lights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Cataract, corneal oedema or acute angle-closure.</w:t>
            </w:r>
          </w:p>
        </w:tc>
      </w:tr>
      <w:tr>
        <w:trPr>
          <w:cantSplit/>
        </w:trPr>
        <w:tc>
          <w:tcPr>
            <w:tcW w:type="dxa" w:w="2304"/>
            <w:vAlign w:val="top"/>
          </w:tcPr>
          <w:p>
            <w:pPr>
              <w:spacing w:after="40" w:before="0" w:line="259" w:lineRule="auto"/>
            </w:pPr>
            <w:r>
              <w:rPr>
                <w:rFonts w:ascii="Calibri" w:hAnsi="Calibri"/>
                <w:b/>
                <w:i w:val="0"/>
                <w:color w:val="212121"/>
                <w:sz w:val="19"/>
              </w:rPr>
              <w:t>Frequent change of spectacle power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Progressing refractive error or index change from early cataract.</w:t>
            </w:r>
          </w:p>
        </w:tc>
      </w:tr>
      <w:tr>
        <w:trPr>
          <w:cantSplit/>
        </w:trPr>
        <w:tc>
          <w:tcPr>
            <w:tcW w:type="dxa" w:w="2304"/>
            <w:vAlign w:val="top"/>
          </w:tcPr>
          <w:p>
            <w:pPr>
              <w:spacing w:after="40" w:before="0" w:line="259" w:lineRule="auto"/>
            </w:pPr>
            <w:r>
              <w:rPr>
                <w:rFonts w:ascii="Calibri" w:hAnsi="Calibri"/>
                <w:b/>
                <w:i w:val="0"/>
                <w:color w:val="212121"/>
                <w:sz w:val="19"/>
              </w:rPr>
              <w:t>Bumping into objects / mobility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Constricted field or advanced low vision affecting navigation.</w:t>
            </w:r>
          </w:p>
        </w:tc>
      </w:tr>
      <w:tr>
        <w:trPr>
          <w:cantSplit/>
        </w:trPr>
        <w:tc>
          <w:tcPr>
            <w:tcW w:type="dxa" w:w="2304"/>
            <w:vAlign w:val="top"/>
          </w:tcPr>
          <w:p>
            <w:pPr>
              <w:spacing w:after="40" w:before="0" w:line="259" w:lineRule="auto"/>
            </w:pPr>
            <w:r>
              <w:rPr>
                <w:rFonts w:ascii="Calibri" w:hAnsi="Calibri"/>
                <w:b/>
                <w:i w:val="0"/>
                <w:color w:val="212121"/>
                <w:sz w:val="19"/>
              </w:rPr>
              <w:t>Difficulty seeing in dim light / night blindness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Vitamin-A deficiency or retinitis pigmentosa.</w:t>
            </w:r>
          </w:p>
        </w:tc>
      </w:tr>
      <w:tr>
        <w:trPr>
          <w:cantSplit/>
        </w:trPr>
        <w:tc>
          <w:tcPr>
            <w:tcW w:type="dxa" w:w="2304"/>
            <w:vAlign w:val="top"/>
          </w:tcPr>
          <w:p>
            <w:pPr>
              <w:spacing w:after="40" w:before="0" w:line="259" w:lineRule="auto"/>
            </w:pPr>
            <w:r>
              <w:rPr>
                <w:rFonts w:ascii="Calibri" w:hAnsi="Calibri"/>
                <w:b/>
                <w:i w:val="0"/>
                <w:color w:val="212121"/>
                <w:sz w:val="19"/>
              </w:rPr>
              <w:t>Loss of side (peripheral) vision / tunnel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Advanced glaucoma or retinitis pigmentosa.</w:t>
            </w:r>
          </w:p>
        </w:tc>
      </w:tr>
      <w:tr>
        <w:trPr>
          <w:cantSplit/>
        </w:trPr>
        <w:tc>
          <w:tcPr>
            <w:tcW w:type="dxa" w:w="2304"/>
            <w:vAlign w:val="top"/>
          </w:tcPr>
          <w:p>
            <w:pPr>
              <w:spacing w:after="40" w:before="0" w:line="259" w:lineRule="auto"/>
            </w:pPr>
            <w:r>
              <w:rPr>
                <w:rFonts w:ascii="Calibri" w:hAnsi="Calibri"/>
                <w:b/>
                <w:i w:val="0"/>
                <w:color w:val="212121"/>
                <w:sz w:val="19"/>
              </w:rPr>
              <w:t>Central blur or distortion of straight lines (metamorphopsia)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Age-related macular degeneration or diabetic maculopathy.</w:t>
            </w:r>
          </w:p>
        </w:tc>
      </w:tr>
      <w:tr>
        <w:trPr>
          <w:cantSplit/>
        </w:trPr>
        <w:tc>
          <w:tcPr>
            <w:tcW w:type="dxa" w:w="2304"/>
            <w:vAlign w:val="top"/>
          </w:tcPr>
          <w:p>
            <w:pPr>
              <w:spacing w:after="40" w:before="0" w:line="259" w:lineRule="auto"/>
            </w:pPr>
            <w:r>
              <w:rPr>
                <w:rFonts w:ascii="Calibri" w:hAnsi="Calibri"/>
                <w:b/>
                <w:i w:val="0"/>
                <w:color w:val="212121"/>
                <w:sz w:val="19"/>
              </w:rPr>
              <w:t>Sudden, painless loss of vision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Retinal vein/artery occlusion, retinal detachment or vitreous haemorrhage — an emergency.</w:t>
            </w:r>
          </w:p>
        </w:tc>
      </w:tr>
      <w:tr>
        <w:trPr>
          <w:cantSplit/>
        </w:trPr>
        <w:tc>
          <w:tcPr>
            <w:tcW w:type="dxa" w:w="2304"/>
            <w:vAlign w:val="top"/>
          </w:tcPr>
          <w:p>
            <w:pPr>
              <w:spacing w:after="40" w:before="0" w:line="259" w:lineRule="auto"/>
            </w:pPr>
            <w:r>
              <w:rPr>
                <w:rFonts w:ascii="Calibri" w:hAnsi="Calibri"/>
                <w:b/>
                <w:i w:val="0"/>
                <w:color w:val="212121"/>
                <w:sz w:val="19"/>
              </w:rPr>
              <w:t>Painful red eye with visual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Acute angle-closure glaucoma, keratitis or uveitis — needs same-day care.</w:t>
            </w:r>
          </w:p>
        </w:tc>
      </w:tr>
      <w:tr>
        <w:trPr>
          <w:cantSplit/>
        </w:trPr>
        <w:tc>
          <w:tcPr>
            <w:tcW w:type="dxa" w:w="2304"/>
            <w:vAlign w:val="top"/>
          </w:tcPr>
          <w:p>
            <w:pPr>
              <w:spacing w:after="40" w:before="0" w:line="259" w:lineRule="auto"/>
            </w:pPr>
            <w:r>
              <w:rPr>
                <w:rFonts w:ascii="Calibri" w:hAnsi="Calibri"/>
                <w:b/>
                <w:i w:val="0"/>
                <w:color w:val="212121"/>
                <w:sz w:val="19"/>
              </w:rPr>
              <w:t>Floaters and flashes of light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Posterior vitreous detachment or retinal tear.</w:t>
            </w:r>
          </w:p>
        </w:tc>
      </w:tr>
      <w:tr>
        <w:trPr>
          <w:cantSplit/>
        </w:trPr>
        <w:tc>
          <w:tcPr>
            <w:tcW w:type="dxa" w:w="2304"/>
            <w:vAlign w:val="top"/>
          </w:tcPr>
          <w:p>
            <w:pPr>
              <w:spacing w:after="40" w:before="0" w:line="259" w:lineRule="auto"/>
            </w:pPr>
            <w:r>
              <w:rPr>
                <w:rFonts w:ascii="Calibri" w:hAnsi="Calibri"/>
                <w:b/>
                <w:i w:val="0"/>
                <w:color w:val="212121"/>
                <w:sz w:val="19"/>
              </w:rPr>
              <w:t>Double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Cranial-nerve palsy or, monocularly, dense cataract.</w:t>
            </w:r>
          </w:p>
        </w:tc>
      </w:tr>
      <w:tr>
        <w:trPr>
          <w:cantSplit/>
        </w:trPr>
        <w:tc>
          <w:tcPr>
            <w:tcW w:type="dxa" w:w="2304"/>
            <w:vAlign w:val="top"/>
          </w:tcPr>
          <w:p>
            <w:pPr>
              <w:spacing w:after="40" w:before="0" w:line="259" w:lineRule="auto"/>
            </w:pPr>
            <w:r>
              <w:rPr>
                <w:rFonts w:ascii="Calibri" w:hAnsi="Calibri"/>
                <w:b/>
                <w:i w:val="0"/>
                <w:color w:val="212121"/>
                <w:sz w:val="19"/>
              </w:rPr>
              <w:t>Difficulty recognising faces or colours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Macular and optic-nerve disease affecting central and colour vision.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acuity not improving with pinhole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Points to a non-refractive (media, retinal or neural) cause.</w:t>
            </w:r>
          </w:p>
        </w:tc>
      </w:tr>
      <w:tr>
        <w:trPr>
          <w:cantSplit/>
        </w:trPr>
        <w:tc>
          <w:tcPr>
            <w:tcW w:type="dxa" w:w="3456"/>
            <w:vAlign w:val="top"/>
          </w:tcPr>
          <w:p>
            <w:pPr>
              <w:spacing w:after="40" w:before="0" w:line="259" w:lineRule="auto"/>
            </w:pPr>
            <w:r>
              <w:rPr>
                <w:rFonts w:ascii="Calibri" w:hAnsi="Calibri"/>
                <w:b/>
                <w:i w:val="0"/>
                <w:color w:val="212121"/>
                <w:sz w:val="19"/>
              </w:rPr>
              <w:t>Lens opacity on slit-lamp (leukocoria if mature)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Cataract — the leading treatable cause of blindness.</w:t>
            </w:r>
          </w:p>
        </w:tc>
      </w:tr>
      <w:tr>
        <w:trPr>
          <w:cantSplit/>
        </w:trPr>
        <w:tc>
          <w:tcPr>
            <w:tcW w:type="dxa" w:w="3456"/>
            <w:vAlign w:val="top"/>
          </w:tcPr>
          <w:p>
            <w:pPr>
              <w:spacing w:after="40" w:before="0" w:line="259" w:lineRule="auto"/>
            </w:pPr>
            <w:r>
              <w:rPr>
                <w:rFonts w:ascii="Calibri" w:hAnsi="Calibri"/>
                <w:b/>
                <w:i w:val="0"/>
                <w:color w:val="212121"/>
                <w:sz w:val="19"/>
              </w:rPr>
              <w:t>Raised IOP with glaucomatous disc cupping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Cup-disc ratio &gt; 0.6 or asymmetry indicates glaucoma.</w:t>
            </w:r>
          </w:p>
        </w:tc>
      </w:tr>
      <w:tr>
        <w:trPr>
          <w:cantSplit/>
        </w:trPr>
        <w:tc>
          <w:tcPr>
            <w:tcW w:type="dxa" w:w="3456"/>
            <w:vAlign w:val="top"/>
          </w:tcPr>
          <w:p>
            <w:pPr>
              <w:spacing w:after="40" w:before="0" w:line="259" w:lineRule="auto"/>
            </w:pPr>
            <w:r>
              <w:rPr>
                <w:rFonts w:ascii="Calibri" w:hAnsi="Calibri"/>
                <w:b/>
                <w:i w:val="0"/>
                <w:color w:val="212121"/>
                <w:sz w:val="19"/>
              </w:rPr>
              <w:t>Corneal opacity or vascularised scar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Healed keratitis, trauma, vitamin-A deficiency or trachoma.</w:t>
            </w:r>
          </w:p>
        </w:tc>
      </w:tr>
      <w:tr>
        <w:trPr>
          <w:cantSplit/>
        </w:trPr>
        <w:tc>
          <w:tcPr>
            <w:tcW w:type="dxa" w:w="3456"/>
            <w:vAlign w:val="top"/>
          </w:tcPr>
          <w:p>
            <w:pPr>
              <w:spacing w:after="40" w:before="0" w:line="259" w:lineRule="auto"/>
            </w:pPr>
            <w:r>
              <w:rPr>
                <w:rFonts w:ascii="Calibri" w:hAnsi="Calibri"/>
                <w:b/>
                <w:i w:val="0"/>
                <w:color w:val="212121"/>
                <w:sz w:val="19"/>
              </w:rPr>
              <w:t>Fundus microaneurysms, dot-blot haemorrhages, exudates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Hallmarks of diabetic retinopathy.</w:t>
            </w:r>
          </w:p>
        </w:tc>
      </w:tr>
      <w:tr>
        <w:trPr>
          <w:cantSplit/>
        </w:trPr>
        <w:tc>
          <w:tcPr>
            <w:tcW w:type="dxa" w:w="3456"/>
            <w:vAlign w:val="top"/>
          </w:tcPr>
          <w:p>
            <w:pPr>
              <w:spacing w:after="40" w:before="0" w:line="259" w:lineRule="auto"/>
            </w:pPr>
            <w:r>
              <w:rPr>
                <w:rFonts w:ascii="Calibri" w:hAnsi="Calibri"/>
                <w:b/>
                <w:i w:val="0"/>
                <w:color w:val="212121"/>
                <w:sz w:val="19"/>
              </w:rPr>
              <w:t>Relative afferent pupillary defect (RAPD)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Asymmetric optic-nerve or extensive retinal disease.</w:t>
            </w:r>
          </w:p>
        </w:tc>
      </w:tr>
      <w:tr>
        <w:trPr>
          <w:cantSplit/>
        </w:trPr>
        <w:tc>
          <w:tcPr>
            <w:tcW w:type="dxa" w:w="3456"/>
            <w:vAlign w:val="top"/>
          </w:tcPr>
          <w:p>
            <w:pPr>
              <w:spacing w:after="40" w:before="0" w:line="259" w:lineRule="auto"/>
            </w:pPr>
            <w:r>
              <w:rPr>
                <w:rFonts w:ascii="Calibri" w:hAnsi="Calibri"/>
                <w:b/>
                <w:i w:val="0"/>
                <w:color w:val="212121"/>
                <w:sz w:val="19"/>
              </w:rPr>
              <w:t>Macular drusen, pigmentary change or haemorrhage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Age-related macular degeneration.</w:t>
            </w:r>
          </w:p>
        </w:tc>
      </w:tr>
      <w:tr>
        <w:trPr>
          <w:cantSplit/>
        </w:trPr>
        <w:tc>
          <w:tcPr>
            <w:tcW w:type="dxa" w:w="3456"/>
            <w:vAlign w:val="top"/>
          </w:tcPr>
          <w:p>
            <w:pPr>
              <w:spacing w:after="40" w:before="0" w:line="259" w:lineRule="auto"/>
            </w:pPr>
            <w:r>
              <w:rPr>
                <w:rFonts w:ascii="Calibri" w:hAnsi="Calibri"/>
                <w:b/>
                <w:i w:val="0"/>
                <w:color w:val="212121"/>
                <w:sz w:val="19"/>
              </w:rPr>
              <w:t>Constricted or arcuate visual-field defect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Glaucomatous or neuro-visual field loss on perimetry.</w:t>
            </w:r>
          </w:p>
        </w:tc>
      </w:tr>
      <w:tr>
        <w:trPr>
          <w:cantSplit/>
        </w:trPr>
        <w:tc>
          <w:tcPr>
            <w:tcW w:type="dxa" w:w="3456"/>
            <w:vAlign w:val="top"/>
          </w:tcPr>
          <w:p>
            <w:pPr>
              <w:spacing w:after="40" w:before="0" w:line="259" w:lineRule="auto"/>
            </w:pPr>
            <w:r>
              <w:rPr>
                <w:rFonts w:ascii="Calibri" w:hAnsi="Calibri"/>
                <w:b/>
                <w:i w:val="0"/>
                <w:color w:val="212121"/>
                <w:sz w:val="19"/>
              </w:rPr>
              <w:t>Pale (atrophic) optic disc</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Optic atrophy from prior neuropathy or long-standing pressure.</w:t>
            </w:r>
          </w:p>
        </w:tc>
      </w:tr>
      <w:tr>
        <w:trPr>
          <w:cantSplit/>
        </w:trPr>
        <w:tc>
          <w:tcPr>
            <w:tcW w:type="dxa" w:w="3456"/>
            <w:vAlign w:val="top"/>
          </w:tcPr>
          <w:p>
            <w:pPr>
              <w:spacing w:after="40" w:before="0" w:line="259" w:lineRule="auto"/>
            </w:pPr>
            <w:r>
              <w:rPr>
                <w:rFonts w:ascii="Calibri" w:hAnsi="Calibri"/>
                <w:b/>
                <w:i w:val="0"/>
                <w:color w:val="212121"/>
                <w:sz w:val="19"/>
              </w:rPr>
              <w:t>Bitot's spots &amp; conjunctival/corneal xerosis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Ocular signs of vitamin-A deficiency (xerophthalmia).</w:t>
            </w:r>
          </w:p>
        </w:tc>
      </w:tr>
      <w:tr>
        <w:trPr>
          <w:cantSplit/>
        </w:trPr>
        <w:tc>
          <w:tcPr>
            <w:tcW w:type="dxa" w:w="3456"/>
            <w:vAlign w:val="top"/>
          </w:tcPr>
          <w:p>
            <w:pPr>
              <w:spacing w:after="40" w:before="0" w:line="259" w:lineRule="auto"/>
            </w:pPr>
            <w:r>
              <w:rPr>
                <w:rFonts w:ascii="Calibri" w:hAnsi="Calibri"/>
                <w:b/>
                <w:i w:val="0"/>
                <w:color w:val="212121"/>
                <w:sz w:val="19"/>
              </w:rPr>
              <w:t>Leukocoria / nystagmus in a child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Congenital cataract, retinopathy of prematurity or retinoblastoma — urgent.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loss of visual acuity and visual field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no-light-perception (total)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binocular vision and stereopsis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optic atrophy and retinal scarring</w:t>
            </w:r>
          </w:p>
        </w:tc>
        <w:tc>
          <w:tcPr>
            <w:tcW w:type="dxa" w:w="2980"/>
            <w:vAlign w:val="top"/>
          </w:tcPr>
          <w:p>
            <w:pPr>
              <w:spacing w:after="40" w:before="0" w:line="259" w:lineRule="auto"/>
            </w:pPr>
            <w:r>
              <w:rPr>
                <w:rFonts w:ascii="Calibri" w:hAnsi="Calibri"/>
                <w:b w:val="0"/>
                <w:i w:val="0"/>
                <w:color w:val="212121"/>
                <w:sz w:val="19"/>
              </w:rPr>
              <w:t>Direct structural and functional loss produced by the underlying ocular disease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fractures and unintentional injuries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Road-traffic and occupational accidents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literacy, schooling and development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employment and household income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 for activities of daily living</w:t>
            </w:r>
          </w:p>
        </w:tc>
        <w:tc>
          <w:tcPr>
            <w:tcW w:type="dxa" w:w="2980"/>
            <w:vAlign w:val="top"/>
          </w:tcPr>
          <w:p>
            <w:pPr>
              <w:spacing w:after="40" w:before="0" w:line="259" w:lineRule="auto"/>
            </w:pPr>
            <w:r>
              <w:rPr>
                <w:rFonts w:ascii="Calibri" w:hAnsi="Calibri"/>
                <w:b w:val="0"/>
                <w:i w:val="0"/>
                <w:color w:val="212121"/>
                <w:sz w:val="19"/>
              </w:rPr>
              <w:t>Downstream functional, psychological and socioeconomic consequences of impaired vision.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Total, irreversible bilateral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institutional or family dependency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quality-adjusted life-years and fall-related premature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 burden and deepening household poverty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Educational and vocational exclusion / disability</w:t>
            </w:r>
          </w:p>
        </w:tc>
        <w:tc>
          <w:tcPr>
            <w:tcW w:type="dxa" w:w="2980"/>
            <w:vAlign w:val="top"/>
          </w:tcPr>
          <w:p>
            <w:pPr>
              <w:spacing w:after="40" w:before="0" w:line="259" w:lineRule="auto"/>
            </w:pPr>
            <w:r>
              <w:rPr>
                <w:rFonts w:ascii="Calibri" w:hAnsi="Calibri"/>
                <w:b w:val="0"/>
                <w:i w:val="0"/>
                <w:color w:val="212121"/>
                <w:sz w:val="19"/>
              </w:rPr>
              <w:t>End-stage, disabling and societal outcomes of untreated or advanced vision loss.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Cataract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Age-related lens opacification is the single largest cause of blindness in India and is fully reversible by surgery; its coexistence dominates management priorities.</w:t>
            </w:r>
          </w:p>
          <w:p>
            <w:pPr>
              <w:spacing w:after="40" w:before="0" w:line="259" w:lineRule="auto"/>
            </w:pPr>
            <w:r>
              <w:rPr>
                <w:rFonts w:ascii="Calibri" w:hAnsi="Calibri"/>
                <w:b/>
                <w:i w:val="0"/>
                <w:color w:val="212121"/>
                <w:sz w:val="19"/>
              </w:rPr>
              <w:t>66.2% of blindness</w:t>
            </w:r>
          </w:p>
        </w:tc>
      </w:tr>
      <w:tr>
        <w:trPr>
          <w:cantSplit/>
        </w:trPr>
        <w:tc>
          <w:tcPr>
            <w:tcW w:type="dxa" w:w="2232"/>
            <w:vAlign w:val="top"/>
          </w:tcPr>
          <w:p>
            <w:pPr>
              <w:spacing w:after="40" w:before="0" w:line="259" w:lineRule="auto"/>
            </w:pPr>
            <w:r>
              <w:rPr>
                <w:rFonts w:ascii="Calibri" w:hAnsi="Calibri"/>
                <w:b/>
                <w:i w:val="0"/>
                <w:color w:val="212121"/>
                <w:sz w:val="19"/>
              </w:rPr>
              <w:t>Uncorrected refractive error</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The commonest cause of moderate/severe visual impairment, correctable simply with spectacles.</w:t>
            </w:r>
          </w:p>
          <w:p>
            <w:pPr>
              <w:spacing w:after="40" w:before="0" w:line="259" w:lineRule="auto"/>
            </w:pPr>
            <w:r>
              <w:rPr>
                <w:rFonts w:ascii="Calibri" w:hAnsi="Calibri"/>
                <w:b/>
                <w:i w:val="0"/>
                <w:color w:val="212121"/>
                <w:sz w:val="19"/>
              </w:rPr>
              <w:t>41.5% of visual impairment</w:t>
            </w:r>
          </w:p>
        </w:tc>
      </w:tr>
      <w:tr>
        <w:trPr>
          <w:cantSplit/>
        </w:trPr>
        <w:tc>
          <w:tcPr>
            <w:tcW w:type="dxa" w:w="2232"/>
            <w:vAlign w:val="top"/>
          </w:tcPr>
          <w:p>
            <w:pPr>
              <w:spacing w:after="40" w:before="0" w:line="259" w:lineRule="auto"/>
            </w:pPr>
            <w:r>
              <w:rPr>
                <w:rFonts w:ascii="Calibri" w:hAnsi="Calibri"/>
                <w:b/>
                <w:i w:val="0"/>
                <w:color w:val="212121"/>
                <w:sz w:val="19"/>
              </w:rPr>
              <w:t>Diabetic retinopathy /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Chronic hyperglycaemia damages retinal vessels; the leading cause of preventable blindness in working-age adults.</w:t>
            </w:r>
          </w:p>
          <w:p>
            <w:pPr>
              <w:spacing w:after="40" w:before="0" w:line="259" w:lineRule="auto"/>
            </w:pPr>
            <w:r>
              <w:rPr>
                <w:rFonts w:ascii="Calibri" w:hAnsi="Calibri"/>
                <w:b/>
                <w:i w:val="0"/>
                <w:color w:val="212121"/>
                <w:sz w:val="19"/>
              </w:rPr>
              <w:t>16.9% of diabetics 50+</w:t>
            </w:r>
          </w:p>
        </w:tc>
      </w:tr>
      <w:tr>
        <w:trPr>
          <w:cantSplit/>
        </w:trPr>
        <w:tc>
          <w:tcPr>
            <w:tcW w:type="dxa" w:w="2232"/>
            <w:vAlign w:val="top"/>
          </w:tcPr>
          <w:p>
            <w:pPr>
              <w:spacing w:after="40" w:before="0" w:line="259" w:lineRule="auto"/>
            </w:pPr>
            <w:r>
              <w:rPr>
                <w:rFonts w:ascii="Calibri" w:hAnsi="Calibri"/>
                <w:b/>
                <w:i w:val="0"/>
                <w:color w:val="212121"/>
                <w:sz w:val="19"/>
              </w:rPr>
              <w:t>Glaucoma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Progressive optic neuropathy that is largely asymptomatic until advanced, so most Indian patients present already visually disabled.</w:t>
            </w:r>
          </w:p>
          <w:p>
            <w:pPr>
              <w:spacing w:after="40" w:before="0" w:line="259" w:lineRule="auto"/>
            </w:pPr>
            <w:r>
              <w:rPr>
                <w:rFonts w:ascii="Calibri" w:hAnsi="Calibri"/>
                <w:b/>
                <w:i w:val="0"/>
                <w:color w:val="212121"/>
                <w:sz w:val="19"/>
              </w:rPr>
              <w:t>~11.2 million Indians 40+</w:t>
            </w:r>
          </w:p>
        </w:tc>
      </w:tr>
      <w:tr>
        <w:trPr>
          <w:cantSplit/>
        </w:trPr>
        <w:tc>
          <w:tcPr>
            <w:tcW w:type="dxa" w:w="2232"/>
            <w:vAlign w:val="top"/>
          </w:tcPr>
          <w:p>
            <w:pPr>
              <w:spacing w:after="40" w:before="0" w:line="259" w:lineRule="auto"/>
            </w:pPr>
            <w:r>
              <w:rPr>
                <w:rFonts w:ascii="Calibri" w:hAnsi="Calibri"/>
                <w:b/>
                <w:i w:val="0"/>
                <w:color w:val="212121"/>
                <w:sz w:val="19"/>
              </w:rPr>
              <w:t>Corneal opacity / infectious keratitis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Scarring from infection, trauma or vitamin-A deficiency; a major cause of unilateral, often young-adult, blindness.</w:t>
            </w:r>
          </w:p>
          <w:p>
            <w:pPr>
              <w:spacing w:after="40" w:before="0" w:line="259" w:lineRule="auto"/>
            </w:pPr>
            <w:r>
              <w:rPr>
                <w:rFonts w:ascii="Calibri" w:hAnsi="Calibri"/>
                <w:b/>
                <w:i w:val="0"/>
                <w:color w:val="212121"/>
                <w:sz w:val="19"/>
              </w:rPr>
              <w:t>8.2% of blindness</w:t>
            </w:r>
          </w:p>
        </w:tc>
      </w:tr>
      <w:tr>
        <w:trPr>
          <w:cantSplit/>
        </w:trPr>
        <w:tc>
          <w:tcPr>
            <w:tcW w:type="dxa" w:w="2232"/>
            <w:vAlign w:val="top"/>
          </w:tcPr>
          <w:p>
            <w:pPr>
              <w:spacing w:after="40" w:before="0" w:line="259" w:lineRule="auto"/>
            </w:pPr>
            <w:r>
              <w:rPr>
                <w:rFonts w:ascii="Calibri" w:hAnsi="Calibri"/>
                <w:b/>
                <w:i w:val="0"/>
                <w:color w:val="212121"/>
                <w:sz w:val="19"/>
              </w:rPr>
              <w:t>Age-related macular degeneration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Degeneration of the central retina and the leading cause of central vision loss in the elderly.</w:t>
            </w:r>
          </w:p>
        </w:tc>
      </w:tr>
      <w:tr>
        <w:trPr>
          <w:cantSplit/>
        </w:trPr>
        <w:tc>
          <w:tcPr>
            <w:tcW w:type="dxa" w:w="2232"/>
            <w:vAlign w:val="top"/>
          </w:tcPr>
          <w:p>
            <w:pPr>
              <w:spacing w:after="40" w:before="0" w:line="259" w:lineRule="auto"/>
            </w:pPr>
            <w:r>
              <w:rPr>
                <w:rFonts w:ascii="Calibri" w:hAnsi="Calibri"/>
                <w:b/>
                <w:i w:val="0"/>
                <w:color w:val="212121"/>
                <w:sz w:val="19"/>
              </w:rPr>
              <w:t>Vitamin-A deficiency (xerophthalmia)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Nutritional cause of corneal melting and a leading preventable cause of childhood blindness.</w:t>
            </w:r>
          </w:p>
          <w:p>
            <w:pPr>
              <w:spacing w:after="40" w:before="0" w:line="259" w:lineRule="auto"/>
            </w:pPr>
            <w:r>
              <w:rPr>
                <w:rFonts w:ascii="Calibri" w:hAnsi="Calibri"/>
                <w:b/>
                <w:i w:val="0"/>
                <w:color w:val="212121"/>
                <w:sz w:val="19"/>
              </w:rPr>
              <w:t>~19% of childhood blindness</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Vision loss raises the risk of depression and social isolation, and poor mental health in turn reduces treatment adherence and self-care.</w:t>
            </w:r>
          </w:p>
        </w:tc>
      </w:tr>
      <w:tr>
        <w:trPr>
          <w:cantSplit/>
        </w:trPr>
        <w:tc>
          <w:tcPr>
            <w:tcW w:type="dxa" w:w="2232"/>
            <w:vAlign w:val="top"/>
          </w:tcPr>
          <w:p>
            <w:pPr>
              <w:spacing w:after="40" w:before="0" w:line="259" w:lineRule="auto"/>
            </w:pPr>
            <w:r>
              <w:rPr>
                <w:rFonts w:ascii="Calibri" w:hAnsi="Calibri"/>
                <w:b/>
                <w:i w:val="0"/>
                <w:color w:val="212121"/>
                <w:sz w:val="19"/>
              </w:rPr>
              <w:t>Falls &amp; fractures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vision markedly increases the risk of falls and hip fracture, especially in the elderly.</w:t>
            </w:r>
          </w:p>
        </w:tc>
      </w:tr>
      <w:tr>
        <w:trPr>
          <w:cantSplit/>
        </w:trPr>
        <w:tc>
          <w:tcPr>
            <w:tcW w:type="dxa" w:w="2232"/>
            <w:vAlign w:val="top"/>
          </w:tcPr>
          <w:p>
            <w:pPr>
              <w:spacing w:after="40" w:before="0" w:line="259" w:lineRule="auto"/>
            </w:pPr>
            <w:r>
              <w:rPr>
                <w:rFonts w:ascii="Calibri" w:hAnsi="Calibri"/>
                <w:b/>
                <w:i w:val="0"/>
                <w:color w:val="212121"/>
                <w:sz w:val="19"/>
              </w:rPr>
              <w:t>Dementia / cognitive decline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Uncorrected sensory (visual) impairment is a recognised, potentially modifiable risk factor associated with cognitive decline.</w:t>
            </w:r>
          </w:p>
        </w:tc>
      </w:tr>
      <w:tr>
        <w:trPr>
          <w:cantSplit/>
        </w:trPr>
        <w:tc>
          <w:tcPr>
            <w:tcW w:type="dxa" w:w="2232"/>
            <w:vAlign w:val="top"/>
          </w:tcPr>
          <w:p>
            <w:pPr>
              <w:spacing w:after="40" w:before="0" w:line="259" w:lineRule="auto"/>
            </w:pPr>
            <w:r>
              <w:rPr>
                <w:rFonts w:ascii="Calibri" w:hAnsi="Calibri"/>
                <w:b/>
                <w:i w:val="0"/>
                <w:color w:val="212121"/>
                <w:sz w:val="19"/>
              </w:rPr>
              <w:t>Stroke / cerebrovascular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Causes cerebral visual impairment and retinal vascular occlusions, and shares vascular risk factors with retinopathy.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 comprehensive eye examination at least once after age 40, every 1–2 years thereafter, and annually if diabetic.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red-flag symptoms — sudden vision loss, painful red eye, flashes/floaters, or a curtain over vision — and seek same-day eye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use unprescribed traditional or herbal eye remedies, kajal or steroid eye-drops, which can cause corneal damage and steroid-induced glaucoma.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children have vision screening at school entry, and correct and encourage spectacle wear early to prevent amblyopia and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protective eyewear during welding, farming, hammering and sports to prevent ocular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UV-blocking sunglasses and a brimmed hat outdoors to reduce cataract and pterygium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vitamin-A prophylaxis and measles immunisation for under-5 children to prevent corneal blindness.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&amp; industrial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children to spend ≥ 11–14 hours per week (about 90–120 minutes/day) outdoors in daylight to delay myopia onset and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20-20-20 rule during near work: every 20 minutes, look at something 20 feet away for 20 seconds.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recreational screen time and keep a comfortable reading distance (≈ 30–40 cm) with good lighting.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aerobic activity to support glycaemic and blood-pressure control and lower diabetic-retinopathy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Screen-heavy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orientation-and-mobility training, white-cane instruction and home-hazard reduction to prevent falls in established low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low-vision aids — magnifiers, telescopes, high-contrast large print and screen readers — and structured rehabilitation to maximise residual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workplace and home adaptations (lighting, contrast, tactile markers) to preserve independence.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Low-vision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Blind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vitamin-A intake — dark-green leafy vegetables, carrots, mango, papaya, egg, liver and fortified milk — especially for children and pregnant/lactating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(vitamin C and E, lutein and zeaxanthin from greens) and omega-3 fish to lower cataract and macular-degeneration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glycaemic control with low-glycaemic, high-fibre meals to prevent diabetic retinopathy.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national vitamin-A supplementation and staple food-fortification programmes for young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and screen for and treat obstructive sleep apnoea, which is associated with glaucoma and ischaemic optic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post-operative positioning advice (e.g. after retinal surgery) exactly as instructed by the ophthalmologist.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Glaucoma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Post-retinal-surgery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or vape — smoking accelerates cataract and brings on age-related macular degeneration up to 5.5 years earlier.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roughly doubles AMD risk, particularly for children and non-smoking family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tobacco-cessation support to smokers to protect residual vision.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AMD/cataract-risk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 14 units per week; chronic heavy use contributes to cataract and nutritional/toxic optic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consume illicit or home-brewed (“hooch”) liquor — methanol adulteration causes sudden, permanent bilateral blindness.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people with new or progressive vision loss for depression and anxiety and refer for counselling or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Connect patients to peer support, vision-rehabilitation services and disability entitlements to reduce isolation and dependency.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caregivers and integrate mental-health care within low-vision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visually impaired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blind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Low-vision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plos.org/plosone/article?id=10.1371%2Fjournal.pone.0271736" TargetMode="External"/><Relationship Id="rId10" Type="http://schemas.openxmlformats.org/officeDocument/2006/relationships/hyperlink" Target="https://journals.plos.org/plosone/article?id=10.1371%2Fjournal.pone.0240750" TargetMode="External"/><Relationship Id="rId11" Type="http://schemas.openxmlformats.org/officeDocument/2006/relationships/hyperlink" Target="https://www.aao.org/eyenet/article/outdoor-activity-and-myopia-in-children" TargetMode="External"/><Relationship Id="rId12" Type="http://schemas.openxmlformats.org/officeDocument/2006/relationships/hyperlink" Target="https://www.who.int/news/item/20-10-2022-smoking-linked-to-early-vision-loss-and-cataracts" TargetMode="External"/><Relationship Id="rId13" Type="http://schemas.openxmlformats.org/officeDocument/2006/relationships/hyperlink" Target="https://www.academia.edu/32009944/Burden_of_corneal_blindness_in_India" TargetMode="External"/><Relationship Id="rId14" Type="http://schemas.openxmlformats.org/officeDocument/2006/relationships/hyperlink" Target="https://pmc.ncbi.nlm.nih.gov/articles/PMC8725073/" TargetMode="External"/><Relationship Id="rId15" Type="http://schemas.openxmlformats.org/officeDocument/2006/relationships/hyperlink" Target="https://glaucomatoday.com/articles/2013-jan-feb/glaucoma-care-in-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