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Presbycusis</w:t>
      </w:r>
    </w:p>
    <w:p>
      <w:pPr>
        <w:spacing w:before="0" w:after="160"/>
      </w:pPr>
      <w:r>
        <w:rPr>
          <w:rFonts w:ascii="Calibri" w:hAnsi="Calibri"/>
          <w:b/>
          <w:i w:val="0"/>
          <w:color w:val="212121"/>
          <w:sz w:val="22"/>
        </w:rPr>
        <w:t xml:space="preserve">AKA </w:t>
      </w:r>
      <w:r>
        <w:rPr>
          <w:rFonts w:ascii="Calibri" w:hAnsi="Calibri"/>
          <w:b w:val="0"/>
          <w:i w:val="0"/>
          <w:color w:val="212121"/>
          <w:sz w:val="22"/>
        </w:rPr>
        <w:t>i.e., Age-related hearing loss (ARHL), Age-related sensorineural hearing loss, Old-age deafness, Senile deafness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Presbycusis is the progressive, bilateral, usually symmetrical sensorineural hearing loss that accompanies ageing, resulting from cumulative degeneration of the cochlear hair cells, stria vascularis, spiral ganglion neurons and central auditory pathways. It characteristically begins in the high frequencies and slowly extends to the speech frequencies, so that the earliest and most disabling complaint is difficulty understanding speech, especially in background noise. It is the single most common cause of hearing loss in older adults and, being multifactorial, is accelerated by noise exposure, cardiovascular and metabolic disease, ototoxic drugs, smoking and genetic susceptibility.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Presbycusis is the leading cause of sensorineural hearing loss in older Indians. The WHO estimates that over 25% of people above 60 years worldwide live with disabling hearing loss, and Indian data mirror this: hospital-based series from eastern India report presbycusis in about 28% of adult hearing-loss patients, and community estimates of disabling hearing loss among those over 60 in India range from roughly 25% to 50%. Prevalence rises steeply with each decade and is consistently higher in rural and lower-income elders, making age-related hearing loss a large and rapidly growing burden as India's population ages.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Presbycusis is a clinical and audiological diagnosis of gradual, bilateral, symmetrical sensorineural hearing loss in an older adult after other causes are excluded. It is confirmed on the basis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pure-tone audiometry showing bilateral, symmetrical sensorineural hearing loss that is greater in the high frequencies, classically a down-sloping audiogram with thresholds worst above 2000 Hz;</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absent air–bone gap with a type A tympanogram, confirming a sensorineural rather than conductive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grading by pure-tone average (mean of 0.5, 1, 2, 4 kHz) using WHO cut-offs: 20–34 dB HL mild, 35–49 moderate, 50–64 moderately severe, 65–79 severe, 80–94 profound and ≥95 dB HL complete/total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disproportionately poor speech-discrimination (word-recognition) scores relative to the pure-tone thresholds — phonemic regression — particularly in the presence of background noise;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otoscopy excluding cerumen impaction, chronic otitis media, tympanic perforation or other conductive causes;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gradual, bilateral, symmetrical onset typically after ~60 years with no alternative cause — marked asymmetry, rapid progression or unilateral loss warrants MRI to exclude retrocochlear pathology (e.g. vestibular schwannoma).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most widely used framework is Schuknecht's histopathological classification, which links the site of cochlear degeneration to a characteristic audiogram and speech pattern:</w:t>
      </w:r>
    </w:p>
    <w:p>
      <w:pPr>
        <w:spacing w:before="0" w:after="80"/>
      </w:pPr>
      <w:r>
        <w:rPr>
          <w:rFonts w:ascii="Calibri" w:hAnsi="Calibri"/>
          <w:b w:val="0"/>
          <w:i w:val="0"/>
          <w:color w:val="212121"/>
          <w:sz w:val="21"/>
        </w:rPr>
        <w:t>(1) Sensory presbycusis — loss of outer and inner hair cells beginning at the base of the cochlea, producing an abrupt high-frequency, steeply sloping hearing loss with relatively preserved speech understanding;</w:t>
      </w:r>
    </w:p>
    <w:p>
      <w:pPr>
        <w:spacing w:before="0" w:after="80"/>
      </w:pPr>
      <w:r>
        <w:rPr>
          <w:rFonts w:ascii="Calibri" w:hAnsi="Calibri"/>
          <w:b w:val="0"/>
          <w:i w:val="0"/>
          <w:color w:val="212121"/>
          <w:sz w:val="21"/>
        </w:rPr>
        <w:t>(2) Neural presbycusis — loss of spiral ganglion (cochlear nerve) neurons, causing speech-discrimination scores that are far worse than the pure-tone thresholds would predict (phonemic regression);</w:t>
      </w:r>
    </w:p>
    <w:p>
      <w:pPr>
        <w:spacing w:before="0" w:after="80"/>
      </w:pPr>
      <w:r>
        <w:rPr>
          <w:rFonts w:ascii="Calibri" w:hAnsi="Calibri"/>
          <w:b w:val="0"/>
          <w:i w:val="0"/>
          <w:color w:val="212121"/>
          <w:sz w:val="21"/>
        </w:rPr>
        <w:t>(3) Strial or metabolic presbycusis — atrophy of the stria vascularis with a fall in the endocochlear potential, giving a flat audiogram with well-preserved speech discrimination; often the most familial pattern;</w:t>
      </w:r>
    </w:p>
    <w:p>
      <w:pPr>
        <w:spacing w:before="0" w:after="80"/>
      </w:pPr>
      <w:r>
        <w:rPr>
          <w:rFonts w:ascii="Calibri" w:hAnsi="Calibri"/>
          <w:b w:val="0"/>
          <w:i w:val="0"/>
          <w:color w:val="212121"/>
          <w:sz w:val="21"/>
        </w:rPr>
        <w:t>(4) Cochlear conductive (mechanical) presbycusis — stiffening of the basilar membrane and cochlear duct, producing a gradually descending audiogram without a definite structural lesion;</w:t>
      </w:r>
    </w:p>
    <w:p>
      <w:pPr>
        <w:spacing w:before="0" w:after="80"/>
      </w:pPr>
      <w:r>
        <w:rPr>
          <w:rFonts w:ascii="Calibri" w:hAnsi="Calibri"/>
          <w:b w:val="0"/>
          <w:i w:val="0"/>
          <w:color w:val="212121"/>
          <w:sz w:val="21"/>
        </w:rPr>
        <w:t>(5) Mixed presbycusis — coexisting pathology in two or more of the above structures, the commonest real-world pattern; and</w:t>
      </w:r>
    </w:p>
    <w:p>
      <w:pPr>
        <w:spacing w:before="0" w:after="80"/>
      </w:pPr>
      <w:r>
        <w:rPr>
          <w:rFonts w:ascii="Calibri" w:hAnsi="Calibri"/>
          <w:b w:val="0"/>
          <w:i w:val="0"/>
          <w:color w:val="212121"/>
          <w:sz w:val="21"/>
        </w:rPr>
        <w:t>(6) Indeterminate presbycusis — a large proportion of cases (around a quarter) in which no single dominant histopathological correlate can be identified, reflecting the multifactorial biology of ageing.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Ageing degeneration: Cumulative, oxidative-stress-driven loss of cochlear hair cells, stria vascularis and spiral ganglion neurons, plus central auditory decline, is the core and unavoidable mechanism.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Cumulative noise exposure: A lifetime of occupational, environmental and recreational noise adds irreversible high-frequency damage that compounds intrinsic ageing (the single most important modifiable accelerant).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Cardiometabolic disease: Diabetes, hypertension and dyslipidaemia impair the cochlea's end-arterial microcirculation, causing ischaemic and metabolic injury that hastens hearing loss.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Ototoxic exposure: Aminoglycosides, loop diuretics, platinum chemotherapy (cisplatin) and high-dose salicylates damage hair cells and worsen age-related loss.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and mitochondrial susceptibility: Polygenic inheritance and mitochondrial DNA mutations affecting oxidative-stress handling explain much of the individual variation in onset and severity.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Smoking and environmental toxins: Tobacco (active and passive) and solvents/heavy metals (toluene, styrene, lead, mercury) are dose-dependent contributors to cochlear damage.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(middle-aged, 45–60 yrs)</w:t>
            </w:r>
          </w:p>
        </w:tc>
        <w:tc>
          <w:tcPr>
            <w:tcW w:type="dxa" w:w="4276"/>
            <w:vAlign w:val="top"/>
          </w:tcPr>
          <w:p>
            <w:pPr>
              <w:spacing w:after="60" w:line="259" w:lineRule="auto"/>
            </w:pPr>
            <w:r>
              <w:rPr>
                <w:rFonts w:ascii="Calibri" w:hAnsi="Calibri"/>
                <w:b w:val="0"/>
                <w:i w:val="0"/>
                <w:color w:val="212121"/>
                <w:sz w:val="19"/>
              </w:rPr>
              <w:t>High-frequency thresholds begin to rise from midlife as hair cells and cochlear neurons are progressively lost. Prevalence roughly doubles with each decade, so subclinical high-frequency loss is already common well before overt disability appears.</w:t>
            </w:r>
          </w:p>
          <w:p>
            <w:pPr>
              <w:spacing w:after="40" w:before="60" w:line="259" w:lineRule="auto"/>
            </w:pPr>
            <w:r>
              <w:rPr>
                <w:rFonts w:ascii="Calibri" w:hAnsi="Calibri"/>
                <w:b w:val="0"/>
                <w:i w:val="0"/>
                <w:color w:val="212121"/>
                <w:sz w:val="19"/>
              </w:rPr>
              <w:t>The prevalence of presbycusis approximately doubles with each decade of life, with hearing thresholds worsening steadily from as early as the fourth decade.</w:t>
            </w:r>
          </w:p>
          <w:p>
            <w:pPr>
              <w:spacing w:after="40" w:line="252" w:lineRule="auto"/>
            </w:pPr>
            <w:hyperlink r:id="rId9">
              <w:r>
                <w:rPr>
                  <w:rFonts w:ascii="Calibri" w:hAnsi="Calibri" w:cs="Calibri"/>
                  <w:sz w:val="18"/>
                  <w:color w:val="1155CC"/>
                  <w:u w:val="single"/>
                </w:rPr>
                <w:t xml:space="preserve">ncbi.nlm.nih.gov — Presbycusis (StatPearls)</w:t>
              </w:r>
            </w:hyperlink>
          </w:p>
          <w:p>
            <w:pPr>
              <w:spacing w:before="60" w:after="40"/>
            </w:pPr>
            <w:r>
              <w:rPr>
                <w:rFonts w:ascii="Calibri" w:hAnsi="Calibri"/>
                <w:b w:val="0"/>
                <w:i w:val="0"/>
                <w:color w:val="5A5A5A"/>
                <w:sz w:val="18"/>
              </w:rPr>
              <w:t>#highfrequency  #haircells  #earlyloss  #screening  #agingcochlea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yrs)</w:t>
            </w:r>
          </w:p>
        </w:tc>
        <w:tc>
          <w:tcPr>
            <w:tcW w:type="dxa" w:w="4276"/>
            <w:vAlign w:val="top"/>
          </w:tcPr>
          <w:p>
            <w:pPr>
              <w:spacing w:after="60" w:line="259" w:lineRule="auto"/>
            </w:pPr>
            <w:r>
              <w:rPr>
                <w:rFonts w:ascii="Calibri" w:hAnsi="Calibri"/>
                <w:b w:val="0"/>
                <w:i w:val="0"/>
                <w:color w:val="212121"/>
                <w:sz w:val="19"/>
              </w:rPr>
              <w:t>The dominant at-risk group. Decades of intrinsic degeneration, accumulated noise and vascular comorbidity converge, so disabling, speech-frequency loss becomes the norm rather than the exception.</w:t>
            </w:r>
          </w:p>
          <w:p>
            <w:pPr>
              <w:spacing w:after="40" w:before="60" w:line="259" w:lineRule="auto"/>
            </w:pPr>
            <w:r>
              <w:rPr>
                <w:rFonts w:ascii="Calibri" w:hAnsi="Calibri"/>
                <w:b w:val="0"/>
                <w:i w:val="0"/>
                <w:color w:val="212121"/>
                <w:sz w:val="19"/>
              </w:rPr>
              <w:t>WHO estimates that over 25% of people older than 60 years have disabling hearing loss; Indian community estimates for those over 60 range from about 25% to 50%.</w:t>
            </w:r>
          </w:p>
          <w:p>
            <w:pPr>
              <w:spacing w:after="40" w:line="252" w:lineRule="auto"/>
            </w:pPr>
            <w:hyperlink r:id="rId10">
              <w:r>
                <w:rPr>
                  <w:rFonts w:ascii="Calibri" w:hAnsi="Calibri" w:cs="Calibri"/>
                  <w:sz w:val="18"/>
                  <w:color w:val="1155CC"/>
                  <w:u w:val="single"/>
                </w:rPr>
                <w:t xml:space="preserve">who.int — deafness and hearing loss</w:t>
              </w:r>
            </w:hyperlink>
          </w:p>
          <w:p>
            <w:pPr>
              <w:spacing w:before="60" w:after="40"/>
            </w:pPr>
            <w:r>
              <w:rPr>
                <w:rFonts w:ascii="Calibri" w:hAnsi="Calibri"/>
                <w:b w:val="0"/>
                <w:i w:val="0"/>
                <w:color w:val="5A5A5A"/>
                <w:sz w:val="18"/>
              </w:rPr>
              <w:t>#elderly  #disablinghearingloss  #geriatric  #ageing  #speechfrequency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typically develop earlier and steeper high-frequency loss than women of the same age, attributed largely to greater lifetime occupational and recreational noise exposure and higher smoking rates.</w:t>
            </w:r>
          </w:p>
          <w:p>
            <w:pPr>
              <w:spacing w:after="40" w:before="60" w:line="259" w:lineRule="auto"/>
            </w:pPr>
            <w:r>
              <w:rPr>
                <w:rFonts w:ascii="Calibri" w:hAnsi="Calibri"/>
                <w:b w:val="0"/>
                <w:i w:val="0"/>
                <w:color w:val="212121"/>
                <w:sz w:val="19"/>
              </w:rPr>
              <w:t>Age-related high-frequency loss is characteristically more severe and earlier in men, reflecting cumulative noise and lifestyle exposures rather than sex alone.</w:t>
            </w:r>
          </w:p>
          <w:p>
            <w:pPr>
              <w:spacing w:before="60" w:after="40"/>
            </w:pPr>
            <w:r>
              <w:rPr>
                <w:rFonts w:ascii="Calibri" w:hAnsi="Calibri"/>
                <w:b w:val="0"/>
                <w:i w:val="0"/>
                <w:color w:val="5A5A5A"/>
                <w:sz w:val="18"/>
              </w:rPr>
              <w:t>#male  #noiseexposure  #occupational  #highfrequency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&amp; low-income elders</w:t>
            </w:r>
          </w:p>
        </w:tc>
        <w:tc>
          <w:tcPr>
            <w:tcW w:type="dxa" w:w="4276"/>
            <w:vAlign w:val="top"/>
          </w:tcPr>
          <w:p>
            <w:pPr>
              <w:spacing w:after="60" w:line="259" w:lineRule="auto"/>
            </w:pPr>
            <w:r>
              <w:rPr>
                <w:rFonts w:ascii="Calibri" w:hAnsi="Calibri"/>
                <w:b w:val="0"/>
                <w:i w:val="0"/>
                <w:color w:val="212121"/>
                <w:sz w:val="19"/>
              </w:rPr>
              <w:t>Rural and poorer elders face higher untreated noise exposure, more untreated ear disease, limited access to audiology and hearing aids, and later diagnosis, so both prevalence and disability are greater.</w:t>
            </w:r>
          </w:p>
          <w:p>
            <w:pPr>
              <w:spacing w:after="40" w:before="60" w:line="259" w:lineRule="auto"/>
            </w:pPr>
            <w:r>
              <w:rPr>
                <w:rFonts w:ascii="Calibri" w:hAnsi="Calibri"/>
                <w:b w:val="0"/>
                <w:i w:val="0"/>
                <w:color w:val="212121"/>
                <w:sz w:val="19"/>
              </w:rPr>
              <w:t>Indian community surveys have found hearing loss far more common in rural than urban populations (for example around 15.1% rural vs 5.9% urban in one analysis).</w:t>
            </w:r>
          </w:p>
          <w:p>
            <w:pPr>
              <w:spacing w:after="40" w:line="252" w:lineRule="auto"/>
            </w:pPr>
            <w:hyperlink r:id="rId11">
              <w:r>
                <w:rPr>
                  <w:rFonts w:ascii="Calibri" w:hAnsi="Calibri" w:cs="Calibri"/>
                  <w:sz w:val="18"/>
                  <w:color w:val="1155CC"/>
                  <w:u w:val="single"/>
                </w:rPr>
                <w:t xml:space="preserve">nmji.in — prevalence of hearing loss in India</w:t>
              </w:r>
            </w:hyperlink>
          </w:p>
          <w:p>
            <w:pPr>
              <w:spacing w:before="60" w:after="40"/>
            </w:pPr>
            <w:r>
              <w:rPr>
                <w:rFonts w:ascii="Calibri" w:hAnsi="Calibri"/>
                <w:b w:val="0"/>
                <w:i w:val="0"/>
                <w:color w:val="5A5A5A"/>
                <w:sz w:val="18"/>
              </w:rPr>
              <w:t>#rural  #accessgap  #untreated  #hearingaids  #healthequity</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Eastern &amp; rural Indian elders</w:t>
            </w:r>
          </w:p>
        </w:tc>
        <w:tc>
          <w:tcPr>
            <w:tcW w:type="dxa" w:w="4276"/>
            <w:vAlign w:val="top"/>
          </w:tcPr>
          <w:p>
            <w:pPr>
              <w:spacing w:after="60" w:line="259" w:lineRule="auto"/>
            </w:pPr>
            <w:r>
              <w:rPr>
                <w:rFonts w:ascii="Calibri" w:hAnsi="Calibri"/>
                <w:b w:val="0"/>
                <w:i w:val="0"/>
                <w:color w:val="212121"/>
                <w:sz w:val="19"/>
              </w:rPr>
              <w:t>Hospital and community series from eastern India show presbycusis as a leading diagnosis, reflecting an ageing population, high occupational noise (agriculture, factories) and heavy comorbid burden.</w:t>
            </w:r>
          </w:p>
          <w:p>
            <w:pPr>
              <w:spacing w:after="40" w:before="60" w:line="259" w:lineRule="auto"/>
            </w:pPr>
            <w:r>
              <w:rPr>
                <w:rFonts w:ascii="Calibri" w:hAnsi="Calibri"/>
                <w:b w:val="0"/>
                <w:i w:val="0"/>
                <w:color w:val="212121"/>
                <w:sz w:val="19"/>
              </w:rPr>
              <w:t>In a study of adults from eastern India, presbycusis accounted for 28.1% of hearing-loss diagnoses, second only to chronic otitis media (34.2%).</w:t>
            </w:r>
          </w:p>
          <w:p>
            <w:pPr>
              <w:spacing w:after="40" w:line="252" w:lineRule="auto"/>
            </w:pPr>
            <w:hyperlink r:id="rId12">
              <w:r>
                <w:rPr>
                  <w:rFonts w:ascii="Calibri" w:hAnsi="Calibri" w:cs="Calibri"/>
                  <w:sz w:val="18"/>
                  <w:color w:val="1155CC"/>
                  <w:u w:val="single"/>
                </w:rPr>
                <w:t xml:space="preserve">pmc.ncbi.nlm.nih.gov/PMC12862173 — Eastern India</w:t>
              </w:r>
            </w:hyperlink>
          </w:p>
          <w:p>
            <w:pPr>
              <w:spacing w:before="60" w:after="40"/>
            </w:pPr>
            <w:r>
              <w:rPr>
                <w:rFonts w:ascii="Calibri" w:hAnsi="Calibri"/>
                <w:b w:val="0"/>
                <w:i w:val="0"/>
                <w:color w:val="5A5A5A"/>
                <w:sz w:val="18"/>
              </w:rPr>
              <w:t>#india  #easternindia  #ruralnoise  #COM  #regional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older adults</w:t>
            </w:r>
          </w:p>
        </w:tc>
        <w:tc>
          <w:tcPr>
            <w:tcW w:type="dxa" w:w="4276"/>
            <w:vAlign w:val="top"/>
          </w:tcPr>
          <w:p>
            <w:pPr>
              <w:spacing w:after="60" w:line="259" w:lineRule="auto"/>
            </w:pPr>
            <w:r>
              <w:rPr>
                <w:rFonts w:ascii="Calibri" w:hAnsi="Calibri"/>
                <w:b w:val="0"/>
                <w:i w:val="0"/>
                <w:color w:val="212121"/>
                <w:sz w:val="19"/>
              </w:rPr>
              <w:t>Poor physical fitness is linked to worse cochlear microcirculation and higher cardiometabolic risk; regular activity appears to be protective for hearing in ageing.</w:t>
            </w:r>
          </w:p>
          <w:p>
            <w:pPr>
              <w:spacing w:after="40" w:before="60" w:line="259" w:lineRule="auto"/>
            </w:pPr>
            <w:r>
              <w:rPr>
                <w:rFonts w:ascii="Calibri" w:hAnsi="Calibri"/>
                <w:b w:val="0"/>
                <w:i w:val="0"/>
                <w:color w:val="212121"/>
                <w:sz w:val="19"/>
              </w:rPr>
              <w:t>A 2025 systematic review and community study found that older adults who maintained higher physical function were significantly less likely to experience hearing loss.</w:t>
            </w:r>
          </w:p>
          <w:p>
            <w:pPr>
              <w:spacing w:after="40" w:line="252" w:lineRule="auto"/>
            </w:pPr>
            <w:hyperlink r:id="rId13">
              <w:r>
                <w:rPr>
                  <w:rFonts w:ascii="Calibri" w:hAnsi="Calibri" w:cs="Calibri"/>
                  <w:sz w:val="18"/>
                  <w:color w:val="1155CC"/>
                  <w:u w:val="single"/>
                </w:rPr>
                <w:t xml:space="preserve">sc.edu — physical activity &amp; hearing loss (systematic review)</w:t>
              </w:r>
            </w:hyperlink>
          </w:p>
          <w:p>
            <w:pPr>
              <w:spacing w:before="60" w:after="40"/>
            </w:pPr>
            <w:r>
              <w:rPr>
                <w:rFonts w:ascii="Calibri" w:hAnsi="Calibri"/>
                <w:b w:val="0"/>
                <w:i w:val="0"/>
                <w:color w:val="5A5A5A"/>
                <w:sz w:val="18"/>
              </w:rPr>
              <w:t>#sedentary  #fitness  #microcirculation  #protective  #activeageing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long-term smokers</w:t>
            </w:r>
          </w:p>
        </w:tc>
        <w:tc>
          <w:tcPr>
            <w:tcW w:type="dxa" w:w="4276"/>
            <w:vAlign w:val="top"/>
          </w:tcPr>
          <w:p>
            <w:pPr>
              <w:spacing w:after="60" w:line="259" w:lineRule="auto"/>
            </w:pPr>
            <w:r>
              <w:rPr>
                <w:rFonts w:ascii="Calibri" w:hAnsi="Calibri"/>
                <w:b w:val="0"/>
                <w:i w:val="0"/>
                <w:color w:val="212121"/>
                <w:sz w:val="19"/>
              </w:rPr>
              <w:t>Tobacco causes cochlear vasoconstriction, hypoxia and oxidative stress, and it interacts synergistically with noise; smokers show accelerated, dose-dependent high-frequency loss.</w:t>
            </w:r>
          </w:p>
          <w:p>
            <w:pPr>
              <w:spacing w:after="40" w:before="60" w:line="259" w:lineRule="auto"/>
            </w:pPr>
            <w:r>
              <w:rPr>
                <w:rFonts w:ascii="Calibri" w:hAnsi="Calibri"/>
                <w:b w:val="0"/>
                <w:i w:val="0"/>
                <w:color w:val="212121"/>
                <w:sz w:val="19"/>
              </w:rPr>
              <w:t>In eastern-Indian adults, the combination of smoking and alcohol was strongly associated with hearing loss (p&lt;0.001), and noise exposure combined with smoking was also significant (p=0.004).</w:t>
            </w:r>
          </w:p>
          <w:p>
            <w:pPr>
              <w:spacing w:after="40" w:line="252" w:lineRule="auto"/>
            </w:pPr>
            <w:hyperlink r:id="rId12">
              <w:r>
                <w:rPr>
                  <w:rFonts w:ascii="Calibri" w:hAnsi="Calibri" w:cs="Calibri"/>
                  <w:sz w:val="18"/>
                  <w:color w:val="1155CC"/>
                  <w:u w:val="single"/>
                </w:rPr>
                <w:t xml:space="preserve">pmc.ncbi.nlm.nih.gov/PMC12862173 — risk factors</w:t>
              </w:r>
            </w:hyperlink>
          </w:p>
          <w:p>
            <w:pPr>
              <w:spacing w:before="60" w:after="40"/>
            </w:pPr>
            <w:r>
              <w:rPr>
                <w:rFonts w:ascii="Calibri" w:hAnsi="Calibri"/>
                <w:b w:val="0"/>
                <w:i w:val="0"/>
                <w:color w:val="5A5A5A"/>
                <w:sz w:val="18"/>
              </w:rPr>
              <w:t>#smoking  #tobacco  #vasoconstriction  #oxidativestress  #dosedependent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drinkers</w:t>
            </w:r>
          </w:p>
        </w:tc>
        <w:tc>
          <w:tcPr>
            <w:tcW w:type="dxa" w:w="4276"/>
            <w:vAlign w:val="top"/>
          </w:tcPr>
          <w:p>
            <w:pPr>
              <w:spacing w:after="60" w:line="259" w:lineRule="auto"/>
            </w:pPr>
            <w:r>
              <w:rPr>
                <w:rFonts w:ascii="Calibri" w:hAnsi="Calibri"/>
                <w:b w:val="0"/>
                <w:i w:val="0"/>
                <w:color w:val="212121"/>
                <w:sz w:val="19"/>
              </w:rPr>
              <w:t>Chronic heavy alcohol use is associated with central auditory and cochlear injury and worse thresholds, and it clusters with smoking and poor nutrition in ageing men.</w:t>
            </w:r>
          </w:p>
          <w:p>
            <w:pPr>
              <w:spacing w:after="40" w:before="60" w:line="259" w:lineRule="auto"/>
            </w:pPr>
            <w:r>
              <w:rPr>
                <w:rFonts w:ascii="Calibri" w:hAnsi="Calibri"/>
                <w:b w:val="0"/>
                <w:i w:val="0"/>
                <w:color w:val="212121"/>
                <w:sz w:val="19"/>
              </w:rPr>
              <w:t>Alcohol use was independently associated with hearing loss (p=0.003) among adults studied in eastern India.</w:t>
            </w:r>
          </w:p>
          <w:p>
            <w:pPr>
              <w:spacing w:after="40" w:line="252" w:lineRule="auto"/>
            </w:pPr>
            <w:hyperlink r:id="rId12">
              <w:r>
                <w:rPr>
                  <w:rFonts w:ascii="Calibri" w:hAnsi="Calibri" w:cs="Calibri"/>
                  <w:sz w:val="18"/>
                  <w:color w:val="1155CC"/>
                  <w:u w:val="single"/>
                </w:rPr>
                <w:t xml:space="preserve">pmc.ncbi.nlm.nih.gov/PMC12862173 — risk factors</w:t>
              </w:r>
            </w:hyperlink>
          </w:p>
          <w:p>
            <w:pPr>
              <w:spacing w:before="60" w:after="40"/>
            </w:pPr>
            <w:r>
              <w:rPr>
                <w:rFonts w:ascii="Calibri" w:hAnsi="Calibri"/>
                <w:b w:val="0"/>
                <w:i w:val="0"/>
                <w:color w:val="5A5A5A"/>
                <w:sz w:val="18"/>
              </w:rPr>
              <w:t>#alcohol  #neurotoxic  #centralauditory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recreational noise</w:t>
            </w:r>
          </w:p>
        </w:tc>
        <w:tc>
          <w:tcPr>
            <w:tcW w:type="dxa" w:w="2160"/>
            <w:vAlign w:val="top"/>
          </w:tcPr>
          <w:p>
            <w:pPr>
              <w:spacing w:after="40" w:before="0" w:line="259" w:lineRule="auto"/>
            </w:pPr>
            <w:r>
              <w:rPr>
                <w:rFonts w:ascii="Calibri" w:hAnsi="Calibri"/>
                <w:b w:val="0"/>
                <w:i w:val="0"/>
                <w:color w:val="212121"/>
                <w:sz w:val="19"/>
              </w:rPr>
              <w:t>Factory, farm &amp; traffic-exposed workers</w:t>
            </w:r>
          </w:p>
        </w:tc>
        <w:tc>
          <w:tcPr>
            <w:tcW w:type="dxa" w:w="4276"/>
            <w:vAlign w:val="top"/>
          </w:tcPr>
          <w:p>
            <w:pPr>
              <w:spacing w:after="60" w:line="259" w:lineRule="auto"/>
            </w:pPr>
            <w:r>
              <w:rPr>
                <w:rFonts w:ascii="Calibri" w:hAnsi="Calibri"/>
                <w:b w:val="0"/>
                <w:i w:val="0"/>
                <w:color w:val="212121"/>
                <w:sz w:val="19"/>
              </w:rPr>
              <w:t>A lifetime of loud noise causes permanent basal (high-frequency) hair-cell loss that adds to, and accelerates, intrinsic presbycusis — the most important modifiable contributor.</w:t>
            </w:r>
          </w:p>
          <w:p>
            <w:pPr>
              <w:spacing w:after="40" w:before="60" w:line="259" w:lineRule="auto"/>
            </w:pPr>
            <w:r>
              <w:rPr>
                <w:rFonts w:ascii="Calibri" w:hAnsi="Calibri"/>
                <w:b w:val="0"/>
                <w:i w:val="0"/>
                <w:color w:val="212121"/>
                <w:sz w:val="19"/>
              </w:rPr>
              <w:t>Factory workers had a significantly higher prevalence of hearing loss than non-factory workers (p=0.005) in the eastern-India cohort.</w:t>
            </w:r>
          </w:p>
          <w:p>
            <w:pPr>
              <w:spacing w:after="40" w:line="252" w:lineRule="auto"/>
            </w:pPr>
            <w:hyperlink r:id="rId12">
              <w:r>
                <w:rPr>
                  <w:rFonts w:ascii="Calibri" w:hAnsi="Calibri" w:cs="Calibri"/>
                  <w:sz w:val="18"/>
                  <w:color w:val="1155CC"/>
                  <w:u w:val="single"/>
                </w:rPr>
                <w:t xml:space="preserve">pmc.ncbi.nlm.nih.gov/PMC12862173 — occupational risk</w:t>
              </w:r>
            </w:hyperlink>
          </w:p>
          <w:p>
            <w:pPr>
              <w:spacing w:before="60" w:after="40"/>
            </w:pPr>
            <w:r>
              <w:rPr>
                <w:rFonts w:ascii="Calibri" w:hAnsi="Calibri"/>
                <w:b w:val="0"/>
                <w:i w:val="0"/>
                <w:color w:val="5A5A5A"/>
                <w:sz w:val="18"/>
              </w:rPr>
              <w:t>#noise  #NIHL  #occupational  #hearingprotection  #preventable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Low-antioxidant, high-saturated-fat diets</w:t>
            </w:r>
          </w:p>
        </w:tc>
        <w:tc>
          <w:tcPr>
            <w:tcW w:type="dxa" w:w="4276"/>
            <w:vAlign w:val="top"/>
          </w:tcPr>
          <w:p>
            <w:pPr>
              <w:spacing w:after="60" w:line="259" w:lineRule="auto"/>
            </w:pPr>
            <w:r>
              <w:rPr>
                <w:rFonts w:ascii="Calibri" w:hAnsi="Calibri"/>
                <w:b w:val="0"/>
                <w:i w:val="0"/>
                <w:color w:val="212121"/>
                <w:sz w:val="19"/>
              </w:rPr>
              <w:t>Diets poor in folate, omega-3 fatty acids and antioxidant vitamins and high in saturated fat are associated with poorer hearing, likely via oxidative stress and impaired cochlear blood flow.</w:t>
            </w:r>
          </w:p>
          <w:p>
            <w:pPr>
              <w:spacing w:after="40" w:before="60" w:line="259" w:lineRule="auto"/>
            </w:pPr>
            <w:r>
              <w:rPr>
                <w:rFonts w:ascii="Calibri" w:hAnsi="Calibri"/>
                <w:b w:val="0"/>
                <w:i w:val="0"/>
                <w:color w:val="212121"/>
                <w:sz w:val="19"/>
              </w:rPr>
              <w:t>Dietary patterns rich in antioxidants, folate and omega-3 fatty acids are associated with better hearing in older adults, whereas high saturated-fat intake is linked to worse thresholds.</w:t>
            </w:r>
          </w:p>
          <w:p>
            <w:pPr>
              <w:spacing w:before="60" w:after="40"/>
            </w:pPr>
            <w:r>
              <w:rPr>
                <w:rFonts w:ascii="Calibri" w:hAnsi="Calibri"/>
                <w:b w:val="0"/>
                <w:i w:val="0"/>
                <w:color w:val="5A5A5A"/>
                <w:sz w:val="18"/>
              </w:rPr>
              <w:t>#antioxidants  #folate  #omega3  #diet  #oxidativestress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Elders with familial early hearing loss</w:t>
            </w:r>
          </w:p>
        </w:tc>
        <w:tc>
          <w:tcPr>
            <w:tcW w:type="dxa" w:w="4276"/>
            <w:vAlign w:val="top"/>
          </w:tcPr>
          <w:p>
            <w:pPr>
              <w:spacing w:after="60" w:line="259" w:lineRule="auto"/>
            </w:pPr>
            <w:r>
              <w:rPr>
                <w:rFonts w:ascii="Calibri" w:hAnsi="Calibri"/>
                <w:b w:val="0"/>
                <w:i w:val="0"/>
                <w:color w:val="212121"/>
                <w:sz w:val="19"/>
              </w:rPr>
              <w:t>Susceptibility to presbycusis is polygenic and influenced by mitochondrial DNA variants that govern oxidative-stress handling; a family history of early age-related loss increases individual risk.</w:t>
            </w:r>
          </w:p>
          <w:p>
            <w:pPr>
              <w:spacing w:after="40" w:before="60" w:line="259" w:lineRule="auto"/>
            </w:pPr>
            <w:r>
              <w:rPr>
                <w:rFonts w:ascii="Calibri" w:hAnsi="Calibri"/>
                <w:b w:val="0"/>
                <w:i w:val="0"/>
                <w:color w:val="212121"/>
                <w:sz w:val="19"/>
              </w:rPr>
              <w:t>Genetic factors, including mitochondrial DNA mutations affecting oxidative stress, contribute to individual susceptibility and the age of onset of presbycusis.</w:t>
            </w:r>
          </w:p>
          <w:p>
            <w:pPr>
              <w:spacing w:after="40" w:line="252" w:lineRule="auto"/>
            </w:pPr>
            <w:hyperlink r:id="rId9">
              <w:r>
                <w:rPr>
                  <w:rFonts w:ascii="Calibri" w:hAnsi="Calibri" w:cs="Calibri"/>
                  <w:sz w:val="18"/>
                  <w:color w:val="1155CC"/>
                  <w:u w:val="single"/>
                </w:rPr>
                <w:t xml:space="preserve">ncbi.nlm.nih.gov — Presbycusis (StatPearls)</w:t>
              </w:r>
            </w:hyperlink>
          </w:p>
          <w:p>
            <w:pPr>
              <w:spacing w:before="60" w:after="40"/>
            </w:pPr>
            <w:r>
              <w:rPr>
                <w:rFonts w:ascii="Calibri" w:hAnsi="Calibri"/>
                <w:b w:val="0"/>
                <w:i w:val="0"/>
                <w:color w:val="5A5A5A"/>
                <w:sz w:val="18"/>
              </w:rPr>
              <w:t>#genetic  #mitochondrial  #heritability  #oxidativestress  #familyhistory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Older adults with diabetes / prediabetes</w:t>
            </w:r>
          </w:p>
        </w:tc>
        <w:tc>
          <w:tcPr>
            <w:tcW w:type="dxa" w:w="4276"/>
            <w:vAlign w:val="top"/>
          </w:tcPr>
          <w:p>
            <w:pPr>
              <w:spacing w:after="60" w:line="259" w:lineRule="auto"/>
            </w:pPr>
            <w:r>
              <w:rPr>
                <w:rFonts w:ascii="Calibri" w:hAnsi="Calibri"/>
                <w:b w:val="0"/>
                <w:i w:val="0"/>
                <w:color w:val="212121"/>
                <w:sz w:val="19"/>
              </w:rPr>
              <w:t>Chronic hyperglycaemia damages the cochlear microvasculature and auditory nerve, so diabetics develop hearing loss earlier and more severely; even prediabetes carries excess risk.</w:t>
            </w:r>
          </w:p>
          <w:p>
            <w:pPr>
              <w:spacing w:after="40" w:before="60" w:line="259" w:lineRule="auto"/>
            </w:pPr>
            <w:r>
              <w:rPr>
                <w:rFonts w:ascii="Calibri" w:hAnsi="Calibri"/>
                <w:b w:val="0"/>
                <w:i w:val="0"/>
                <w:color w:val="212121"/>
                <w:sz w:val="19"/>
              </w:rPr>
              <w:t>Hearing loss is about twice as common in people with diabetes as in same-aged people without it, and even prediabetes carries a 30% higher rate of hearing loss.</w:t>
            </w:r>
          </w:p>
          <w:p>
            <w:pPr>
              <w:spacing w:after="40" w:line="252" w:lineRule="auto"/>
            </w:pPr>
            <w:hyperlink r:id="rId14">
              <w:r>
                <w:rPr>
                  <w:rFonts w:ascii="Calibri" w:hAnsi="Calibri" w:cs="Calibri"/>
                  <w:sz w:val="18"/>
                  <w:color w:val="1155CC"/>
                  <w:u w:val="single"/>
                </w:rPr>
                <w:t xml:space="preserve">cdc.gov — diabetes and hearing loss</w:t>
              </w:r>
            </w:hyperlink>
          </w:p>
          <w:p>
            <w:pPr>
              <w:spacing w:before="60" w:after="40"/>
            </w:pPr>
            <w:r>
              <w:rPr>
                <w:rFonts w:ascii="Calibri" w:hAnsi="Calibri"/>
                <w:b w:val="0"/>
                <w:i w:val="0"/>
                <w:color w:val="5A5A5A"/>
                <w:sz w:val="18"/>
              </w:rPr>
              <w:t>#diabetes  #microvascular  #hyperglycaemia  #prediabetes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Older adults with hypertension</w:t>
            </w:r>
          </w:p>
        </w:tc>
        <w:tc>
          <w:tcPr>
            <w:tcW w:type="dxa" w:w="4276"/>
            <w:vAlign w:val="top"/>
          </w:tcPr>
          <w:p>
            <w:pPr>
              <w:spacing w:after="60" w:line="259" w:lineRule="auto"/>
            </w:pPr>
            <w:r>
              <w:rPr>
                <w:rFonts w:ascii="Calibri" w:hAnsi="Calibri"/>
                <w:b w:val="0"/>
                <w:i w:val="0"/>
                <w:color w:val="212121"/>
                <w:sz w:val="19"/>
              </w:rPr>
              <w:t>Raised blood pressure damages the end-arterial cochlear blood supply, promoting ischaemic injury and accelerating age-related sensorineural loss.</w:t>
            </w:r>
          </w:p>
          <w:p>
            <w:pPr>
              <w:spacing w:after="40" w:before="60" w:line="259" w:lineRule="auto"/>
            </w:pPr>
            <w:r>
              <w:rPr>
                <w:rFonts w:ascii="Calibri" w:hAnsi="Calibri"/>
                <w:b w:val="0"/>
                <w:i w:val="0"/>
                <w:color w:val="212121"/>
                <w:sz w:val="19"/>
              </w:rPr>
              <w:t>Hypertension was significantly associated with hearing loss (p=0.037) among adults studied in eastern India.</w:t>
            </w:r>
          </w:p>
          <w:p>
            <w:pPr>
              <w:spacing w:after="40" w:line="252" w:lineRule="auto"/>
            </w:pPr>
            <w:hyperlink r:id="rId12">
              <w:r>
                <w:rPr>
                  <w:rFonts w:ascii="Calibri" w:hAnsi="Calibri" w:cs="Calibri"/>
                  <w:sz w:val="18"/>
                  <w:color w:val="1155CC"/>
                  <w:u w:val="single"/>
                </w:rPr>
                <w:t xml:space="preserve">pmc.ncbi.nlm.nih.gov/PMC12862173 — comorbidities</w:t>
              </w:r>
            </w:hyperlink>
          </w:p>
          <w:p>
            <w:pPr>
              <w:spacing w:before="60" w:after="40"/>
            </w:pPr>
            <w:r>
              <w:rPr>
                <w:rFonts w:ascii="Calibri" w:hAnsi="Calibri"/>
                <w:b w:val="0"/>
                <w:i w:val="0"/>
                <w:color w:val="5A5A5A"/>
                <w:sz w:val="18"/>
              </w:rPr>
              <w:t>#hypertension  #vascular  #ischaemia  #cochlea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Cognitive impairment / dementia</w:t>
            </w:r>
          </w:p>
        </w:tc>
        <w:tc>
          <w:tcPr>
            <w:tcW w:type="dxa" w:w="2160"/>
            <w:vAlign w:val="top"/>
          </w:tcPr>
          <w:p>
            <w:pPr>
              <w:spacing w:after="40" w:before="0" w:line="259" w:lineRule="auto"/>
            </w:pPr>
            <w:r>
              <w:rPr>
                <w:rFonts w:ascii="Calibri" w:hAnsi="Calibri"/>
                <w:b w:val="0"/>
                <w:i w:val="0"/>
                <w:color w:val="212121"/>
                <w:sz w:val="19"/>
              </w:rPr>
              <w:t>Elders with cognitive decline</w:t>
            </w:r>
          </w:p>
        </w:tc>
        <w:tc>
          <w:tcPr>
            <w:tcW w:type="dxa" w:w="4276"/>
            <w:vAlign w:val="top"/>
          </w:tcPr>
          <w:p>
            <w:pPr>
              <w:spacing w:after="60" w:line="259" w:lineRule="auto"/>
            </w:pPr>
            <w:r>
              <w:rPr>
                <w:rFonts w:ascii="Calibri" w:hAnsi="Calibri"/>
                <w:b w:val="0"/>
                <w:i w:val="0"/>
                <w:color w:val="212121"/>
                <w:sz w:val="19"/>
              </w:rPr>
              <w:t>Hearing loss increases cognitive load and accelerates neurodegeneration; it is now recognised as the leading potentially modifiable risk factor for dementia in later life.</w:t>
            </w:r>
          </w:p>
          <w:p>
            <w:pPr>
              <w:spacing w:after="40" w:before="60" w:line="259" w:lineRule="auto"/>
            </w:pPr>
            <w:r>
              <w:rPr>
                <w:rFonts w:ascii="Calibri" w:hAnsi="Calibri"/>
                <w:b w:val="0"/>
                <w:i w:val="0"/>
                <w:color w:val="212121"/>
                <w:sz w:val="19"/>
              </w:rPr>
              <w:t>In an urban Indian cohort, people with hearing loss were 1.69 times more likely to have cognitive impairment (adjusted OR 1.69, 95% CI 1.08–2.65).</w:t>
            </w:r>
          </w:p>
          <w:p>
            <w:pPr>
              <w:spacing w:after="40" w:line="252" w:lineRule="auto"/>
            </w:pPr>
            <w:hyperlink r:id="rId15">
              <w:r>
                <w:rPr>
                  <w:rFonts w:ascii="Calibri" w:hAnsi="Calibri" w:cs="Calibri"/>
                  <w:sz w:val="18"/>
                  <w:color w:val="1155CC"/>
                  <w:u w:val="single"/>
                </w:rPr>
                <w:t xml:space="preserve">pmc.ncbi.nlm.nih.gov/PMC12012993 — hearing &amp; cognition (India)</w:t>
              </w:r>
            </w:hyperlink>
          </w:p>
          <w:p>
            <w:pPr>
              <w:spacing w:before="60" w:after="40"/>
            </w:pPr>
            <w:r>
              <w:rPr>
                <w:rFonts w:ascii="Calibri" w:hAnsi="Calibri"/>
                <w:b w:val="0"/>
                <w:i w:val="0"/>
                <w:color w:val="5A5A5A"/>
                <w:sz w:val="18"/>
              </w:rPr>
              <w:t>#dementia  #cognition  #modifiablerisk  #brainhealth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Socially isolated older adults</w:t>
            </w:r>
          </w:p>
        </w:tc>
        <w:tc>
          <w:tcPr>
            <w:tcW w:type="dxa" w:w="4276"/>
            <w:vAlign w:val="top"/>
          </w:tcPr>
          <w:p>
            <w:pPr>
              <w:spacing w:after="60" w:line="259" w:lineRule="auto"/>
            </w:pPr>
            <w:r>
              <w:rPr>
                <w:rFonts w:ascii="Calibri" w:hAnsi="Calibri"/>
                <w:b w:val="0"/>
                <w:i w:val="0"/>
                <w:color w:val="212121"/>
                <w:sz w:val="19"/>
              </w:rPr>
              <w:t>Difficulty communicating drives withdrawal, loneliness and low mood; depression is a frequent and under-recognised consequence of untreated presbycusis.</w:t>
            </w:r>
          </w:p>
          <w:p>
            <w:pPr>
              <w:spacing w:after="40" w:before="60" w:line="259" w:lineRule="auto"/>
            </w:pPr>
            <w:r>
              <w:rPr>
                <w:rFonts w:ascii="Calibri" w:hAnsi="Calibri"/>
                <w:b w:val="0"/>
                <w:i w:val="0"/>
                <w:color w:val="212121"/>
                <w:sz w:val="19"/>
              </w:rPr>
              <w:t>In an Indian tertiary-care study of elderly presbycusis patients, 89.2% had depressive symptoms, and severity of depression correlated with the degree of hearing loss (r=0.538, p=0.001).</w:t>
            </w:r>
          </w:p>
          <w:p>
            <w:pPr>
              <w:spacing w:after="40" w:line="252" w:lineRule="auto"/>
            </w:pPr>
            <w:hyperlink r:id="rId16">
              <w:r>
                <w:rPr>
                  <w:rFonts w:ascii="Calibri" w:hAnsi="Calibri" w:cs="Calibri"/>
                  <w:sz w:val="18"/>
                  <w:color w:val="1155CC"/>
                  <w:u w:val="single"/>
                </w:rPr>
                <w:t xml:space="preserve">pmc.ncbi.nlm.nih.gov/PMC12383957 — depression &amp; presbycusis</w:t>
              </w:r>
            </w:hyperlink>
          </w:p>
          <w:p>
            <w:pPr>
              <w:spacing w:before="60" w:after="40"/>
            </w:pPr>
            <w:r>
              <w:rPr>
                <w:rFonts w:ascii="Calibri" w:hAnsi="Calibri"/>
                <w:b w:val="0"/>
                <w:i w:val="0"/>
                <w:color w:val="5A5A5A"/>
                <w:sz w:val="18"/>
              </w:rPr>
              <w:t>#depression  #isolation  #mentalhealth  #loneliness  #qualityoflife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Ototoxic drug exposure</w:t>
            </w:r>
          </w:p>
        </w:tc>
        <w:tc>
          <w:tcPr>
            <w:tcW w:type="dxa" w:w="2160"/>
            <w:vAlign w:val="top"/>
          </w:tcPr>
          <w:p>
            <w:pPr>
              <w:spacing w:after="40" w:before="0" w:line="259" w:lineRule="auto"/>
            </w:pPr>
            <w:r>
              <w:rPr>
                <w:rFonts w:ascii="Calibri" w:hAnsi="Calibri"/>
                <w:b w:val="0"/>
                <w:i w:val="0"/>
                <w:color w:val="212121"/>
                <w:sz w:val="19"/>
              </w:rPr>
              <w:t>Patients on aminoglycosides / cisplatin / loop diuretics</w:t>
            </w:r>
          </w:p>
        </w:tc>
        <w:tc>
          <w:tcPr>
            <w:tcW w:type="dxa" w:w="4276"/>
            <w:vAlign w:val="top"/>
          </w:tcPr>
          <w:p>
            <w:pPr>
              <w:spacing w:after="60" w:line="259" w:lineRule="auto"/>
            </w:pPr>
            <w:r>
              <w:rPr>
                <w:rFonts w:ascii="Calibri" w:hAnsi="Calibri"/>
                <w:b w:val="0"/>
                <w:i w:val="0"/>
                <w:color w:val="212121"/>
                <w:sz w:val="19"/>
              </w:rPr>
              <w:t>Ototoxic medications damage cochlear hair cells and superimpose additional, often permanent, sensorineural loss on an already ageing cochlea.</w:t>
            </w:r>
          </w:p>
          <w:p>
            <w:pPr>
              <w:spacing w:after="40" w:before="60" w:line="259" w:lineRule="auto"/>
            </w:pPr>
            <w:r>
              <w:rPr>
                <w:rFonts w:ascii="Calibri" w:hAnsi="Calibri"/>
                <w:b w:val="0"/>
                <w:i w:val="0"/>
                <w:color w:val="212121"/>
                <w:sz w:val="19"/>
              </w:rPr>
              <w:t>Aminoglycoside antibiotics, platinum chemotherapy, loop diuretics and high-dose salicylates are established ototoxic contributors that worsen age-related hearing loss.</w:t>
            </w:r>
          </w:p>
          <w:p>
            <w:pPr>
              <w:spacing w:after="40" w:line="252" w:lineRule="auto"/>
            </w:pPr>
            <w:hyperlink r:id="rId9">
              <w:r>
                <w:rPr>
                  <w:rFonts w:ascii="Calibri" w:hAnsi="Calibri" w:cs="Calibri"/>
                  <w:sz w:val="18"/>
                  <w:color w:val="1155CC"/>
                  <w:u w:val="single"/>
                </w:rPr>
                <w:t xml:space="preserve">ncbi.nlm.nih.gov — Presbycusis (StatPearls)</w:t>
              </w:r>
            </w:hyperlink>
          </w:p>
          <w:p>
            <w:pPr>
              <w:spacing w:before="60" w:after="40"/>
            </w:pPr>
            <w:r>
              <w:rPr>
                <w:rFonts w:ascii="Calibri" w:hAnsi="Calibri"/>
                <w:b w:val="0"/>
                <w:i w:val="0"/>
                <w:color w:val="5A5A5A"/>
                <w:sz w:val="18"/>
              </w:rPr>
              <w:t>#ototoxicity  #aminoglycosides  #cisplatin  #loopdiuretics  #drugsafety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Higher physical function and cardiovascular fitness are associated with a lower likelihood of hearing loss in older adults, probably by preserving cochlear microcirculation; inactivity clusters with the metabolic risk factors that damage hearing.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rich in folate, omega-3 fatty acids and antioxidant vitamins are linked to better hearing, whereas high saturated-fat, low-antioxidant diets are associated with worse thresholds via oxidative stress and impaired cochlear blood flow.</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limited and indirect; poor sleep and sleep apnoea worsen the vascular and metabolic risk factors for hearing loss but have no strong direct causal link to presbycusis.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smoking cause cochlear hypoxia and oxidative stress and interact synergistically with noise, accelerating high-frequency loss in a dose-dependent manner.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is associated with central auditory and cochlear injury and worse thresholds; in Indian data alcohol was independently linked to hearing loss (p=0.003).</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untreated hearing loss commonly leads to depression and social isolation, and low mood in turn reduces engagement with rehabilitation and hearing-aid use.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cochlear fluid and vascular health, but there is no direct evidence that water intake influences the development of presbycusis.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Data are sparse and inconsistent; moderate caffeine intake has no established effect on age-related hearing loss.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Ear hygiene matters practically: cerumen impaction and untreated middle-ear infection add a reversible conductive loss on top of presbycusis, and safe aural care prevents avoidable worsening.</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Cumulative noise exposure and ototoxic medications are the principal modifiable accelerants of presbycusis, adding irreversible high-frequency hair-cell damage to intrinsic ageing.</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Noise exposure (8-h TWA)</w:t>
            </w:r>
          </w:p>
        </w:tc>
        <w:tc>
          <w:tcPr>
            <w:tcW w:type="dxa" w:w="1655"/>
            <w:vAlign w:val="top"/>
          </w:tcPr>
          <w:p>
            <w:pPr>
              <w:spacing w:after="40" w:before="0" w:line="259" w:lineRule="auto"/>
            </w:pPr>
            <w:r>
              <w:rPr>
                <w:rFonts w:ascii="Calibri" w:hAnsi="Calibri"/>
                <w:b w:val="0"/>
                <w:i w:val="0"/>
                <w:color w:val="212121"/>
                <w:sz w:val="19"/>
              </w:rPr>
              <w:t>Working &amp; retired adults</w:t>
            </w:r>
          </w:p>
        </w:tc>
        <w:tc>
          <w:tcPr>
            <w:tcW w:type="dxa" w:w="1512"/>
            <w:vAlign w:val="top"/>
          </w:tcPr>
          <w:p>
            <w:pPr>
              <w:spacing w:after="40" w:before="0" w:line="259" w:lineRule="auto"/>
            </w:pPr>
            <w:r>
              <w:rPr>
                <w:rFonts w:ascii="Calibri" w:hAnsi="Calibri"/>
                <w:b w:val="0"/>
                <w:i w:val="0"/>
                <w:color w:val="212121"/>
                <w:sz w:val="19"/>
              </w:rPr>
              <w:t>&lt; 85 dBA over 8 hours</w:t>
            </w:r>
          </w:p>
        </w:tc>
        <w:tc>
          <w:tcPr>
            <w:tcW w:type="dxa" w:w="1512"/>
            <w:vAlign w:val="top"/>
          </w:tcPr>
          <w:p>
            <w:pPr>
              <w:spacing w:after="40" w:before="0" w:line="259" w:lineRule="auto"/>
            </w:pPr>
            <w:r>
              <w:rPr>
                <w:rFonts w:ascii="Calibri" w:hAnsi="Calibri"/>
                <w:b w:val="0"/>
                <w:i w:val="0"/>
                <w:color w:val="212121"/>
                <w:sz w:val="19"/>
              </w:rPr>
              <w:t>≥ 85 dBA over 8 hours (or brief peaks ≥ 100 dBA)</w:t>
            </w:r>
          </w:p>
        </w:tc>
        <w:tc>
          <w:tcPr>
            <w:tcW w:type="dxa" w:w="1468"/>
            <w:vAlign w:val="top"/>
          </w:tcPr>
          <w:p>
            <w:pPr>
              <w:spacing w:after="40" w:before="0" w:line="259" w:lineRule="auto"/>
            </w:pPr>
            <w:r>
              <w:rPr>
                <w:rFonts w:ascii="Calibri" w:hAnsi="Calibri"/>
                <w:b w:val="0"/>
                <w:i w:val="0"/>
                <w:color w:val="212121"/>
                <w:sz w:val="19"/>
              </w:rPr>
              <w:t>Cumulative noise causes permanent high-frequency loss that compounds presbycusis; hearing protection is essential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Ototoxic drug exposure</w:t>
            </w:r>
          </w:p>
        </w:tc>
        <w:tc>
          <w:tcPr>
            <w:tcW w:type="dxa" w:w="1655"/>
            <w:vAlign w:val="top"/>
          </w:tcPr>
          <w:p>
            <w:pPr>
              <w:spacing w:after="40" w:before="0" w:line="259" w:lineRule="auto"/>
            </w:pPr>
            <w:r>
              <w:rPr>
                <w:rFonts w:ascii="Calibri" w:hAnsi="Calibri"/>
                <w:b w:val="0"/>
                <w:i w:val="0"/>
                <w:color w:val="212121"/>
                <w:sz w:val="19"/>
              </w:rPr>
              <w:t>Patients on ototoxic drugs</w:t>
            </w:r>
          </w:p>
        </w:tc>
        <w:tc>
          <w:tcPr>
            <w:tcW w:type="dxa" w:w="1512"/>
            <w:vAlign w:val="top"/>
          </w:tcPr>
          <w:p>
            <w:pPr>
              <w:spacing w:after="40" w:before="0" w:line="259" w:lineRule="auto"/>
            </w:pPr>
            <w:r>
              <w:rPr>
                <w:rFonts w:ascii="Calibri" w:hAnsi="Calibri"/>
                <w:b w:val="0"/>
                <w:i w:val="0"/>
                <w:color w:val="212121"/>
                <w:sz w:val="19"/>
              </w:rPr>
              <w:t>None / monitored use</w:t>
            </w:r>
          </w:p>
        </w:tc>
        <w:tc>
          <w:tcPr>
            <w:tcW w:type="dxa" w:w="1512"/>
            <w:vAlign w:val="top"/>
          </w:tcPr>
          <w:p>
            <w:pPr>
              <w:spacing w:after="40" w:before="0" w:line="259" w:lineRule="auto"/>
            </w:pPr>
            <w:r>
              <w:rPr>
                <w:rFonts w:ascii="Calibri" w:hAnsi="Calibri"/>
                <w:b w:val="0"/>
                <w:i w:val="0"/>
                <w:color w:val="212121"/>
                <w:sz w:val="19"/>
              </w:rPr>
              <w:t>Aminoglycosides, cisplatin, loop diuretics, high-dose salicylates</w:t>
            </w:r>
          </w:p>
        </w:tc>
        <w:tc>
          <w:tcPr>
            <w:tcW w:type="dxa" w:w="1468"/>
            <w:vAlign w:val="top"/>
          </w:tcPr>
          <w:p>
            <w:pPr>
              <w:spacing w:after="40" w:before="0" w:line="259" w:lineRule="auto"/>
            </w:pPr>
            <w:r>
              <w:rPr>
                <w:rFonts w:ascii="Calibri" w:hAnsi="Calibri"/>
                <w:b w:val="0"/>
                <w:i w:val="0"/>
                <w:color w:val="212121"/>
                <w:sz w:val="19"/>
              </w:rPr>
              <w:t>Use lowest effective dose with audiometric monitoring in the elderly</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Older 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Better physical function is associated with lower risk of hearing loss</w:t>
            </w:r>
          </w:p>
          <w:p>
            <w:pPr>
              <w:spacing w:after="40" w:line="252" w:lineRule="auto"/>
            </w:pPr>
            <w:hyperlink r:id="rId13">
              <w:r>
                <w:rPr>
                  <w:rFonts w:ascii="Calibri" w:hAnsi="Calibri" w:cs="Calibri"/>
                  <w:sz w:val="18"/>
                  <w:color w:val="1155CC"/>
                  <w:u w:val="single"/>
                </w:rPr>
                <w:t xml:space="preserve">https://www.sc.edu/study/colleges_schools/public_health/about/news/2026/physical_activity_hearing_loss_neils-strunjas_comd.php</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40" w:before="0" w:line="259" w:lineRule="auto"/>
            </w:pPr>
            <w:r>
              <w:rPr>
                <w:rFonts w:ascii="Calibri" w:hAnsi="Calibri"/>
                <w:b w:val="0"/>
                <w:i w:val="0"/>
                <w:color w:val="212121"/>
                <w:sz w:val="19"/>
              </w:rPr>
              <w:t>Central obesity and metabolic syndrome worsen cochlear microcirculation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Smoking (pack-years)</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Any current smoking; risk rises with pack-years</w:t>
            </w:r>
          </w:p>
        </w:tc>
        <w:tc>
          <w:tcPr>
            <w:tcW w:type="dxa" w:w="1468"/>
            <w:vAlign w:val="top"/>
          </w:tcPr>
          <w:p>
            <w:pPr>
              <w:spacing w:after="40" w:before="0" w:line="259" w:lineRule="auto"/>
            </w:pPr>
            <w:r>
              <w:rPr>
                <w:rFonts w:ascii="Calibri" w:hAnsi="Calibri"/>
                <w:b w:val="0"/>
                <w:i w:val="0"/>
                <w:color w:val="212121"/>
                <w:sz w:val="19"/>
              </w:rPr>
              <w:t>Dose-dependent acceleration of high-frequency loss; synergistic with noise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None or ≤ moderate</w:t>
            </w:r>
          </w:p>
        </w:tc>
        <w:tc>
          <w:tcPr>
            <w:tcW w:type="dxa" w:w="1512"/>
            <w:vAlign w:val="top"/>
          </w:tcPr>
          <w:p>
            <w:pPr>
              <w:spacing w:after="40" w:before="0" w:line="259" w:lineRule="auto"/>
            </w:pPr>
            <w:r>
              <w:rPr>
                <w:rFonts w:ascii="Calibri" w:hAnsi="Calibri"/>
                <w:b w:val="0"/>
                <w:i w:val="0"/>
                <w:color w:val="212121"/>
                <w:sz w:val="19"/>
              </w:rPr>
              <w:t>Heavy / chronic intake</w:t>
            </w:r>
          </w:p>
        </w:tc>
        <w:tc>
          <w:tcPr>
            <w:tcW w:type="dxa" w:w="1468"/>
            <w:vAlign w:val="top"/>
          </w:tcPr>
          <w:p>
            <w:pPr>
              <w:spacing w:after="40" w:before="0" w:line="259" w:lineRule="auto"/>
            </w:pPr>
            <w:r>
              <w:rPr>
                <w:rFonts w:ascii="Calibri" w:hAnsi="Calibri"/>
                <w:b w:val="0"/>
                <w:i w:val="0"/>
                <w:color w:val="212121"/>
                <w:sz w:val="19"/>
              </w:rPr>
              <w:t>Heavy use linked to central auditory injury and worse thresholds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 quality (antioxidants, folate, omega-3)</w:t>
            </w:r>
          </w:p>
        </w:tc>
        <w:tc>
          <w:tcPr>
            <w:tcW w:type="dxa" w:w="1655"/>
            <w:vAlign w:val="top"/>
          </w:tcPr>
          <w:p>
            <w:pPr>
              <w:spacing w:after="40" w:before="0" w:line="259" w:lineRule="auto"/>
            </w:pPr>
            <w:r>
              <w:rPr>
                <w:rFonts w:ascii="Calibri" w:hAnsi="Calibri"/>
                <w:b w:val="0"/>
                <w:i w:val="0"/>
                <w:color w:val="212121"/>
                <w:sz w:val="19"/>
              </w:rPr>
              <w:t>Older adults</w:t>
            </w:r>
          </w:p>
        </w:tc>
        <w:tc>
          <w:tcPr>
            <w:tcW w:type="dxa" w:w="1512"/>
            <w:vAlign w:val="top"/>
          </w:tcPr>
          <w:p>
            <w:pPr>
              <w:spacing w:after="40" w:before="0" w:line="259" w:lineRule="auto"/>
            </w:pPr>
            <w:r>
              <w:rPr>
                <w:rFonts w:ascii="Calibri" w:hAnsi="Calibri"/>
                <w:b w:val="0"/>
                <w:i w:val="0"/>
                <w:color w:val="212121"/>
                <w:sz w:val="19"/>
              </w:rPr>
              <w:t>Adequate folate, omega-3, fruit &amp; vegetables</w:t>
            </w:r>
          </w:p>
        </w:tc>
        <w:tc>
          <w:tcPr>
            <w:tcW w:type="dxa" w:w="1512"/>
            <w:vAlign w:val="top"/>
          </w:tcPr>
          <w:p>
            <w:pPr>
              <w:spacing w:after="40" w:before="0" w:line="259" w:lineRule="auto"/>
            </w:pPr>
            <w:r>
              <w:rPr>
                <w:rFonts w:ascii="Calibri" w:hAnsi="Calibri"/>
                <w:b w:val="0"/>
                <w:i w:val="0"/>
                <w:color w:val="212121"/>
                <w:sz w:val="19"/>
              </w:rPr>
              <w:t>High saturated fat, low antioxidant intake</w:t>
            </w:r>
          </w:p>
        </w:tc>
        <w:tc>
          <w:tcPr>
            <w:tcW w:type="dxa" w:w="1468"/>
            <w:vAlign w:val="top"/>
          </w:tcPr>
          <w:p>
            <w:pPr>
              <w:spacing w:after="40" w:before="0" w:line="259" w:lineRule="auto"/>
            </w:pPr>
            <w:r>
              <w:rPr>
                <w:rFonts w:ascii="Calibri" w:hAnsi="Calibri"/>
                <w:b w:val="0"/>
                <w:i w:val="0"/>
                <w:color w:val="212121"/>
                <w:sz w:val="19"/>
              </w:rPr>
              <w:t>Nutrient-rich diet associated with better hearing preservation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Fasting glucose / HbA1c</w:t>
            </w:r>
          </w:p>
        </w:tc>
        <w:tc>
          <w:tcPr>
            <w:tcW w:type="dxa" w:w="1655"/>
            <w:vAlign w:val="top"/>
          </w:tcPr>
          <w:p>
            <w:pPr>
              <w:spacing w:after="40" w:before="0" w:line="259" w:lineRule="auto"/>
            </w:pPr>
            <w:r>
              <w:rPr>
                <w:rFonts w:ascii="Calibri" w:hAnsi="Calibri"/>
                <w:b w:val="0"/>
                <w:i w:val="0"/>
                <w:color w:val="212121"/>
                <w:sz w:val="19"/>
              </w:rPr>
              <w:t>Diabetic &amp; prediabetic elders</w:t>
            </w:r>
          </w:p>
        </w:tc>
        <w:tc>
          <w:tcPr>
            <w:tcW w:type="dxa" w:w="1512"/>
            <w:vAlign w:val="top"/>
          </w:tcPr>
          <w:p>
            <w:pPr>
              <w:spacing w:after="40" w:before="0" w:line="259" w:lineRule="auto"/>
            </w:pPr>
            <w:r>
              <w:rPr>
                <w:rFonts w:ascii="Calibri" w:hAnsi="Calibri"/>
                <w:b w:val="0"/>
                <w:i w:val="0"/>
                <w:color w:val="212121"/>
                <w:sz w:val="19"/>
              </w:rPr>
              <w:t>HbA1c &lt; 5.7%</w:t>
            </w:r>
          </w:p>
        </w:tc>
        <w:tc>
          <w:tcPr>
            <w:tcW w:type="dxa" w:w="1512"/>
            <w:vAlign w:val="top"/>
          </w:tcPr>
          <w:p>
            <w:pPr>
              <w:spacing w:after="40" w:before="0" w:line="259" w:lineRule="auto"/>
            </w:pPr>
            <w:r>
              <w:rPr>
                <w:rFonts w:ascii="Calibri" w:hAnsi="Calibri"/>
                <w:b w:val="0"/>
                <w:i w:val="0"/>
                <w:color w:val="212121"/>
                <w:sz w:val="19"/>
              </w:rPr>
              <w:t>HbA1c ≥ 6.5% (diabetes); 5.7–6.4% (prediabetes)</w:t>
            </w:r>
          </w:p>
        </w:tc>
        <w:tc>
          <w:tcPr>
            <w:tcW w:type="dxa" w:w="1468"/>
            <w:vAlign w:val="top"/>
          </w:tcPr>
          <w:p>
            <w:pPr>
              <w:spacing w:after="60" w:line="259" w:lineRule="auto"/>
            </w:pPr>
            <w:r>
              <w:rPr>
                <w:rFonts w:ascii="Calibri" w:hAnsi="Calibri"/>
                <w:b w:val="0"/>
                <w:i w:val="0"/>
                <w:color w:val="212121"/>
                <w:sz w:val="19"/>
              </w:rPr>
              <w:t>Hearing loss ~2× more common in diabetes; even prediabetes raises risk 30%</w:t>
            </w:r>
          </w:p>
          <w:p>
            <w:pPr>
              <w:spacing w:after="40" w:line="252" w:lineRule="auto"/>
            </w:pPr>
            <w:hyperlink r:id="rId14">
              <w:r>
                <w:rPr>
                  <w:rFonts w:ascii="Calibri" w:hAnsi="Calibri" w:cs="Calibri"/>
                  <w:sz w:val="18"/>
                  <w:color w:val="1155CC"/>
                  <w:u w:val="single"/>
                </w:rPr>
                <w:t xml:space="preserve">https://www.cdc.gov/diabetes/diabetes-complications/diabetes-and-hearing-loss.html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Hypertensive elders</w:t>
            </w:r>
          </w:p>
        </w:tc>
        <w:tc>
          <w:tcPr>
            <w:tcW w:type="dxa" w:w="1512"/>
            <w:vAlign w:val="top"/>
          </w:tcPr>
          <w:p>
            <w:pPr>
              <w:spacing w:after="40" w:before="0" w:line="259" w:lineRule="auto"/>
            </w:pPr>
            <w:r>
              <w:rPr>
                <w:rFonts w:ascii="Calibri" w:hAnsi="Calibri"/>
                <w:b w:val="0"/>
                <w:i w:val="0"/>
                <w:color w:val="212121"/>
                <w:sz w:val="19"/>
              </w:rPr>
              <w:t>&lt; 120/80 mmHg</w:t>
            </w:r>
          </w:p>
        </w:tc>
        <w:tc>
          <w:tcPr>
            <w:tcW w:type="dxa" w:w="1512"/>
            <w:vAlign w:val="top"/>
          </w:tcPr>
          <w:p>
            <w:pPr>
              <w:spacing w:after="40" w:before="0" w:line="259" w:lineRule="auto"/>
            </w:pPr>
            <w:r>
              <w:rPr>
                <w:rFonts w:ascii="Calibri" w:hAnsi="Calibri"/>
                <w:b w:val="0"/>
                <w:i w:val="0"/>
                <w:color w:val="212121"/>
                <w:sz w:val="19"/>
              </w:rPr>
              <w:t>≥ 140/90 mmHg</w:t>
            </w:r>
          </w:p>
        </w:tc>
        <w:tc>
          <w:tcPr>
            <w:tcW w:type="dxa" w:w="1468"/>
            <w:vAlign w:val="top"/>
          </w:tcPr>
          <w:p>
            <w:pPr>
              <w:spacing w:after="40" w:before="0" w:line="259" w:lineRule="auto"/>
            </w:pPr>
            <w:r>
              <w:rPr>
                <w:rFonts w:ascii="Calibri" w:hAnsi="Calibri"/>
                <w:b w:val="0"/>
                <w:i w:val="0"/>
                <w:color w:val="212121"/>
                <w:sz w:val="19"/>
              </w:rPr>
              <w:t>Hypertension impairs end-arterial cochlear perfusion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Pure-tone average (dB HL)</w:t>
            </w:r>
          </w:p>
        </w:tc>
        <w:tc>
          <w:tcPr>
            <w:tcW w:type="dxa" w:w="1655"/>
            <w:vAlign w:val="top"/>
          </w:tcPr>
          <w:p>
            <w:pPr>
              <w:spacing w:after="40" w:before="0" w:line="259" w:lineRule="auto"/>
            </w:pPr>
            <w:r>
              <w:rPr>
                <w:rFonts w:ascii="Calibri" w:hAnsi="Calibri"/>
                <w:b w:val="0"/>
                <w:i w:val="0"/>
                <w:color w:val="212121"/>
                <w:sz w:val="19"/>
              </w:rPr>
              <w:t>All older adults</w:t>
            </w:r>
          </w:p>
        </w:tc>
        <w:tc>
          <w:tcPr>
            <w:tcW w:type="dxa" w:w="1512"/>
            <w:vAlign w:val="top"/>
          </w:tcPr>
          <w:p>
            <w:pPr>
              <w:spacing w:after="40" w:before="0" w:line="259" w:lineRule="auto"/>
            </w:pPr>
            <w:r>
              <w:rPr>
                <w:rFonts w:ascii="Calibri" w:hAnsi="Calibri"/>
                <w:b w:val="0"/>
                <w:i w:val="0"/>
                <w:color w:val="212121"/>
                <w:sz w:val="19"/>
              </w:rPr>
              <w:t>≤ 25 dB HL</w:t>
            </w:r>
          </w:p>
        </w:tc>
        <w:tc>
          <w:tcPr>
            <w:tcW w:type="dxa" w:w="1512"/>
            <w:vAlign w:val="top"/>
          </w:tcPr>
          <w:p>
            <w:pPr>
              <w:spacing w:after="40" w:before="0" w:line="259" w:lineRule="auto"/>
            </w:pPr>
            <w:r>
              <w:rPr>
                <w:rFonts w:ascii="Calibri" w:hAnsi="Calibri"/>
                <w:b w:val="0"/>
                <w:i w:val="0"/>
                <w:color w:val="212121"/>
                <w:sz w:val="19"/>
              </w:rPr>
              <w:t>&gt; 25 dB HL (high-frequency thresholds rise first)</w:t>
            </w:r>
          </w:p>
        </w:tc>
        <w:tc>
          <w:tcPr>
            <w:tcW w:type="dxa" w:w="1468"/>
            <w:vAlign w:val="top"/>
          </w:tcPr>
          <w:p>
            <w:pPr>
              <w:spacing w:after="40" w:before="0" w:line="259" w:lineRule="auto"/>
            </w:pPr>
            <w:r>
              <w:rPr>
                <w:rFonts w:ascii="Calibri" w:hAnsi="Calibri"/>
                <w:b w:val="0"/>
                <w:i w:val="0"/>
                <w:color w:val="212121"/>
                <w:sz w:val="19"/>
              </w:rPr>
              <w:t>Screening audiometry detects disabling loss and grades severity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Pure-Tone Air &amp; Bone Thresholds</w:t>
            </w:r>
          </w:p>
        </w:tc>
        <w:tc>
          <w:tcPr>
            <w:tcW w:type="dxa" w:w="892"/>
            <w:vAlign w:val="top"/>
          </w:tcPr>
          <w:p>
            <w:pPr>
              <w:spacing w:after="40" w:before="0" w:line="259" w:lineRule="auto"/>
            </w:pPr>
            <w:r>
              <w:rPr>
                <w:rFonts w:ascii="Calibri" w:hAnsi="Calibri"/>
                <w:b w:val="0"/>
                <w:i w:val="0"/>
                <w:color w:val="212121"/>
                <w:sz w:val="16"/>
              </w:rPr>
              <w:t>Pure-Tone Audiometry (PTA)</w:t>
            </w:r>
          </w:p>
        </w:tc>
        <w:tc>
          <w:tcPr>
            <w:tcW w:type="dxa" w:w="950"/>
            <w:vAlign w:val="top"/>
          </w:tcPr>
          <w:p>
            <w:pPr>
              <w:spacing w:after="40" w:before="0" w:line="259" w:lineRule="auto"/>
            </w:pPr>
            <w:r>
              <w:rPr>
                <w:rFonts w:ascii="Calibri" w:hAnsi="Calibri"/>
                <w:b w:val="0"/>
                <w:i w:val="0"/>
                <w:color w:val="212121"/>
                <w:sz w:val="16"/>
              </w:rPr>
              <w:t>≤ 25 dB HL across 0.5–8 kHz</w:t>
            </w:r>
          </w:p>
        </w:tc>
        <w:tc>
          <w:tcPr>
            <w:tcW w:type="dxa" w:w="950"/>
            <w:vAlign w:val="top"/>
          </w:tcPr>
          <w:p>
            <w:pPr>
              <w:spacing w:after="40" w:before="0" w:line="259" w:lineRule="auto"/>
            </w:pPr>
            <w:r>
              <w:rPr>
                <w:rFonts w:ascii="Calibri" w:hAnsi="Calibri"/>
                <w:b w:val="0"/>
                <w:i w:val="0"/>
                <w:color w:val="212121"/>
                <w:sz w:val="16"/>
              </w:rPr>
              <w:t>&gt; 25 dB HL, worst at high frequencies; no air–bone gap</w:t>
            </w:r>
          </w:p>
        </w:tc>
        <w:tc>
          <w:tcPr>
            <w:tcW w:type="dxa" w:w="1036"/>
            <w:vAlign w:val="top"/>
          </w:tcPr>
          <w:p>
            <w:pPr>
              <w:spacing w:after="40" w:before="0" w:line="259" w:lineRule="auto"/>
            </w:pPr>
            <w:r>
              <w:rPr>
                <w:rFonts w:ascii="Calibri" w:hAnsi="Calibri"/>
                <w:b w:val="0"/>
                <w:i w:val="0"/>
                <w:color w:val="212121"/>
                <w:sz w:val="16"/>
              </w:rPr>
              <w:t>Confirms bilateral high-frequency sensorineural loss and grades severity</w:t>
            </w:r>
          </w:p>
        </w:tc>
        <w:tc>
          <w:tcPr>
            <w:tcW w:type="dxa" w:w="1036"/>
            <w:vAlign w:val="top"/>
          </w:tcPr>
          <w:p>
            <w:pPr>
              <w:spacing w:after="40" w:before="0" w:line="259" w:lineRule="auto"/>
            </w:pPr>
            <w:r>
              <w:rPr>
                <w:rFonts w:ascii="Calibri" w:hAnsi="Calibri"/>
                <w:b w:val="0"/>
                <w:i w:val="0"/>
                <w:color w:val="212121"/>
                <w:sz w:val="16"/>
              </w:rPr>
              <w:t>Elderly, diabetics, noise-exposed, symptomatic adults</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Down-sloping symmetrical audiogram is characteristic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Speech Reception Threshold &amp; Word Recognition</w:t>
            </w:r>
          </w:p>
        </w:tc>
        <w:tc>
          <w:tcPr>
            <w:tcW w:type="dxa" w:w="892"/>
            <w:vAlign w:val="top"/>
          </w:tcPr>
          <w:p>
            <w:pPr>
              <w:spacing w:after="40" w:before="0" w:line="259" w:lineRule="auto"/>
            </w:pPr>
            <w:r>
              <w:rPr>
                <w:rFonts w:ascii="Calibri" w:hAnsi="Calibri"/>
                <w:b w:val="0"/>
                <w:i w:val="0"/>
                <w:color w:val="212121"/>
                <w:sz w:val="16"/>
              </w:rPr>
              <w:t>Speech Audiometry</w:t>
            </w:r>
          </w:p>
        </w:tc>
        <w:tc>
          <w:tcPr>
            <w:tcW w:type="dxa" w:w="950"/>
            <w:vAlign w:val="top"/>
          </w:tcPr>
          <w:p>
            <w:pPr>
              <w:spacing w:after="40" w:before="0" w:line="259" w:lineRule="auto"/>
            </w:pPr>
            <w:r>
              <w:rPr>
                <w:rFonts w:ascii="Calibri" w:hAnsi="Calibri"/>
                <w:b w:val="0"/>
                <w:i w:val="0"/>
                <w:color w:val="212121"/>
                <w:sz w:val="16"/>
              </w:rPr>
              <w:t>Word-recognition ≥ 90%</w:t>
            </w:r>
          </w:p>
        </w:tc>
        <w:tc>
          <w:tcPr>
            <w:tcW w:type="dxa" w:w="950"/>
            <w:vAlign w:val="top"/>
          </w:tcPr>
          <w:p>
            <w:pPr>
              <w:spacing w:after="40" w:before="0" w:line="259" w:lineRule="auto"/>
            </w:pPr>
            <w:r>
              <w:rPr>
                <w:rFonts w:ascii="Calibri" w:hAnsi="Calibri"/>
                <w:b w:val="0"/>
                <w:i w:val="0"/>
                <w:color w:val="212121"/>
                <w:sz w:val="16"/>
              </w:rPr>
              <w:t>Scores disproportionately low vs pure-tone (phonemic regression)</w:t>
            </w:r>
          </w:p>
        </w:tc>
        <w:tc>
          <w:tcPr>
            <w:tcW w:type="dxa" w:w="1036"/>
            <w:vAlign w:val="top"/>
          </w:tcPr>
          <w:p>
            <w:pPr>
              <w:spacing w:after="40" w:before="0" w:line="259" w:lineRule="auto"/>
            </w:pPr>
            <w:r>
              <w:rPr>
                <w:rFonts w:ascii="Calibri" w:hAnsi="Calibri"/>
                <w:b w:val="0"/>
                <w:i w:val="0"/>
                <w:color w:val="212121"/>
                <w:sz w:val="16"/>
              </w:rPr>
              <w:t>Quantifies real-world speech understanding; poor scores suggest neural presbycusis</w:t>
            </w:r>
          </w:p>
        </w:tc>
        <w:tc>
          <w:tcPr>
            <w:tcW w:type="dxa" w:w="1036"/>
            <w:vAlign w:val="top"/>
          </w:tcPr>
          <w:p>
            <w:pPr>
              <w:spacing w:after="40" w:before="0" w:line="259" w:lineRule="auto"/>
            </w:pPr>
            <w:r>
              <w:rPr>
                <w:rFonts w:ascii="Calibri" w:hAnsi="Calibri"/>
                <w:b w:val="0"/>
                <w:i w:val="0"/>
                <w:color w:val="212121"/>
                <w:sz w:val="16"/>
              </w:rPr>
              <w:t>Elderly with speech-in-noise difficulty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Key for hearing-aid candidacy and counselling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Middle-Ear Compliance</w:t>
            </w:r>
          </w:p>
        </w:tc>
        <w:tc>
          <w:tcPr>
            <w:tcW w:type="dxa" w:w="892"/>
            <w:vAlign w:val="top"/>
          </w:tcPr>
          <w:p>
            <w:pPr>
              <w:spacing w:after="40" w:before="0" w:line="259" w:lineRule="auto"/>
            </w:pPr>
            <w:r>
              <w:rPr>
                <w:rFonts w:ascii="Calibri" w:hAnsi="Calibri"/>
                <w:b w:val="0"/>
                <w:i w:val="0"/>
                <w:color w:val="212121"/>
                <w:sz w:val="16"/>
              </w:rPr>
              <w:t>Tympanometry</w:t>
            </w:r>
          </w:p>
        </w:tc>
        <w:tc>
          <w:tcPr>
            <w:tcW w:type="dxa" w:w="950"/>
            <w:vAlign w:val="top"/>
          </w:tcPr>
          <w:p>
            <w:pPr>
              <w:spacing w:after="40" w:before="0" w:line="259" w:lineRule="auto"/>
            </w:pPr>
            <w:r>
              <w:rPr>
                <w:rFonts w:ascii="Calibri" w:hAnsi="Calibri"/>
                <w:b w:val="0"/>
                <w:i w:val="0"/>
                <w:color w:val="212121"/>
                <w:sz w:val="16"/>
              </w:rPr>
              <w:t>Type A (normal compliance)</w:t>
            </w:r>
          </w:p>
        </w:tc>
        <w:tc>
          <w:tcPr>
            <w:tcW w:type="dxa" w:w="950"/>
            <w:vAlign w:val="top"/>
          </w:tcPr>
          <w:p>
            <w:pPr>
              <w:spacing w:after="40" w:before="0" w:line="259" w:lineRule="auto"/>
            </w:pPr>
            <w:r>
              <w:rPr>
                <w:rFonts w:ascii="Calibri" w:hAnsi="Calibri"/>
                <w:b w:val="0"/>
                <w:i w:val="0"/>
                <w:color w:val="212121"/>
                <w:sz w:val="16"/>
              </w:rPr>
              <w:t>Type B/C suggest coexisting middle-ear pathology</w:t>
            </w:r>
          </w:p>
        </w:tc>
        <w:tc>
          <w:tcPr>
            <w:tcW w:type="dxa" w:w="1036"/>
            <w:vAlign w:val="top"/>
          </w:tcPr>
          <w:p>
            <w:pPr>
              <w:spacing w:after="40" w:before="0" w:line="259" w:lineRule="auto"/>
            </w:pPr>
            <w:r>
              <w:rPr>
                <w:rFonts w:ascii="Calibri" w:hAnsi="Calibri"/>
                <w:b w:val="0"/>
                <w:i w:val="0"/>
                <w:color w:val="212121"/>
                <w:sz w:val="16"/>
              </w:rPr>
              <w:t>Excludes a conductive component (effusion, otosclerosis)</w:t>
            </w:r>
          </w:p>
        </w:tc>
        <w:tc>
          <w:tcPr>
            <w:tcW w:type="dxa" w:w="1036"/>
            <w:vAlign w:val="top"/>
          </w:tcPr>
          <w:p>
            <w:pPr>
              <w:spacing w:after="40" w:before="0" w:line="259" w:lineRule="auto"/>
            </w:pPr>
            <w:r>
              <w:rPr>
                <w:rFonts w:ascii="Calibri" w:hAnsi="Calibri"/>
                <w:b w:val="0"/>
                <w:i w:val="0"/>
                <w:color w:val="212121"/>
                <w:sz w:val="16"/>
              </w:rPr>
              <w:t>All patients before diagnosing presbycusis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Ensures loss is truly sensorineural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Otoacoustic Emissions</w:t>
            </w:r>
          </w:p>
        </w:tc>
        <w:tc>
          <w:tcPr>
            <w:tcW w:type="dxa" w:w="892"/>
            <w:vAlign w:val="top"/>
          </w:tcPr>
          <w:p>
            <w:pPr>
              <w:spacing w:after="40" w:before="0" w:line="259" w:lineRule="auto"/>
            </w:pPr>
            <w:r>
              <w:rPr>
                <w:rFonts w:ascii="Calibri" w:hAnsi="Calibri"/>
                <w:b w:val="0"/>
                <w:i w:val="0"/>
                <w:color w:val="212121"/>
                <w:sz w:val="16"/>
              </w:rPr>
              <w:t>OAE (DPOAE/TEOAE)</w:t>
            </w:r>
          </w:p>
        </w:tc>
        <w:tc>
          <w:tcPr>
            <w:tcW w:type="dxa" w:w="950"/>
            <w:vAlign w:val="top"/>
          </w:tcPr>
          <w:p>
            <w:pPr>
              <w:spacing w:after="40" w:before="0" w:line="259" w:lineRule="auto"/>
            </w:pPr>
            <w:r>
              <w:rPr>
                <w:rFonts w:ascii="Calibri" w:hAnsi="Calibri"/>
                <w:b w:val="0"/>
                <w:i w:val="0"/>
                <w:color w:val="212121"/>
                <w:sz w:val="16"/>
              </w:rPr>
              <w:t>Emissions present</w:t>
            </w:r>
          </w:p>
        </w:tc>
        <w:tc>
          <w:tcPr>
            <w:tcW w:type="dxa" w:w="950"/>
            <w:vAlign w:val="top"/>
          </w:tcPr>
          <w:p>
            <w:pPr>
              <w:spacing w:after="40" w:before="0" w:line="259" w:lineRule="auto"/>
            </w:pPr>
            <w:r>
              <w:rPr>
                <w:rFonts w:ascii="Calibri" w:hAnsi="Calibri"/>
                <w:b w:val="0"/>
                <w:i w:val="0"/>
                <w:color w:val="212121"/>
                <w:sz w:val="16"/>
              </w:rPr>
              <w:t>Reduced/absent emissions</w:t>
            </w:r>
          </w:p>
        </w:tc>
        <w:tc>
          <w:tcPr>
            <w:tcW w:type="dxa" w:w="1036"/>
            <w:vAlign w:val="top"/>
          </w:tcPr>
          <w:p>
            <w:pPr>
              <w:spacing w:after="40" w:before="0" w:line="259" w:lineRule="auto"/>
            </w:pPr>
            <w:r>
              <w:rPr>
                <w:rFonts w:ascii="Calibri" w:hAnsi="Calibri"/>
                <w:b w:val="0"/>
                <w:i w:val="0"/>
                <w:color w:val="212121"/>
                <w:sz w:val="16"/>
              </w:rPr>
              <w:t>Objective marker of outer-hair-cell dysfunction</w:t>
            </w:r>
          </w:p>
        </w:tc>
        <w:tc>
          <w:tcPr>
            <w:tcW w:type="dxa" w:w="1036"/>
            <w:vAlign w:val="top"/>
          </w:tcPr>
          <w:p>
            <w:pPr>
              <w:spacing w:after="40" w:before="0" w:line="259" w:lineRule="auto"/>
            </w:pPr>
            <w:r>
              <w:rPr>
                <w:rFonts w:ascii="Calibri" w:hAnsi="Calibri"/>
                <w:b w:val="0"/>
                <w:i w:val="0"/>
                <w:color w:val="212121"/>
                <w:sz w:val="16"/>
              </w:rPr>
              <w:t>Screening, uncooperative or medico-legal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Detects early cochlear damage before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 / Imaging</w:t>
            </w:r>
          </w:p>
        </w:tc>
        <w:tc>
          <w:tcPr>
            <w:tcW w:type="dxa" w:w="1036"/>
            <w:vAlign w:val="top"/>
          </w:tcPr>
          <w:p>
            <w:pPr>
              <w:spacing w:after="40" w:before="0" w:line="259" w:lineRule="auto"/>
            </w:pPr>
            <w:r>
              <w:rPr>
                <w:rFonts w:ascii="Calibri" w:hAnsi="Calibri"/>
                <w:b w:val="0"/>
                <w:i w:val="0"/>
                <w:color w:val="212121"/>
                <w:sz w:val="16"/>
              </w:rPr>
              <w:t>ABR / MRI internal acoustic meatus</w:t>
            </w:r>
          </w:p>
        </w:tc>
        <w:tc>
          <w:tcPr>
            <w:tcW w:type="dxa" w:w="892"/>
            <w:vAlign w:val="top"/>
          </w:tcPr>
          <w:p>
            <w:pPr>
              <w:spacing w:after="40" w:before="0" w:line="259" w:lineRule="auto"/>
            </w:pPr>
            <w:r>
              <w:rPr>
                <w:rFonts w:ascii="Calibri" w:hAnsi="Calibri"/>
                <w:b w:val="0"/>
                <w:i w:val="0"/>
                <w:color w:val="212121"/>
                <w:sz w:val="16"/>
              </w:rPr>
              <w:t>ABR / MRI</w:t>
            </w:r>
          </w:p>
        </w:tc>
        <w:tc>
          <w:tcPr>
            <w:tcW w:type="dxa" w:w="950"/>
            <w:vAlign w:val="top"/>
          </w:tcPr>
          <w:p>
            <w:pPr>
              <w:spacing w:after="40" w:before="0" w:line="259" w:lineRule="auto"/>
            </w:pPr>
            <w:r>
              <w:rPr>
                <w:rFonts w:ascii="Calibri" w:hAnsi="Calibri"/>
                <w:b w:val="0"/>
                <w:i w:val="0"/>
                <w:color w:val="212121"/>
                <w:sz w:val="16"/>
              </w:rPr>
              <w:t>Symmetric responses; no retrocochlear lesion</w:t>
            </w:r>
          </w:p>
        </w:tc>
        <w:tc>
          <w:tcPr>
            <w:tcW w:type="dxa" w:w="950"/>
            <w:vAlign w:val="top"/>
          </w:tcPr>
          <w:p>
            <w:pPr>
              <w:spacing w:after="40" w:before="0" w:line="259" w:lineRule="auto"/>
            </w:pPr>
            <w:r>
              <w:rPr>
                <w:rFonts w:ascii="Calibri" w:hAnsi="Calibri"/>
                <w:b w:val="0"/>
                <w:i w:val="0"/>
                <w:color w:val="212121"/>
                <w:sz w:val="16"/>
              </w:rPr>
              <w:t>Asymmetry or mass (e.g. vestibular schwannoma)</w:t>
            </w:r>
          </w:p>
        </w:tc>
        <w:tc>
          <w:tcPr>
            <w:tcW w:type="dxa" w:w="1036"/>
            <w:vAlign w:val="top"/>
          </w:tcPr>
          <w:p>
            <w:pPr>
              <w:spacing w:after="40" w:before="0" w:line="259" w:lineRule="auto"/>
            </w:pPr>
            <w:r>
              <w:rPr>
                <w:rFonts w:ascii="Calibri" w:hAnsi="Calibri"/>
                <w:b w:val="0"/>
                <w:i w:val="0"/>
                <w:color w:val="212121"/>
                <w:sz w:val="16"/>
              </w:rPr>
              <w:t>Excludes retrocochlear pathology when loss is asymmetric or rapidly progressive</w:t>
            </w:r>
          </w:p>
        </w:tc>
        <w:tc>
          <w:tcPr>
            <w:tcW w:type="dxa" w:w="1036"/>
            <w:vAlign w:val="top"/>
          </w:tcPr>
          <w:p>
            <w:pPr>
              <w:spacing w:after="40" w:before="0" w:line="259" w:lineRule="auto"/>
            </w:pPr>
            <w:r>
              <w:rPr>
                <w:rFonts w:ascii="Calibri" w:hAnsi="Calibri"/>
                <w:b w:val="0"/>
                <w:i w:val="0"/>
                <w:color w:val="212121"/>
                <w:sz w:val="16"/>
              </w:rPr>
              <w:t>Asymmetric or unilateral loss, pulsatile tinnitus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 for typical symmetric presbycusis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HbA1c, Fasting Glucose, Lipids</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HbA1c &lt; 5.7%; normal lipids</w:t>
            </w:r>
          </w:p>
        </w:tc>
        <w:tc>
          <w:tcPr>
            <w:tcW w:type="dxa" w:w="950"/>
            <w:vAlign w:val="top"/>
          </w:tcPr>
          <w:p>
            <w:pPr>
              <w:spacing w:after="40" w:before="0" w:line="259" w:lineRule="auto"/>
            </w:pPr>
            <w:r>
              <w:rPr>
                <w:rFonts w:ascii="Calibri" w:hAnsi="Calibri"/>
                <w:b w:val="0"/>
                <w:i w:val="0"/>
                <w:color w:val="212121"/>
                <w:sz w:val="16"/>
              </w:rPr>
              <w:t>HbA1c ≥ 6.5%; dyslipidaemia</w:t>
            </w:r>
          </w:p>
        </w:tc>
        <w:tc>
          <w:tcPr>
            <w:tcW w:type="dxa" w:w="1036"/>
            <w:vAlign w:val="top"/>
          </w:tcPr>
          <w:p>
            <w:pPr>
              <w:spacing w:after="40" w:before="0" w:line="259" w:lineRule="auto"/>
            </w:pPr>
            <w:r>
              <w:rPr>
                <w:rFonts w:ascii="Calibri" w:hAnsi="Calibri"/>
                <w:b w:val="0"/>
                <w:i w:val="0"/>
                <w:color w:val="212121"/>
                <w:sz w:val="16"/>
              </w:rPr>
              <w:t>Identifies treatable cardiometabolic drivers of cochlear injury</w:t>
            </w:r>
          </w:p>
        </w:tc>
        <w:tc>
          <w:tcPr>
            <w:tcW w:type="dxa" w:w="1036"/>
            <w:vAlign w:val="top"/>
          </w:tcPr>
          <w:p>
            <w:pPr>
              <w:spacing w:after="40" w:before="0" w:line="259" w:lineRule="auto"/>
            </w:pPr>
            <w:r>
              <w:rPr>
                <w:rFonts w:ascii="Calibri" w:hAnsi="Calibri"/>
                <w:b w:val="0"/>
                <w:i w:val="0"/>
                <w:color w:val="212121"/>
                <w:sz w:val="16"/>
              </w:rPr>
              <w:t>Elderly with vascular risk, diabetics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risk-factor modification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Difficulty understanding speech, especially in noise</w:t>
            </w:r>
          </w:p>
        </w:tc>
        <w:tc>
          <w:tcPr>
            <w:tcW w:type="dxa" w:w="950"/>
            <w:vAlign w:val="top"/>
          </w:tcPr>
          <w:p>
            <w:pPr>
              <w:spacing w:after="40" w:before="0" w:line="259" w:lineRule="auto"/>
            </w:pPr>
            <w:r>
              <w:rPr>
                <w:rFonts w:ascii="Calibri" w:hAnsi="Calibri"/>
                <w:b w:val="0"/>
                <w:i w:val="0"/>
                <w:color w:val="212121"/>
                <w:sz w:val="16"/>
              </w:rPr>
              <w:t>Hears normal conversation clearly</w:t>
            </w:r>
          </w:p>
        </w:tc>
        <w:tc>
          <w:tcPr>
            <w:tcW w:type="dxa" w:w="950"/>
            <w:vAlign w:val="top"/>
          </w:tcPr>
          <w:p>
            <w:pPr>
              <w:spacing w:after="40" w:before="0" w:line="259" w:lineRule="auto"/>
            </w:pPr>
            <w:r>
              <w:rPr>
                <w:rFonts w:ascii="Calibri" w:hAnsi="Calibri"/>
                <w:b w:val="0"/>
                <w:i w:val="0"/>
                <w:color w:val="212121"/>
                <w:sz w:val="16"/>
              </w:rPr>
              <w:t>Repeats requested, TV loud, misses high-pitched sounds</w:t>
            </w:r>
          </w:p>
        </w:tc>
        <w:tc>
          <w:tcPr>
            <w:tcW w:type="dxa" w:w="1036"/>
            <w:vAlign w:val="top"/>
          </w:tcPr>
          <w:p>
            <w:pPr>
              <w:spacing w:after="40" w:before="0" w:line="259" w:lineRule="auto"/>
            </w:pPr>
            <w:r>
              <w:rPr>
                <w:rFonts w:ascii="Calibri" w:hAnsi="Calibri"/>
                <w:b w:val="0"/>
                <w:i w:val="0"/>
                <w:color w:val="212121"/>
                <w:sz w:val="16"/>
              </w:rPr>
              <w:t>Classic presenting pattern of presbycusis</w:t>
            </w:r>
          </w:p>
        </w:tc>
        <w:tc>
          <w:tcPr>
            <w:tcW w:type="dxa" w:w="1036"/>
            <w:vAlign w:val="top"/>
          </w:tcPr>
          <w:p>
            <w:pPr>
              <w:spacing w:after="40" w:before="0" w:line="259" w:lineRule="auto"/>
            </w:pPr>
            <w:r>
              <w:rPr>
                <w:rFonts w:ascii="Calibri" w:hAnsi="Calibri"/>
                <w:b w:val="0"/>
                <w:i w:val="0"/>
                <w:color w:val="212121"/>
                <w:sz w:val="16"/>
              </w:rPr>
              <w:t>Older adults, family-reported hearing difficulty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Family often notices before the patient does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Noise &amp; occupational history</w:t>
            </w:r>
          </w:p>
        </w:tc>
        <w:tc>
          <w:tcPr>
            <w:tcW w:type="dxa" w:w="979"/>
            <w:vAlign w:val="top"/>
          </w:tcPr>
          <w:p>
            <w:pPr>
              <w:spacing w:after="40" w:before="0" w:line="259" w:lineRule="auto"/>
            </w:pPr>
            <w:r>
              <w:rPr>
                <w:rFonts w:ascii="Calibri" w:hAnsi="Calibri"/>
                <w:b w:val="0"/>
                <w:i w:val="0"/>
                <w:color w:val="212121"/>
                <w:sz w:val="16"/>
              </w:rPr>
              <w:t>Lifetime occupational/recreational noise exposure</w:t>
            </w:r>
          </w:p>
        </w:tc>
        <w:tc>
          <w:tcPr>
            <w:tcW w:type="dxa" w:w="950"/>
            <w:vAlign w:val="top"/>
          </w:tcPr>
          <w:p>
            <w:pPr>
              <w:spacing w:after="40" w:before="0" w:line="259" w:lineRule="auto"/>
            </w:pPr>
            <w:r>
              <w:rPr>
                <w:rFonts w:ascii="Calibri" w:hAnsi="Calibri"/>
                <w:b w:val="0"/>
                <w:i w:val="0"/>
                <w:color w:val="212121"/>
                <w:sz w:val="16"/>
              </w:rPr>
              <w:t>No significant exposure</w:t>
            </w:r>
          </w:p>
        </w:tc>
        <w:tc>
          <w:tcPr>
            <w:tcW w:type="dxa" w:w="950"/>
            <w:vAlign w:val="top"/>
          </w:tcPr>
          <w:p>
            <w:pPr>
              <w:spacing w:after="40" w:before="0" w:line="259" w:lineRule="auto"/>
            </w:pPr>
            <w:r>
              <w:rPr>
                <w:rFonts w:ascii="Calibri" w:hAnsi="Calibri"/>
                <w:b w:val="0"/>
                <w:i w:val="0"/>
                <w:color w:val="212121"/>
                <w:sz w:val="16"/>
              </w:rPr>
              <w:t>Years of loud noise (factory, farm, firearms, traffic)</w:t>
            </w:r>
          </w:p>
        </w:tc>
        <w:tc>
          <w:tcPr>
            <w:tcW w:type="dxa" w:w="1036"/>
            <w:vAlign w:val="top"/>
          </w:tcPr>
          <w:p>
            <w:pPr>
              <w:spacing w:after="40" w:before="0" w:line="259" w:lineRule="auto"/>
            </w:pPr>
            <w:r>
              <w:rPr>
                <w:rFonts w:ascii="Calibri" w:hAnsi="Calibri"/>
                <w:b w:val="0"/>
                <w:i w:val="0"/>
                <w:color w:val="212121"/>
                <w:sz w:val="16"/>
              </w:rPr>
              <w:t>Identifies the main modifiable accelerant</w:t>
            </w:r>
          </w:p>
        </w:tc>
        <w:tc>
          <w:tcPr>
            <w:tcW w:type="dxa" w:w="1036"/>
            <w:vAlign w:val="top"/>
          </w:tcPr>
          <w:p>
            <w:pPr>
              <w:spacing w:after="40" w:before="0" w:line="259" w:lineRule="auto"/>
            </w:pPr>
            <w:r>
              <w:rPr>
                <w:rFonts w:ascii="Calibri" w:hAnsi="Calibri"/>
                <w:b w:val="0"/>
                <w:i w:val="0"/>
                <w:color w:val="212121"/>
                <w:sz w:val="16"/>
              </w:rPr>
              <w:t>Factory and farm workers, military, musicians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hearing-protection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Ototoxic drug &amp; comorbidity history</w:t>
            </w:r>
          </w:p>
        </w:tc>
        <w:tc>
          <w:tcPr>
            <w:tcW w:type="dxa" w:w="979"/>
            <w:vAlign w:val="top"/>
          </w:tcPr>
          <w:p>
            <w:pPr>
              <w:spacing w:after="40" w:before="0" w:line="259" w:lineRule="auto"/>
            </w:pPr>
            <w:r>
              <w:rPr>
                <w:rFonts w:ascii="Calibri" w:hAnsi="Calibri"/>
                <w:b w:val="0"/>
                <w:i w:val="0"/>
                <w:color w:val="212121"/>
                <w:sz w:val="16"/>
              </w:rPr>
              <w:t>Aminoglycosides, cisplatin, diuretics; diabetes, hypertension</w:t>
            </w:r>
          </w:p>
        </w:tc>
        <w:tc>
          <w:tcPr>
            <w:tcW w:type="dxa" w:w="950"/>
            <w:vAlign w:val="top"/>
          </w:tcPr>
          <w:p>
            <w:pPr>
              <w:spacing w:after="40" w:before="0" w:line="259" w:lineRule="auto"/>
            </w:pPr>
            <w:r>
              <w:rPr>
                <w:rFonts w:ascii="Calibri" w:hAnsi="Calibri"/>
                <w:b w:val="0"/>
                <w:i w:val="0"/>
                <w:color w:val="212121"/>
                <w:sz w:val="16"/>
              </w:rPr>
              <w:t>No ototoxic exposure or comorbidity</w:t>
            </w:r>
          </w:p>
        </w:tc>
        <w:tc>
          <w:tcPr>
            <w:tcW w:type="dxa" w:w="950"/>
            <w:vAlign w:val="top"/>
          </w:tcPr>
          <w:p>
            <w:pPr>
              <w:spacing w:after="40" w:before="0" w:line="259" w:lineRule="auto"/>
            </w:pPr>
            <w:r>
              <w:rPr>
                <w:rFonts w:ascii="Calibri" w:hAnsi="Calibri"/>
                <w:b w:val="0"/>
                <w:i w:val="0"/>
                <w:color w:val="212121"/>
                <w:sz w:val="16"/>
              </w:rPr>
              <w:t>Ototoxic drug use or vascular disease present</w:t>
            </w:r>
          </w:p>
        </w:tc>
        <w:tc>
          <w:tcPr>
            <w:tcW w:type="dxa" w:w="1036"/>
            <w:vAlign w:val="top"/>
          </w:tcPr>
          <w:p>
            <w:pPr>
              <w:spacing w:after="40" w:before="0" w:line="259" w:lineRule="auto"/>
            </w:pPr>
            <w:r>
              <w:rPr>
                <w:rFonts w:ascii="Calibri" w:hAnsi="Calibri"/>
                <w:b w:val="0"/>
                <w:i w:val="0"/>
                <w:color w:val="212121"/>
                <w:sz w:val="16"/>
              </w:rPr>
              <w:t>Flags reversible/modifiable contributors</w:t>
            </w:r>
          </w:p>
        </w:tc>
        <w:tc>
          <w:tcPr>
            <w:tcW w:type="dxa" w:w="1036"/>
            <w:vAlign w:val="top"/>
          </w:tcPr>
          <w:p>
            <w:pPr>
              <w:spacing w:after="40" w:before="0" w:line="259" w:lineRule="auto"/>
            </w:pPr>
            <w:r>
              <w:rPr>
                <w:rFonts w:ascii="Calibri" w:hAnsi="Calibri"/>
                <w:b w:val="0"/>
                <w:i w:val="0"/>
                <w:color w:val="212121"/>
                <w:sz w:val="16"/>
              </w:rPr>
              <w:t>Chronically ill, oncology, renal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Review medications and control comorbidities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Otoscopy</w:t>
            </w:r>
          </w:p>
        </w:tc>
        <w:tc>
          <w:tcPr>
            <w:tcW w:type="dxa" w:w="979"/>
            <w:vAlign w:val="top"/>
          </w:tcPr>
          <w:p>
            <w:pPr>
              <w:spacing w:after="40" w:before="0" w:line="259" w:lineRule="auto"/>
            </w:pPr>
            <w:r>
              <w:rPr>
                <w:rFonts w:ascii="Calibri" w:hAnsi="Calibri"/>
                <w:b w:val="0"/>
                <w:i w:val="0"/>
                <w:color w:val="212121"/>
                <w:sz w:val="16"/>
              </w:rPr>
              <w:t>External canal &amp; tympanic membrane</w:t>
            </w:r>
          </w:p>
        </w:tc>
        <w:tc>
          <w:tcPr>
            <w:tcW w:type="dxa" w:w="950"/>
            <w:vAlign w:val="top"/>
          </w:tcPr>
          <w:p>
            <w:pPr>
              <w:spacing w:after="40" w:before="0" w:line="259" w:lineRule="auto"/>
            </w:pPr>
            <w:r>
              <w:rPr>
                <w:rFonts w:ascii="Calibri" w:hAnsi="Calibri"/>
                <w:b w:val="0"/>
                <w:i w:val="0"/>
                <w:color w:val="212121"/>
                <w:sz w:val="16"/>
              </w:rPr>
              <w:t>Clear canal, intact mobile drum</w:t>
            </w:r>
          </w:p>
        </w:tc>
        <w:tc>
          <w:tcPr>
            <w:tcW w:type="dxa" w:w="950"/>
            <w:vAlign w:val="top"/>
          </w:tcPr>
          <w:p>
            <w:pPr>
              <w:spacing w:after="40" w:before="0" w:line="259" w:lineRule="auto"/>
            </w:pPr>
            <w:r>
              <w:rPr>
                <w:rFonts w:ascii="Calibri" w:hAnsi="Calibri"/>
                <w:b w:val="0"/>
                <w:i w:val="0"/>
                <w:color w:val="212121"/>
                <w:sz w:val="16"/>
              </w:rPr>
              <w:t>Cerumen impaction, perforation, effusion</w:t>
            </w:r>
          </w:p>
        </w:tc>
        <w:tc>
          <w:tcPr>
            <w:tcW w:type="dxa" w:w="1036"/>
            <w:vAlign w:val="top"/>
          </w:tcPr>
          <w:p>
            <w:pPr>
              <w:spacing w:after="40" w:before="0" w:line="259" w:lineRule="auto"/>
            </w:pPr>
            <w:r>
              <w:rPr>
                <w:rFonts w:ascii="Calibri" w:hAnsi="Calibri"/>
                <w:b w:val="0"/>
                <w:i w:val="0"/>
                <w:color w:val="212121"/>
                <w:sz w:val="16"/>
              </w:rPr>
              <w:t>Excludes reversible conductive causes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Remove wax before audiometry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Tuning-fork tests</w:t>
            </w:r>
          </w:p>
        </w:tc>
        <w:tc>
          <w:tcPr>
            <w:tcW w:type="dxa" w:w="979"/>
            <w:vAlign w:val="top"/>
          </w:tcPr>
          <w:p>
            <w:pPr>
              <w:spacing w:after="40" w:before="0" w:line="259" w:lineRule="auto"/>
            </w:pPr>
            <w:r>
              <w:rPr>
                <w:rFonts w:ascii="Calibri" w:hAnsi="Calibri"/>
                <w:b w:val="0"/>
                <w:i w:val="0"/>
                <w:color w:val="212121"/>
                <w:sz w:val="16"/>
              </w:rPr>
              <w:t>Rinne &amp; Weber (512 Hz)</w:t>
            </w:r>
          </w:p>
        </w:tc>
        <w:tc>
          <w:tcPr>
            <w:tcW w:type="dxa" w:w="950"/>
            <w:vAlign w:val="top"/>
          </w:tcPr>
          <w:p>
            <w:pPr>
              <w:spacing w:after="40" w:before="0" w:line="259" w:lineRule="auto"/>
            </w:pPr>
            <w:r>
              <w:rPr>
                <w:rFonts w:ascii="Calibri" w:hAnsi="Calibri"/>
                <w:b w:val="0"/>
                <w:i w:val="0"/>
                <w:color w:val="212121"/>
                <w:sz w:val="16"/>
              </w:rPr>
              <w:t>Rinne AC&gt;BC bilaterally; Weber central</w:t>
            </w:r>
          </w:p>
        </w:tc>
        <w:tc>
          <w:tcPr>
            <w:tcW w:type="dxa" w:w="950"/>
            <w:vAlign w:val="top"/>
          </w:tcPr>
          <w:p>
            <w:pPr>
              <w:spacing w:after="40" w:before="0" w:line="259" w:lineRule="auto"/>
            </w:pPr>
            <w:r>
              <w:rPr>
                <w:rFonts w:ascii="Calibri" w:hAnsi="Calibri"/>
                <w:b w:val="0"/>
                <w:i w:val="0"/>
                <w:color w:val="212121"/>
                <w:sz w:val="16"/>
              </w:rPr>
              <w:t>Sensorineural pattern (Weber to better ear if asymmetric)</w:t>
            </w:r>
          </w:p>
        </w:tc>
        <w:tc>
          <w:tcPr>
            <w:tcW w:type="dxa" w:w="1036"/>
            <w:vAlign w:val="top"/>
          </w:tcPr>
          <w:p>
            <w:pPr>
              <w:spacing w:after="40" w:before="0" w:line="259" w:lineRule="auto"/>
            </w:pPr>
            <w:r>
              <w:rPr>
                <w:rFonts w:ascii="Calibri" w:hAnsi="Calibri"/>
                <w:b w:val="0"/>
                <w:i w:val="0"/>
                <w:color w:val="212121"/>
                <w:sz w:val="16"/>
              </w:rPr>
              <w:t>Bedside confirmation of sensorineural loss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Simple, quick, no equipment beyond a fork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Validated questionnaire / whisper test</w:t>
            </w:r>
          </w:p>
        </w:tc>
        <w:tc>
          <w:tcPr>
            <w:tcW w:type="dxa" w:w="979"/>
            <w:vAlign w:val="top"/>
          </w:tcPr>
          <w:p>
            <w:pPr>
              <w:spacing w:after="40" w:before="0" w:line="259" w:lineRule="auto"/>
            </w:pPr>
            <w:r>
              <w:rPr>
                <w:rFonts w:ascii="Calibri" w:hAnsi="Calibri"/>
                <w:b w:val="0"/>
                <w:i w:val="0"/>
                <w:color w:val="212121"/>
                <w:sz w:val="16"/>
              </w:rPr>
              <w:t>HHIE-S score / whispered-voice test</w:t>
            </w:r>
          </w:p>
        </w:tc>
        <w:tc>
          <w:tcPr>
            <w:tcW w:type="dxa" w:w="950"/>
            <w:vAlign w:val="top"/>
          </w:tcPr>
          <w:p>
            <w:pPr>
              <w:spacing w:after="40" w:before="0" w:line="259" w:lineRule="auto"/>
            </w:pPr>
            <w:r>
              <w:rPr>
                <w:rFonts w:ascii="Calibri" w:hAnsi="Calibri"/>
                <w:b w:val="0"/>
                <w:i w:val="0"/>
                <w:color w:val="212121"/>
                <w:sz w:val="16"/>
              </w:rPr>
              <w:t>No perceived handicap; whisper heard</w:t>
            </w:r>
          </w:p>
        </w:tc>
        <w:tc>
          <w:tcPr>
            <w:tcW w:type="dxa" w:w="950"/>
            <w:vAlign w:val="top"/>
          </w:tcPr>
          <w:p>
            <w:pPr>
              <w:spacing w:after="40" w:before="0" w:line="259" w:lineRule="auto"/>
            </w:pPr>
            <w:r>
              <w:rPr>
                <w:rFonts w:ascii="Calibri" w:hAnsi="Calibri"/>
                <w:b w:val="0"/>
                <w:i w:val="0"/>
                <w:color w:val="212121"/>
                <w:sz w:val="16"/>
              </w:rPr>
              <w:t>Elevated handicap score; whisper missed</w:t>
            </w:r>
          </w:p>
        </w:tc>
        <w:tc>
          <w:tcPr>
            <w:tcW w:type="dxa" w:w="1036"/>
            <w:vAlign w:val="top"/>
          </w:tcPr>
          <w:p>
            <w:pPr>
              <w:spacing w:after="40" w:before="0" w:line="259" w:lineRule="auto"/>
            </w:pPr>
            <w:r>
              <w:rPr>
                <w:rFonts w:ascii="Calibri" w:hAnsi="Calibri"/>
                <w:b w:val="0"/>
                <w:i w:val="0"/>
                <w:color w:val="212121"/>
                <w:sz w:val="16"/>
              </w:rPr>
              <w:t>Quantifies functional/social impact and prompts referral</w:t>
            </w:r>
          </w:p>
        </w:tc>
        <w:tc>
          <w:tcPr>
            <w:tcW w:type="dxa" w:w="1036"/>
            <w:vAlign w:val="top"/>
          </w:tcPr>
          <w:p>
            <w:pPr>
              <w:spacing w:after="40" w:before="0" w:line="259" w:lineRule="auto"/>
            </w:pPr>
            <w:r>
              <w:rPr>
                <w:rFonts w:ascii="Calibri" w:hAnsi="Calibri"/>
                <w:b w:val="0"/>
                <w:i w:val="0"/>
                <w:color w:val="212121"/>
                <w:sz w:val="16"/>
              </w:rPr>
              <w:t>Community &amp; primary-care screening of elders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Useful where audiometry is not immediately available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Difficulty understanding speech in background noise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earliest and most disabling complaint (the 'cocktail-party' problem) due to loss of high-frequency and neural clarity.</w:t>
            </w:r>
          </w:p>
        </w:tc>
      </w:tr>
      <w:tr>
        <w:trPr>
          <w:cantSplit/>
        </w:trPr>
        <w:tc>
          <w:tcPr>
            <w:tcW w:type="dxa" w:w="2304"/>
            <w:vAlign w:val="top"/>
          </w:tcPr>
          <w:p>
            <w:pPr>
              <w:spacing w:after="40" w:before="0" w:line="259" w:lineRule="auto"/>
            </w:pPr>
            <w:r>
              <w:rPr>
                <w:rFonts w:ascii="Calibri" w:hAnsi="Calibri"/>
                <w:b/>
                <w:i w:val="0"/>
                <w:color w:val="212121"/>
                <w:sz w:val="19"/>
              </w:rPr>
              <w:t>Speech sounds muffled or as if people are mumbling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high-frequency consonants (p, k, f, s, ch) blurs word clarity even when volume seems adequate.</w:t>
            </w:r>
          </w:p>
        </w:tc>
      </w:tr>
      <w:tr>
        <w:trPr>
          <w:cantSplit/>
        </w:trPr>
        <w:tc>
          <w:tcPr>
            <w:tcW w:type="dxa" w:w="2304"/>
            <w:vAlign w:val="top"/>
          </w:tcPr>
          <w:p>
            <w:pPr>
              <w:spacing w:after="40" w:before="0" w:line="259" w:lineRule="auto"/>
            </w:pPr>
            <w:r>
              <w:rPr>
                <w:rFonts w:ascii="Calibri" w:hAnsi="Calibri"/>
                <w:b/>
                <w:i w:val="0"/>
                <w:color w:val="212121"/>
                <w:sz w:val="19"/>
              </w:rPr>
              <w:t>Frequently asking others to repeat themselves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reduced speech discrimination, especially with soft or rapid speech.</w:t>
            </w:r>
          </w:p>
        </w:tc>
      </w:tr>
      <w:tr>
        <w:trPr>
          <w:cantSplit/>
        </w:trPr>
        <w:tc>
          <w:tcPr>
            <w:tcW w:type="dxa" w:w="2304"/>
            <w:vAlign w:val="top"/>
          </w:tcPr>
          <w:p>
            <w:pPr>
              <w:spacing w:after="40" w:before="0" w:line="259" w:lineRule="auto"/>
            </w:pPr>
            <w:r>
              <w:rPr>
                <w:rFonts w:ascii="Calibri" w:hAnsi="Calibri"/>
                <w:b/>
                <w:i w:val="0"/>
                <w:color w:val="212121"/>
                <w:sz w:val="19"/>
              </w:rPr>
              <w:t>Difficulty hearing high-pitched sounds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Women's and children's voices, doorbells, phone ringtones and birdsong are missed first.</w:t>
            </w:r>
          </w:p>
        </w:tc>
      </w:tr>
      <w:tr>
        <w:trPr>
          <w:cantSplit/>
        </w:trPr>
        <w:tc>
          <w:tcPr>
            <w:tcW w:type="dxa" w:w="2304"/>
            <w:vAlign w:val="top"/>
          </w:tcPr>
          <w:p>
            <w:pPr>
              <w:spacing w:after="40" w:before="0" w:line="259" w:lineRule="auto"/>
            </w:pPr>
            <w:r>
              <w:rPr>
                <w:rFonts w:ascii="Calibri" w:hAnsi="Calibri"/>
                <w:b/>
                <w:i w:val="0"/>
                <w:color w:val="212121"/>
                <w:sz w:val="19"/>
              </w:rPr>
              <w:t>Turning up the television or radio volume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common early sign, frequently noticed by family members before the patient.</w:t>
            </w:r>
          </w:p>
        </w:tc>
      </w:tr>
      <w:tr>
        <w:trPr>
          <w:cantSplit/>
        </w:trPr>
        <w:tc>
          <w:tcPr>
            <w:tcW w:type="dxa" w:w="2304"/>
            <w:vAlign w:val="top"/>
          </w:tcPr>
          <w:p>
            <w:pPr>
              <w:spacing w:after="40" w:before="0" w:line="259" w:lineRule="auto"/>
            </w:pPr>
            <w:r>
              <w:rPr>
                <w:rFonts w:ascii="Calibri" w:hAnsi="Calibri"/>
                <w:b/>
                <w:i w:val="0"/>
                <w:color w:val="212121"/>
                <w:sz w:val="19"/>
              </w:rPr>
              <w:t>Tinnitus (ringing or buzzing in the ears)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accompanies the high-frequency loss and can be distressing, though it is non-specific.</w:t>
            </w:r>
          </w:p>
        </w:tc>
      </w:tr>
      <w:tr>
        <w:trPr>
          <w:cantSplit/>
        </w:trPr>
        <w:tc>
          <w:tcPr>
            <w:tcW w:type="dxa" w:w="2304"/>
            <w:vAlign w:val="top"/>
          </w:tcPr>
          <w:p>
            <w:pPr>
              <w:spacing w:after="40" w:before="0" w:line="259" w:lineRule="auto"/>
            </w:pPr>
            <w:r>
              <w:rPr>
                <w:rFonts w:ascii="Calibri" w:hAnsi="Calibri"/>
                <w:b/>
                <w:i w:val="0"/>
                <w:color w:val="212121"/>
                <w:sz w:val="19"/>
              </w:rPr>
              <w:t>Trouble hearing on the telephone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Absence of visual/lip cues and a narrowed frequency range make phone conversation especially hard.</w:t>
            </w:r>
          </w:p>
        </w:tc>
      </w:tr>
      <w:tr>
        <w:trPr>
          <w:cantSplit/>
        </w:trPr>
        <w:tc>
          <w:tcPr>
            <w:tcW w:type="dxa" w:w="2304"/>
            <w:vAlign w:val="top"/>
          </w:tcPr>
          <w:p>
            <w:pPr>
              <w:spacing w:after="40" w:before="0" w:line="259" w:lineRule="auto"/>
            </w:pPr>
            <w:r>
              <w:rPr>
                <w:rFonts w:ascii="Calibri" w:hAnsi="Calibri"/>
                <w:b/>
                <w:i w:val="0"/>
                <w:color w:val="212121"/>
                <w:sz w:val="19"/>
              </w:rPr>
              <w:t>Difficulty localising the source of sounds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Symmetrical loss and neural decline impair the binaural cues used to locate sound.</w:t>
            </w:r>
          </w:p>
        </w:tc>
      </w:tr>
      <w:tr>
        <w:trPr>
          <w:cantSplit/>
        </w:trPr>
        <w:tc>
          <w:tcPr>
            <w:tcW w:type="dxa" w:w="2304"/>
            <w:vAlign w:val="top"/>
          </w:tcPr>
          <w:p>
            <w:pPr>
              <w:spacing w:after="40" w:before="0" w:line="259" w:lineRule="auto"/>
            </w:pPr>
            <w:r>
              <w:rPr>
                <w:rFonts w:ascii="Calibri" w:hAnsi="Calibri"/>
                <w:b/>
                <w:i w:val="0"/>
                <w:color w:val="212121"/>
                <w:sz w:val="19"/>
              </w:rPr>
              <w:t>Social withdrawal and avoidance of conversation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Embarrassment and listening fatigue lead to isolation, low mood and reduced participation.</w:t>
            </w:r>
          </w:p>
        </w:tc>
      </w:tr>
      <w:tr>
        <w:trPr>
          <w:cantSplit/>
        </w:trPr>
        <w:tc>
          <w:tcPr>
            <w:tcW w:type="dxa" w:w="2304"/>
            <w:vAlign w:val="top"/>
          </w:tcPr>
          <w:p>
            <w:pPr>
              <w:spacing w:after="40" w:before="0" w:line="259" w:lineRule="auto"/>
            </w:pPr>
            <w:r>
              <w:rPr>
                <w:rFonts w:ascii="Calibri" w:hAnsi="Calibri"/>
                <w:b/>
                <w:i w:val="0"/>
                <w:color w:val="212121"/>
                <w:sz w:val="19"/>
              </w:rPr>
              <w:t>Loudness recruitment (loud sounds seem uncomfortably loud)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dynamic range means the gap between 'too soft' and 'too loud' narrows, complicating hearing-aid fitting.</w:t>
            </w:r>
          </w:p>
        </w:tc>
      </w:tr>
      <w:tr>
        <w:trPr>
          <w:cantSplit/>
        </w:trPr>
        <w:tc>
          <w:tcPr>
            <w:tcW w:type="dxa" w:w="2304"/>
            <w:vAlign w:val="top"/>
          </w:tcPr>
          <w:p>
            <w:pPr>
              <w:spacing w:after="40" w:before="0" w:line="259" w:lineRule="auto"/>
            </w:pPr>
            <w:r>
              <w:rPr>
                <w:rFonts w:ascii="Calibri" w:hAnsi="Calibri"/>
                <w:b/>
                <w:i w:val="0"/>
                <w:color w:val="212121"/>
                <w:sz w:val="19"/>
              </w:rPr>
              <w:t>Dizziness or imbalance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Age-related vestibular decline (presbystasis) may coexist and contributes to fall risk.</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Bilateral symmetrical high-frequency sensorineural loss on audiogram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Down-sloping thresholds worst above 2000 Hz — the audiological hallmark of presbycusis.</w:t>
            </w:r>
          </w:p>
        </w:tc>
      </w:tr>
      <w:tr>
        <w:trPr>
          <w:cantSplit/>
        </w:trPr>
        <w:tc>
          <w:tcPr>
            <w:tcW w:type="dxa" w:w="3456"/>
            <w:vAlign w:val="top"/>
          </w:tcPr>
          <w:p>
            <w:pPr>
              <w:spacing w:after="40" w:before="0" w:line="259" w:lineRule="auto"/>
            </w:pPr>
            <w:r>
              <w:rPr>
                <w:rFonts w:ascii="Calibri" w:hAnsi="Calibri"/>
                <w:b/>
                <w:i w:val="0"/>
                <w:color w:val="212121"/>
                <w:sz w:val="19"/>
              </w:rPr>
              <w:t>Reduced speech-discrimination score / phonemic regression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Word-recognition disproportionately poor relative to pure-tone thresholds, especially in neural type.</w:t>
            </w:r>
          </w:p>
        </w:tc>
      </w:tr>
      <w:tr>
        <w:trPr>
          <w:cantSplit/>
        </w:trPr>
        <w:tc>
          <w:tcPr>
            <w:tcW w:type="dxa" w:w="3456"/>
            <w:vAlign w:val="top"/>
          </w:tcPr>
          <w:p>
            <w:pPr>
              <w:spacing w:after="40" w:before="0" w:line="259" w:lineRule="auto"/>
            </w:pPr>
            <w:r>
              <w:rPr>
                <w:rFonts w:ascii="Calibri" w:hAnsi="Calibri"/>
                <w:b/>
                <w:i w:val="0"/>
                <w:color w:val="212121"/>
                <w:sz w:val="19"/>
              </w:rPr>
              <w:t>Rinne test positive (air &gt; bone conduction) bilaterally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Confirms a sensorineural rather than conductive pattern at the bedside.</w:t>
            </w:r>
          </w:p>
        </w:tc>
      </w:tr>
      <w:tr>
        <w:trPr>
          <w:cantSplit/>
        </w:trPr>
        <w:tc>
          <w:tcPr>
            <w:tcW w:type="dxa" w:w="3456"/>
            <w:vAlign w:val="top"/>
          </w:tcPr>
          <w:p>
            <w:pPr>
              <w:spacing w:after="40" w:before="0" w:line="259" w:lineRule="auto"/>
            </w:pPr>
            <w:r>
              <w:rPr>
                <w:rFonts w:ascii="Calibri" w:hAnsi="Calibri"/>
                <w:b/>
                <w:i w:val="0"/>
                <w:color w:val="212121"/>
                <w:sz w:val="19"/>
              </w:rPr>
              <w:t>Weber test not lateralising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symmetrical loss the tone is heard centrally; lateralisation to the better ear suggests asymmetry needing work-up.</w:t>
            </w:r>
          </w:p>
        </w:tc>
      </w:tr>
      <w:tr>
        <w:trPr>
          <w:cantSplit/>
        </w:trPr>
        <w:tc>
          <w:tcPr>
            <w:tcW w:type="dxa" w:w="3456"/>
            <w:vAlign w:val="top"/>
          </w:tcPr>
          <w:p>
            <w:pPr>
              <w:spacing w:after="40" w:before="0" w:line="259" w:lineRule="auto"/>
            </w:pPr>
            <w:r>
              <w:rPr>
                <w:rFonts w:ascii="Calibri" w:hAnsi="Calibri"/>
                <w:b/>
                <w:i w:val="0"/>
                <w:color w:val="212121"/>
                <w:sz w:val="19"/>
              </w:rPr>
              <w:t>Type A tympanogram with absent air–bone gap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middle-ear compliance confirms the loss is sensorineural.</w:t>
            </w:r>
          </w:p>
        </w:tc>
      </w:tr>
      <w:tr>
        <w:trPr>
          <w:cantSplit/>
        </w:trPr>
        <w:tc>
          <w:tcPr>
            <w:tcW w:type="dxa" w:w="3456"/>
            <w:vAlign w:val="top"/>
          </w:tcPr>
          <w:p>
            <w:pPr>
              <w:spacing w:after="40" w:before="0" w:line="259" w:lineRule="auto"/>
            </w:pPr>
            <w:r>
              <w:rPr>
                <w:rFonts w:ascii="Calibri" w:hAnsi="Calibri"/>
                <w:b/>
                <w:i w:val="0"/>
                <w:color w:val="212121"/>
                <w:sz w:val="19"/>
              </w:rPr>
              <w:t>Normal or age-typical otoscopy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Examination is usually unremarkable; tympanic-membrane opacification or cerumen may coexist.</w:t>
            </w:r>
          </w:p>
        </w:tc>
      </w:tr>
      <w:tr>
        <w:trPr>
          <w:cantSplit/>
        </w:trPr>
        <w:tc>
          <w:tcPr>
            <w:tcW w:type="dxa" w:w="3456"/>
            <w:vAlign w:val="top"/>
          </w:tcPr>
          <w:p>
            <w:pPr>
              <w:spacing w:after="40" w:before="0" w:line="259" w:lineRule="auto"/>
            </w:pPr>
            <w:r>
              <w:rPr>
                <w:rFonts w:ascii="Calibri" w:hAnsi="Calibri"/>
                <w:b/>
                <w:i w:val="0"/>
                <w:color w:val="212121"/>
                <w:sz w:val="19"/>
              </w:rPr>
              <w:t>Failed whispered-voice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Inability to repeat whispered words at arm's length is a simple bedside indicator.</w:t>
            </w:r>
          </w:p>
        </w:tc>
      </w:tr>
      <w:tr>
        <w:trPr>
          <w:cantSplit/>
        </w:trPr>
        <w:tc>
          <w:tcPr>
            <w:tcW w:type="dxa" w:w="3456"/>
            <w:vAlign w:val="top"/>
          </w:tcPr>
          <w:p>
            <w:pPr>
              <w:spacing w:after="40" w:before="0" w:line="259" w:lineRule="auto"/>
            </w:pPr>
            <w:r>
              <w:rPr>
                <w:rFonts w:ascii="Calibri" w:hAnsi="Calibri"/>
                <w:b/>
                <w:i w:val="0"/>
                <w:color w:val="212121"/>
                <w:sz w:val="19"/>
              </w:rPr>
              <w:t>Speaking with a raised voice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Patients unconsciously raise their own voice because they cannot gauge their loudness.</w:t>
            </w:r>
          </w:p>
        </w:tc>
      </w:tr>
      <w:tr>
        <w:trPr>
          <w:cantSplit/>
        </w:trPr>
        <w:tc>
          <w:tcPr>
            <w:tcW w:type="dxa" w:w="3456"/>
            <w:vAlign w:val="top"/>
          </w:tcPr>
          <w:p>
            <w:pPr>
              <w:spacing w:after="40" w:before="0" w:line="259" w:lineRule="auto"/>
            </w:pPr>
            <w:r>
              <w:rPr>
                <w:rFonts w:ascii="Calibri" w:hAnsi="Calibri"/>
                <w:b/>
                <w:i w:val="0"/>
                <w:color w:val="212121"/>
                <w:sz w:val="19"/>
              </w:rPr>
              <w:t>Reduced/absent otoacoustic emissions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Objective evidence of outer-hair-cell dysfunction.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high-frequency sensorineural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speech discrimination, especially in noise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sound localisation and reduced dynamic range (recruitment)</w:t>
            </w:r>
          </w:p>
        </w:tc>
        <w:tc>
          <w:tcPr>
            <w:tcW w:type="dxa" w:w="2980"/>
            <w:vAlign w:val="top"/>
          </w:tcPr>
          <w:p>
            <w:pPr>
              <w:spacing w:after="40" w:before="0" w:line="259" w:lineRule="auto"/>
            </w:pPr>
            <w:r>
              <w:rPr>
                <w:rFonts w:ascii="Calibri" w:hAnsi="Calibri"/>
                <w:b w:val="0"/>
                <w:i w:val="0"/>
                <w:color w:val="212121"/>
                <w:sz w:val="19"/>
              </w:rPr>
              <w:t>Direct consequences of cochlear and neural degeneration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Communication breakdown and listening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and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functional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Safety hazards — missed alarms, traffic, warnings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falls (with coexisting presbystasis)</w:t>
            </w:r>
          </w:p>
        </w:tc>
        <w:tc>
          <w:tcPr>
            <w:tcW w:type="dxa" w:w="2980"/>
            <w:vAlign w:val="top"/>
          </w:tcPr>
          <w:p>
            <w:pPr>
              <w:spacing w:after="40" w:before="0" w:line="259" w:lineRule="auto"/>
            </w:pPr>
            <w:r>
              <w:rPr>
                <w:rFonts w:ascii="Calibri" w:hAnsi="Calibri"/>
                <w:b w:val="0"/>
                <w:i w:val="0"/>
                <w:color w:val="212121"/>
                <w:sz w:val="19"/>
              </w:rPr>
              <w:t>Result from the functional and psychosocial impact of untreated hearing loss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cognitive decline and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Frailty and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 burden and institutionalisation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Worsened outcomes of coexisting chronic disease</w:t>
            </w:r>
          </w:p>
        </w:tc>
        <w:tc>
          <w:tcPr>
            <w:tcW w:type="dxa" w:w="2980"/>
            <w:vAlign w:val="top"/>
          </w:tcPr>
          <w:p>
            <w:pPr>
              <w:spacing w:after="40" w:before="0" w:line="259" w:lineRule="auto"/>
            </w:pPr>
            <w:r>
              <w:rPr>
                <w:rFonts w:ascii="Calibri" w:hAnsi="Calibri"/>
                <w:b w:val="0"/>
                <w:i w:val="0"/>
                <w:color w:val="212121"/>
                <w:sz w:val="19"/>
              </w:rPr>
              <w:t>Long-term, disabling outcomes of longstanding untreated presbycusis, several of which are reducible with timely hearing rehabilitation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Tinnitus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Ringing or buzzing very commonly coexists with the high-frequency loss and adds to distress and sleep disturbance.</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Frequent and under-recognised consequence of communication difficulty and isolation; correlates with severity of loss.</w:t>
            </w:r>
          </w:p>
          <w:p>
            <w:pPr>
              <w:spacing w:after="40" w:before="0" w:line="259" w:lineRule="auto"/>
            </w:pPr>
            <w:r>
              <w:rPr>
                <w:rFonts w:ascii="Calibri" w:hAnsi="Calibri"/>
                <w:b/>
                <w:i w:val="0"/>
                <w:color w:val="212121"/>
                <w:sz w:val="19"/>
              </w:rPr>
              <w:t>Up to 89% (Indian elderly presbycusis cohort)</w:t>
            </w:r>
          </w:p>
        </w:tc>
      </w:tr>
      <w:tr>
        <w:trPr>
          <w:cantSplit/>
        </w:trPr>
        <w:tc>
          <w:tcPr>
            <w:tcW w:type="dxa" w:w="2232"/>
            <w:vAlign w:val="top"/>
          </w:tcPr>
          <w:p>
            <w:pPr>
              <w:spacing w:after="40" w:before="0" w:line="259" w:lineRule="auto"/>
            </w:pPr>
            <w:r>
              <w:rPr>
                <w:rFonts w:ascii="Calibri" w:hAnsi="Calibri"/>
                <w:b/>
                <w:i w:val="0"/>
                <w:color w:val="212121"/>
                <w:sz w:val="19"/>
              </w:rPr>
              <w:t>Cognitive impairment / dementia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Hearing loss is the leading potentially modifiable risk factor for dementia; treating it may lower risk.</w:t>
            </w:r>
          </w:p>
          <w:p>
            <w:pPr>
              <w:spacing w:after="40" w:before="0" w:line="259" w:lineRule="auto"/>
            </w:pPr>
            <w:r>
              <w:rPr>
                <w:rFonts w:ascii="Calibri" w:hAnsi="Calibri"/>
                <w:b/>
                <w:i w:val="0"/>
                <w:color w:val="212121"/>
                <w:sz w:val="19"/>
              </w:rPr>
              <w:t>~1.7× higher odds of cognitive impairment</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Microvascular and neural cochlear injury make hearing loss about twice as common in people with diabetes.</w:t>
            </w:r>
          </w:p>
          <w:p>
            <w:pPr>
              <w:spacing w:after="40" w:before="0" w:line="259" w:lineRule="auto"/>
            </w:pPr>
            <w:r>
              <w:rPr>
                <w:rFonts w:ascii="Calibri" w:hAnsi="Calibri"/>
                <w:b/>
                <w:i w:val="0"/>
                <w:color w:val="212121"/>
                <w:sz w:val="19"/>
              </w:rPr>
              <w:t>~2× more common</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end-arterial cochlear perfusion accelerates sensorineural loss.</w:t>
            </w:r>
          </w:p>
        </w:tc>
      </w:tr>
      <w:tr>
        <w:trPr>
          <w:cantSplit/>
        </w:trPr>
        <w:tc>
          <w:tcPr>
            <w:tcW w:type="dxa" w:w="2232"/>
            <w:vAlign w:val="top"/>
          </w:tcPr>
          <w:p>
            <w:pPr>
              <w:spacing w:after="40" w:before="0" w:line="259" w:lineRule="auto"/>
            </w:pPr>
            <w:r>
              <w:rPr>
                <w:rFonts w:ascii="Calibri" w:hAnsi="Calibri"/>
                <w:b/>
                <w:i w:val="0"/>
                <w:color w:val="212121"/>
                <w:sz w:val="19"/>
              </w:rPr>
              <w:t>Falls &amp; balance disorders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Coexisting age-related vestibular decline (presbystasis) and reduced auditory awareness raise fall risk.</w:t>
            </w:r>
          </w:p>
        </w:tc>
      </w:tr>
      <w:tr>
        <w:trPr>
          <w:cantSplit/>
        </w:trPr>
        <w:tc>
          <w:tcPr>
            <w:tcW w:type="dxa" w:w="2232"/>
            <w:vAlign w:val="top"/>
          </w:tcPr>
          <w:p>
            <w:pPr>
              <w:spacing w:after="40" w:before="0" w:line="259" w:lineRule="auto"/>
            </w:pPr>
            <w:r>
              <w:rPr>
                <w:rFonts w:ascii="Calibri" w:hAnsi="Calibri"/>
                <w:b/>
                <w:i w:val="0"/>
                <w:color w:val="212121"/>
                <w:sz w:val="19"/>
              </w:rPr>
              <w:t>Social isolation &amp; loneliness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Withdrawal from conversation and social life is a major driver of poor mental health in affected elders.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difficulty following conversation in noise, turning the TV up, frequently asking others to repeat — and seek timely audiometry.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periodic hearing screening after age 50, and earlier for those with diabetes, hypertension or a noisy occupation.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presbycusis is progressive but that hearing aids, communication strategies and rehabilitation greatly reduce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safe ear care — avoid cotton-bud trauma and treat cerumen impaction and ear infections promptly to prevent avoidable added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members, who often notice hearing difficulty first and are central to successful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over 50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Noise-exposed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 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hearing aids consistently once prescribed — early, regular use improves communication and may lower the risk of cognitive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communication tactics: face the speaker, reduce background noise, use good lighting for lip-reading and ask for rephrasing rather than repetition.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assistive listening devices (amplified phones, TV loops, captioning) and, for severe loss unresponsive to aids, discuss cochlear implantation.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audiological follow-up for device fine-tuning and aural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diagnosed presbycusis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Severe/profound loss (implant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elders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at least 150 minutes/week of moderate aerobic activity (brisk walking, cycling, swimming) to support cochlear microcirculation.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activity that maintains overall physical function, which is associated with a lower likelihood of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weight and central obesity to reduce the metabolic risk factors that damage hearing.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control of blood pressure, glucose and lipids for cardiovascular and cochlear protection.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elders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Middle-aged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diet rich in fruit, vegetables and antioxidants (vitamins A, C, E), which is associated with better hearing preservation.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folate and omega-3 fatty acids (green leafy vegetables, legumes, fish) for cochlear and neural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saturated fat, fried and ultra-processed foods that worsen dyslipidaemia and cochlear blood 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and a healthy weight through balanced, portion-controlled meals.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Dyslipidaemic elders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High-saturated-fat diet consumers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vascular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aggravates the cardiometabolic risk factors linked to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tinnitus-related sleep disturbance with sound therapy and good sleep hygiene.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sleep apnoea or metabolic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tobacco causes cochlear hypoxia and oxidative stress and accelerates high-frequency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(passive) smoke, which is also linked to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as smoking and noise act synergistically to damage hearing.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Passive-smoke-exposed elders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Noise-exposed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within safe limits or abstain, as chronic heavy use is linked to central auditory injury and worse thresholds.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the combination of heavy drinking and smoking, which is strongly associated with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alcohol-related nutritional deficiencies that can further harm the auditory system.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Heavy/chronic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men with combined smoking and alcohol use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affected elders for depression and loneliness, which are common consequences of untreated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hearing rehabilitation and social participation, which improve mood and reduce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support groups and, where indicated, treatment for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family and caregivers to maintain communication and reduce withdrawal.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elders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depressive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59220/" TargetMode="External"/><Relationship Id="rId10" Type="http://schemas.openxmlformats.org/officeDocument/2006/relationships/hyperlink" Target="https://www.who.int/news-room/fact-sheets/detail/deafness-and-hearing-loss" TargetMode="External"/><Relationship Id="rId11" Type="http://schemas.openxmlformats.org/officeDocument/2006/relationships/hyperlink" Target="https://nmji.in/prevalence-of-hearing-loss-in-india/" TargetMode="External"/><Relationship Id="rId12" Type="http://schemas.openxmlformats.org/officeDocument/2006/relationships/hyperlink" Target="https://pmc.ncbi.nlm.nih.gov/articles/PMC12862173/" TargetMode="External"/><Relationship Id="rId13" Type="http://schemas.openxmlformats.org/officeDocument/2006/relationships/hyperlink" Target="https://www.sc.edu/study/colleges_schools/public_health/about/news/2026/physical_activity_hearing_loss_neils-strunjas_comd.php" TargetMode="External"/><Relationship Id="rId14" Type="http://schemas.openxmlformats.org/officeDocument/2006/relationships/hyperlink" Target="https://www.cdc.gov/diabetes/diabetes-complications/diabetes-and-hearing-loss.html" TargetMode="External"/><Relationship Id="rId15" Type="http://schemas.openxmlformats.org/officeDocument/2006/relationships/hyperlink" Target="https://pmc.ncbi.nlm.nih.gov/articles/PMC12012993/" TargetMode="External"/><Relationship Id="rId16" Type="http://schemas.openxmlformats.org/officeDocument/2006/relationships/hyperlink" Target="https://pmc.ncbi.nlm.nih.gov/articles/PMC123839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