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Cerumen (ear wax) Impaction</w:t>
      </w:r>
    </w:p>
    <w:p>
      <w:pPr>
        <w:spacing w:before="0" w:after="160"/>
      </w:pPr>
      <w:r>
        <w:rPr>
          <w:rFonts w:ascii="Calibri" w:hAnsi="Calibri"/>
          <w:b/>
          <w:i w:val="0"/>
          <w:color w:val="212121"/>
          <w:sz w:val="22"/>
        </w:rPr>
        <w:t xml:space="preserve">AKA </w:t>
      </w:r>
      <w:r>
        <w:rPr>
          <w:rFonts w:ascii="Calibri" w:hAnsi="Calibri"/>
          <w:b w:val="0"/>
          <w:i w:val="0"/>
          <w:color w:val="212121"/>
          <w:sz w:val="22"/>
        </w:rPr>
        <w:t>i.e., Impacted ear wax, Earwax blockage / plug, Ceruminosis, Wax impaction, 'Kaan ka mail' / 'Kaan ki gandagi' (blocked ear)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Cerumen ('ear wax') is the protective waxy secretion of the ceruminous and sebaceous glands of the outer, cartilaginous third of the external auditory canal; it lubricates the canal skin, traps dust and debris, and has mild antibacterial and antifungal properties. Cerumen impaction is defined as an accumulation of cerumen that causes symptoms (such as hearing loss, fullness or itching), prevents adequate assessment of the ear canal, tympanic membrane or audiovestibular system, or both. It arises when the ear's normal self-cleaning mechanism — outward epithelial migration aided by jaw movement — fails, or when wax is pushed inward (typically by cotton buds), and it is one of the commonest and most readily reversible causes of conductive hearing loss.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Impacted ear wax is one of the most frequent reasons for primary-care and ENT out-patient visits across all ages in India, and is repeatedly identified as a leading, easily reversible cause of hearing impairment. Community and school surveys in India — from rural field-practice areas and rural South India to the children of Delhi — consistently report impacted wax as a common ear finding and among the commonest causes of correctable hearing loss in schoolchildren. Broader reference estimates place cerumen impaction at roughly 6% of the general population, about 10% of children and over 30% of the elderly and cognitively impaired; a large US population survey (NHANES) found any impaction in 18.6% of those aged 12 and over, rising to 32.4% of adults aged 70 and above. The World Health Organization lists cerumen impaction among the avoidable, life-span causes of hearing loss, underscoring its importance in a country carrying a very large burden of preventable deafness.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Cerumen impaction is a clinical diagnosis made by direct visualization of the external auditory canal with an otoscope (or operating microscope); no laboratory test is required to confirm it. The diagnosis and the decision to intervene rest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Otoscopic confirmation of cerumen partially or completely occluding the external auditory canal, with the tympanic membrane wholly or partly obscured.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attributable symptoms — hearing loss, ear fullness/blockage, itching, tinnitus, otalgia, reflex cough or dizziness — that resolve after wax removal (defining 'impaction' rather than incidental wax).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Impaction that prevents needed examination of the ear (e.g., before audiometry, hearing-aid fitting, or surveillance of a known otological condition), even when the patient is asymptomatic.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Identification of obstructing cerumen in young children and in cognitively impaired or non-verbal individuals who cannot themselves report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modifying factors that alter the safest removal method before any procedure: anticoagulation/bleeding tendency, diabetes mellitus or immunocompromise, ear-canal stenosis, a known or suspected tympanic-membrane perforation, prior ear surgery, or an only-hearing 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Recognition of red flags that indicate pathology other than simple wax — significant pain, purulent or bloody discharge, sudden or asymmetric hearing loss, vertigo, or visible granulation/mass — which warrant otological referral rather than routine wax removal.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Cerumen impaction has no formal staging system; for clinical purposes it is described along several practical axes, and distinguished from related keratin-accumulation disorders of the canal:</w:t>
      </w:r>
    </w:p>
    <w:p>
      <w:pPr>
        <w:spacing w:before="0" w:after="80"/>
      </w:pPr>
      <w:r>
        <w:rPr>
          <w:rFonts w:ascii="Calibri" w:hAnsi="Calibri"/>
          <w:b w:val="0"/>
          <w:i w:val="0"/>
          <w:color w:val="212121"/>
          <w:sz w:val="21"/>
        </w:rPr>
        <w:t>(1) By degree of obstruction — partial (some canal lumen and part of the tympanic membrane still visible) versus complete/total impaction (canal fully occluded, tympanic membrane not visualizable). Complete impaction is most strongly associated with measurable conductive hearing loss.</w:t>
      </w:r>
    </w:p>
    <w:p>
      <w:pPr>
        <w:spacing w:before="0" w:after="80"/>
      </w:pPr>
      <w:r>
        <w:rPr>
          <w:rFonts w:ascii="Calibri" w:hAnsi="Calibri"/>
          <w:b w:val="0"/>
          <w:i w:val="0"/>
          <w:color w:val="212121"/>
          <w:sz w:val="21"/>
        </w:rPr>
        <w:t>(2) By physical consistency — soft, moist, pasty ('wet') cerumen versus hard, dry, flaky or rock-hard adherent plugs. Consistency is influenced by the ABCC11 genotype (wet vs dry cerumen), age (drier in the elderly) and dehydration, and it guides the choice of softening agent and removal technique.</w:t>
      </w:r>
    </w:p>
    <w:p>
      <w:pPr>
        <w:spacing w:before="0" w:after="80"/>
      </w:pPr>
      <w:r>
        <w:rPr>
          <w:rFonts w:ascii="Calibri" w:hAnsi="Calibri"/>
          <w:b w:val="0"/>
          <w:i w:val="0"/>
          <w:color w:val="212121"/>
          <w:sz w:val="21"/>
        </w:rPr>
        <w:t>(3) By symptom status — symptomatic impaction (causing hearing loss, fullness, itch, tinnitus, otalgia or cough) versus asymptomatic/incidental wax that is chiefly relevant because it blocks examination; only symptomatic or examination-blocking wax generally warrants removal.</w:t>
      </w:r>
    </w:p>
    <w:p>
      <w:pPr>
        <w:spacing w:before="0" w:after="80"/>
      </w:pPr>
      <w:r>
        <w:rPr>
          <w:rFonts w:ascii="Calibri" w:hAnsi="Calibri"/>
          <w:b w:val="0"/>
          <w:i w:val="0"/>
          <w:color w:val="212121"/>
          <w:sz w:val="21"/>
        </w:rPr>
        <w:t>(4) Related and mimicking entities — keratosis obturans (a dense, often bilateral keratin plug in younger patients, associated with bronchiectasis and sinusitis, that can widen and erode the bony canal) and external-canal cholesteatoma/epidermoid, both of which must be distinguished from ordinary wax because they require otological rather than simple removal.</w:t>
      </w:r>
    </w:p>
    <w:p>
      <w:pPr>
        <w:spacing w:before="0" w:after="80"/>
      </w:pPr>
      <w:r>
        <w:rPr>
          <w:rFonts w:ascii="Calibri" w:hAnsi="Calibri"/>
          <w:b w:val="0"/>
          <w:i w:val="0"/>
          <w:color w:val="212121"/>
          <w:sz w:val="21"/>
        </w:rPr>
        <w:t>(5) By clinical context — spontaneous/idiopathic impaction versus self-induced (cotton-bud pushing wax inward) and device-associated impaction (hearing aids, ear-moulds, earplugs and in-ear earphones that obstruct outward wax migration).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Failure of self-cleaning migration: The canal normally clears itself by outward epithelial migration assisted by chewing; any disruption of this process allows wax to accumulate and harden.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Self-instrumentation: Cotton buds, hairpins, matchsticks, keys and 'ear-cleaning' tools push wax deeper against the tympanic membrane and mechanically stimulate further cerumen production — a leading, entirely modifiable cause.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Occlusive devices: Regular use of hearing aids, ear-moulds, earplugs and in-ear earphones physically blocks migration and stimulates gland activity, greatly raising impaction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Anatomic factors: Narrow or tortuous canals, hairy canals, exostoses/osteomata ('surfer's ear'), congenital canal stenosis (e.g., Down syndrome) and post-traumatic or post-surgical changes impede clearance.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Ageing: Elderly canals produce drier, more keratin-rich wax and have stiffer, more numerous canal hairs, so wax is harder and more likely to become impacted and adherent.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Cerumen type and overproduction: Sticky 'wet' cerumen (common in South Asians, Africans and Europeans) is more impaction-prone than dry, flaky cerumen, and glandular over-secretion adds to accumulation.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Impaired ability to self-care or report: Cognitive impairment, dementia, intellectual disability and physical dependency lead to unrecognized, progressive accumulation, especially in the institutionalized elderly.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(school-age)</w:t>
            </w:r>
          </w:p>
        </w:tc>
        <w:tc>
          <w:tcPr>
            <w:tcW w:type="dxa" w:w="4276"/>
            <w:vAlign w:val="top"/>
          </w:tcPr>
          <w:p>
            <w:pPr>
              <w:spacing w:after="60" w:line="259" w:lineRule="auto"/>
            </w:pPr>
            <w:r>
              <w:rPr>
                <w:rFonts w:ascii="Calibri" w:hAnsi="Calibri"/>
                <w:b w:val="0"/>
                <w:i w:val="0"/>
                <w:color w:val="212121"/>
                <w:sz w:val="19"/>
              </w:rPr>
              <w:t>Children have narrower ear canals, produce relatively abundant wax and cannot always report muffled hearing, so impaction is easily missed until it causes learning or speech concerns. In India it is repeatedly found among the commonest correctable causes of childhood hearing loss.</w:t>
            </w:r>
          </w:p>
          <w:p>
            <w:pPr>
              <w:spacing w:after="40" w:before="60" w:line="259" w:lineRule="auto"/>
            </w:pPr>
            <w:r>
              <w:rPr>
                <w:rFonts w:ascii="Calibri" w:hAnsi="Calibri"/>
                <w:b w:val="0"/>
                <w:i w:val="0"/>
                <w:color w:val="212121"/>
                <w:sz w:val="19"/>
              </w:rPr>
              <w:t>Cerumen impaction affects about 10% of children; in a rural Indian field-practice survey, impacted wax was reported as the commonest cause of hearing loss in schoolchildren.</w:t>
            </w:r>
          </w:p>
          <w:p>
            <w:pPr>
              <w:spacing w:after="40" w:line="252" w:lineRule="auto"/>
            </w:pPr>
            <w:hyperlink r:id="rId9">
              <w:r>
                <w:rPr>
                  <w:rFonts w:ascii="Calibri" w:hAnsi="Calibri" w:cs="Calibri"/>
                  <w:sz w:val="18"/>
                  <w:color w:val="1155CC"/>
                  <w:u w:val="single"/>
                </w:rPr>
                <w:t xml:space="preserve">ncbi.nlm.nih.gov — Cerumen Impaction Removal (StatPearls)</w:t>
              </w:r>
            </w:hyperlink>
          </w:p>
          <w:p>
            <w:pPr>
              <w:spacing w:before="60" w:after="40"/>
            </w:pPr>
            <w:r>
              <w:rPr>
                <w:rFonts w:ascii="Calibri" w:hAnsi="Calibri"/>
                <w:b w:val="0"/>
                <w:i w:val="0"/>
                <w:color w:val="5A5A5A"/>
                <w:sz w:val="18"/>
              </w:rPr>
              <w:t>#earwax  #schoolchildren  #hearingloss  #reversible  #screening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Widespread cotton-bud use and prolonged wear of in-ear earphones/earbuds (students, call-centre and IT workers, commuters) push wax inward and obstruct its outward migration, making symptomatic impaction common in working-age adults.</w:t>
            </w:r>
          </w:p>
          <w:p>
            <w:pPr>
              <w:spacing w:after="40" w:before="60" w:line="259" w:lineRule="auto"/>
            </w:pPr>
            <w:r>
              <w:rPr>
                <w:rFonts w:ascii="Calibri" w:hAnsi="Calibri"/>
                <w:b w:val="0"/>
                <w:i w:val="0"/>
                <w:color w:val="212121"/>
                <w:sz w:val="19"/>
              </w:rPr>
              <w:t>A US population survey (NHANES) found any cerumen impaction in 18.6% of people aged 12 and above.</w:t>
            </w:r>
          </w:p>
          <w:p>
            <w:pPr>
              <w:spacing w:after="40" w:line="252" w:lineRule="auto"/>
            </w:pPr>
            <w:hyperlink r:id="rId10">
              <w:r>
                <w:rPr>
                  <w:rFonts w:ascii="Calibri" w:hAnsi="Calibri" w:cs="Calibri"/>
                  <w:sz w:val="18"/>
                  <w:color w:val="1155CC"/>
                  <w:u w:val="single"/>
                </w:rPr>
                <w:t xml:space="preserve">pubmed.ncbi.nlm.nih.gov/38525118 — cerumen impaction prevalence (NHANES)</w:t>
              </w:r>
            </w:hyperlink>
          </w:p>
          <w:p>
            <w:pPr>
              <w:spacing w:before="60" w:after="40"/>
            </w:pPr>
            <w:r>
              <w:rPr>
                <w:rFonts w:ascii="Calibri" w:hAnsi="Calibri"/>
                <w:b w:val="0"/>
                <w:i w:val="0"/>
                <w:color w:val="5A5A5A"/>
                <w:sz w:val="18"/>
              </w:rPr>
              <w:t>#cottonbuds  #earbuds  #adults  #occlusion  #urbanindia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Ageing produces drier, harder, more keratin-rich wax and stiffer canal hairs, while hearing-aid use and reduced self-care raise accumulation; impaction adds a reversible conductive loss on top of presbycusis and, in the dependent elderly, can worsen confusion and isolation.</w:t>
            </w:r>
          </w:p>
          <w:p>
            <w:pPr>
              <w:spacing w:after="40" w:before="60" w:line="259" w:lineRule="auto"/>
            </w:pPr>
            <w:r>
              <w:rPr>
                <w:rFonts w:ascii="Calibri" w:hAnsi="Calibri"/>
                <w:b w:val="0"/>
                <w:i w:val="0"/>
                <w:color w:val="212121"/>
                <w:sz w:val="19"/>
              </w:rPr>
              <w:t>Over 30% of the elderly and cognitively impaired have impaction; NHANES found 32.4% prevalence in adults aged 70+, and ear irrigation is less effective than manual removal in this age group.</w:t>
            </w:r>
          </w:p>
          <w:p>
            <w:pPr>
              <w:spacing w:after="40" w:line="252" w:lineRule="auto"/>
            </w:pPr>
            <w:hyperlink r:id="rId9">
              <w:r>
                <w:rPr>
                  <w:rFonts w:ascii="Calibri" w:hAnsi="Calibri" w:cs="Calibri"/>
                  <w:sz w:val="18"/>
                  <w:color w:val="1155CC"/>
                  <w:u w:val="single"/>
                </w:rPr>
                <w:t xml:space="preserve">ncbi.nlm.nih.gov — Cerumen Impaction Removal (StatPearls)</w:t>
              </w:r>
            </w:hyperlink>
          </w:p>
          <w:p>
            <w:pPr>
              <w:spacing w:before="60" w:after="40"/>
            </w:pPr>
            <w:r>
              <w:rPr>
                <w:rFonts w:ascii="Calibri" w:hAnsi="Calibri"/>
                <w:b w:val="0"/>
                <w:i w:val="0"/>
                <w:color w:val="5A5A5A"/>
                <w:sz w:val="18"/>
              </w:rPr>
              <w:t>#elderly  #presbycusis  #hearingaids  #dryerwax  #microsuction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tend to have hairier ear canals and greater cerumen production, and are more often in dusty outdoor occupations, all of which favour accumulation and impaction.</w:t>
            </w:r>
          </w:p>
          <w:p>
            <w:pPr>
              <w:spacing w:after="40" w:before="60" w:line="259" w:lineRule="auto"/>
            </w:pPr>
            <w:r>
              <w:rPr>
                <w:rFonts w:ascii="Calibri" w:hAnsi="Calibri"/>
                <w:b w:val="0"/>
                <w:i w:val="0"/>
                <w:color w:val="212121"/>
                <w:sz w:val="19"/>
              </w:rPr>
              <w:t>In NHANES, male sex was independently associated with cerumen impaction (odds ratio ~1.77).</w:t>
            </w:r>
          </w:p>
          <w:p>
            <w:pPr>
              <w:spacing w:after="40" w:line="252" w:lineRule="auto"/>
            </w:pPr>
            <w:hyperlink r:id="rId10">
              <w:r>
                <w:rPr>
                  <w:rFonts w:ascii="Calibri" w:hAnsi="Calibri" w:cs="Calibri"/>
                  <w:sz w:val="18"/>
                  <w:color w:val="1155CC"/>
                  <w:u w:val="single"/>
                </w:rPr>
                <w:t xml:space="preserve">pubmed.ncbi.nlm.nih.gov/38525118 — associated factors</w:t>
              </w:r>
            </w:hyperlink>
          </w:p>
          <w:p>
            <w:pPr>
              <w:spacing w:before="60" w:after="40"/>
            </w:pPr>
            <w:r>
              <w:rPr>
                <w:rFonts w:ascii="Calibri" w:hAnsi="Calibri"/>
                <w:b w:val="0"/>
                <w:i w:val="0"/>
                <w:color w:val="5A5A5A"/>
                <w:sz w:val="18"/>
              </w:rPr>
              <w:t>#male  #hairycanal  #cerumenproduction  #dustexposure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limited ear-care access</w:t>
            </w:r>
          </w:p>
        </w:tc>
        <w:tc>
          <w:tcPr>
            <w:tcW w:type="dxa" w:w="4276"/>
            <w:vAlign w:val="top"/>
          </w:tcPr>
          <w:p>
            <w:pPr>
              <w:spacing w:after="60" w:line="259" w:lineRule="auto"/>
            </w:pPr>
            <w:r>
              <w:rPr>
                <w:rFonts w:ascii="Calibri" w:hAnsi="Calibri"/>
                <w:b w:val="0"/>
                <w:i w:val="0"/>
                <w:color w:val="212121"/>
                <w:sz w:val="19"/>
              </w:rPr>
              <w:t>Limited access to trained ear care leads to undetected, long-standing impaction and to reliance on unregulated street 'ear-cleaners' (kaan-saaf-wala) and self-instrumentation, which push wax deeper and risk canal injury and infection.</w:t>
            </w:r>
          </w:p>
          <w:p>
            <w:pPr>
              <w:spacing w:after="40" w:before="60" w:line="259" w:lineRule="auto"/>
            </w:pPr>
            <w:r>
              <w:rPr>
                <w:rFonts w:ascii="Calibri" w:hAnsi="Calibri"/>
                <w:b w:val="0"/>
                <w:i w:val="0"/>
                <w:color w:val="212121"/>
                <w:sz w:val="19"/>
              </w:rPr>
              <w:t>Community ear-disease surveys among Indian children (e.g., in Delhi) show a substantial burden of ear conditions including wax, much of it detected only on active screening.</w:t>
            </w:r>
          </w:p>
          <w:p>
            <w:pPr>
              <w:spacing w:after="40" w:line="252" w:lineRule="auto"/>
            </w:pPr>
            <w:hyperlink r:id="rId11">
              <w:r>
                <w:rPr>
                  <w:rFonts w:ascii="Calibri" w:hAnsi="Calibri" w:cs="Calibri"/>
                  <w:sz w:val="18"/>
                  <w:color w:val="1155CC"/>
                  <w:u w:val="single"/>
                </w:rPr>
                <w:t xml:space="preserve">pubmed.ncbi.nlm.nih.gov/25883066 — ear diseases in children of Delhi</w:t>
              </w:r>
            </w:hyperlink>
          </w:p>
          <w:p>
            <w:pPr>
              <w:spacing w:before="60" w:after="40"/>
            </w:pPr>
            <w:r>
              <w:rPr>
                <w:rFonts w:ascii="Calibri" w:hAnsi="Calibri"/>
                <w:b w:val="0"/>
                <w:i w:val="0"/>
                <w:color w:val="5A5A5A"/>
                <w:sz w:val="18"/>
              </w:rPr>
              <w:t>#accesstocare  #earcleaners  #selfinstrumentation  #screening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cerumen type</w:t>
            </w:r>
          </w:p>
        </w:tc>
        <w:tc>
          <w:tcPr>
            <w:tcW w:type="dxa" w:w="2160"/>
            <w:vAlign w:val="top"/>
          </w:tcPr>
          <w:p>
            <w:pPr>
              <w:spacing w:after="40" w:before="0" w:line="259" w:lineRule="auto"/>
            </w:pPr>
            <w:r>
              <w:rPr>
                <w:rFonts w:ascii="Calibri" w:hAnsi="Calibri"/>
                <w:b w:val="0"/>
                <w:i w:val="0"/>
                <w:color w:val="212121"/>
                <w:sz w:val="19"/>
              </w:rPr>
              <w:t>Wet-cerumen populations (South Asians, Africans, Europeans)</w:t>
            </w:r>
          </w:p>
        </w:tc>
        <w:tc>
          <w:tcPr>
            <w:tcW w:type="dxa" w:w="4276"/>
            <w:vAlign w:val="top"/>
          </w:tcPr>
          <w:p>
            <w:pPr>
              <w:spacing w:after="60" w:line="259" w:lineRule="auto"/>
            </w:pPr>
            <w:r>
              <w:rPr>
                <w:rFonts w:ascii="Calibri" w:hAnsi="Calibri"/>
                <w:b w:val="0"/>
                <w:i w:val="0"/>
                <w:color w:val="212121"/>
                <w:sz w:val="19"/>
              </w:rPr>
              <w:t>Cerumen consistency is genetically determined by the ABCC11 gene: 'wet' (sticky) cerumen predominates in South Asians, Africans and Europeans and is more prone to impaction than the dry, flaky cerumen common in East Asians.</w:t>
            </w:r>
          </w:p>
          <w:p>
            <w:pPr>
              <w:spacing w:after="40" w:before="60" w:line="259" w:lineRule="auto"/>
            </w:pPr>
            <w:r>
              <w:rPr>
                <w:rFonts w:ascii="Calibri" w:hAnsi="Calibri"/>
                <w:b w:val="0"/>
                <w:i w:val="0"/>
                <w:color w:val="212121"/>
                <w:sz w:val="19"/>
              </w:rPr>
              <w:t>The wet-versus-dry cerumen trait is a well-established single-gene (ABCC11) polymorphism; wet, sticky wax adheres and accumulates more readily.</w:t>
            </w:r>
          </w:p>
          <w:p>
            <w:pPr>
              <w:spacing w:before="60" w:after="40"/>
            </w:pPr>
            <w:r>
              <w:rPr>
                <w:rFonts w:ascii="Calibri" w:hAnsi="Calibri"/>
                <w:b w:val="0"/>
                <w:i w:val="0"/>
                <w:color w:val="5A5A5A"/>
                <w:sz w:val="18"/>
              </w:rPr>
              <w:t>#ABCC11  #wetcerumen  #genetics  #stickywax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(rural India)</w:t>
            </w:r>
          </w:p>
        </w:tc>
        <w:tc>
          <w:tcPr>
            <w:tcW w:type="dxa" w:w="2160"/>
            <w:vAlign w:val="top"/>
          </w:tcPr>
          <w:p>
            <w:pPr>
              <w:spacing w:after="40" w:before="0" w:line="259" w:lineRule="auto"/>
            </w:pPr>
            <w:r>
              <w:rPr>
                <w:rFonts w:ascii="Calibri" w:hAnsi="Calibri"/>
                <w:b w:val="0"/>
                <w:i w:val="0"/>
                <w:color w:val="212121"/>
                <w:sz w:val="19"/>
              </w:rPr>
              <w:t>Rural Indian schoolchildren</w:t>
            </w:r>
          </w:p>
        </w:tc>
        <w:tc>
          <w:tcPr>
            <w:tcW w:type="dxa" w:w="4276"/>
            <w:vAlign w:val="top"/>
          </w:tcPr>
          <w:p>
            <w:pPr>
              <w:spacing w:after="60" w:line="259" w:lineRule="auto"/>
            </w:pPr>
            <w:r>
              <w:rPr>
                <w:rFonts w:ascii="Calibri" w:hAnsi="Calibri"/>
                <w:b w:val="0"/>
                <w:i w:val="0"/>
                <w:color w:val="212121"/>
                <w:sz w:val="19"/>
              </w:rPr>
              <w:t>Rural children combine narrow canals, dusty environments and limited access to ear care; on active screening, impacted wax emerges as a top correctable cause of hearing loss that can impair schooling if untreated.</w:t>
            </w:r>
          </w:p>
          <w:p>
            <w:pPr>
              <w:spacing w:after="40" w:before="60" w:line="259" w:lineRule="auto"/>
            </w:pPr>
            <w:r>
              <w:rPr>
                <w:rFonts w:ascii="Calibri" w:hAnsi="Calibri"/>
                <w:b w:val="0"/>
                <w:i w:val="0"/>
                <w:color w:val="212121"/>
                <w:sz w:val="19"/>
              </w:rPr>
              <w:t>In a rural Indian school survey, impacted wax was the most common cause of hearing loss; rural South Indian school-entry surveys similarly report ear disease and hearing impairment burden.</w:t>
            </w:r>
          </w:p>
          <w:p>
            <w:pPr>
              <w:spacing w:after="40" w:line="252" w:lineRule="auto"/>
            </w:pPr>
            <w:hyperlink r:id="rId12">
              <w:r>
                <w:rPr>
                  <w:rFonts w:ascii="Calibri" w:hAnsi="Calibri" w:cs="Calibri"/>
                  <w:sz w:val="18"/>
                  <w:color w:val="1155CC"/>
                  <w:u w:val="single"/>
                </w:rPr>
                <w:t xml:space="preserve">pubmed.ncbi.nlm.nih.gov/31750218 — hearing impairment in rural Indian schoolchildren</w:t>
              </w:r>
            </w:hyperlink>
          </w:p>
          <w:p>
            <w:pPr>
              <w:spacing w:before="60" w:after="40"/>
            </w:pPr>
            <w:r>
              <w:rPr>
                <w:rFonts w:ascii="Calibri" w:hAnsi="Calibri"/>
                <w:b w:val="0"/>
                <w:i w:val="0"/>
                <w:color w:val="5A5A5A"/>
                <w:sz w:val="18"/>
              </w:rPr>
              <w:t>#ruralindia  #schoolscreening  #dust  #correctable  #childhearing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environmental exposure</w:t>
            </w:r>
          </w:p>
        </w:tc>
        <w:tc>
          <w:tcPr>
            <w:tcW w:type="dxa" w:w="2160"/>
            <w:vAlign w:val="top"/>
          </w:tcPr>
          <w:p>
            <w:pPr>
              <w:spacing w:after="40" w:before="0" w:line="259" w:lineRule="auto"/>
            </w:pPr>
            <w:r>
              <w:rPr>
                <w:rFonts w:ascii="Calibri" w:hAnsi="Calibri"/>
                <w:b w:val="0"/>
                <w:i w:val="0"/>
                <w:color w:val="212121"/>
                <w:sz w:val="19"/>
              </w:rPr>
              <w:t>Dusty and high-particulate occupations</w:t>
            </w:r>
          </w:p>
        </w:tc>
        <w:tc>
          <w:tcPr>
            <w:tcW w:type="dxa" w:w="4276"/>
            <w:vAlign w:val="top"/>
          </w:tcPr>
          <w:p>
            <w:pPr>
              <w:spacing w:after="60" w:line="259" w:lineRule="auto"/>
            </w:pPr>
            <w:r>
              <w:rPr>
                <w:rFonts w:ascii="Calibri" w:hAnsi="Calibri"/>
                <w:b w:val="0"/>
                <w:i w:val="0"/>
                <w:color w:val="212121"/>
                <w:sz w:val="19"/>
              </w:rPr>
              <w:t>Construction, mining, farming, traffic and industrial workers accumulate dust and particulate matter that becomes trapped in cerumen, increasing its bulk and hardness and predisposing to impaction and secondary infection.</w:t>
            </w:r>
          </w:p>
          <w:p>
            <w:pPr>
              <w:spacing w:after="40" w:before="60" w:line="259" w:lineRule="auto"/>
            </w:pPr>
            <w:r>
              <w:rPr>
                <w:rFonts w:ascii="Calibri" w:hAnsi="Calibri"/>
                <w:b w:val="0"/>
                <w:i w:val="0"/>
                <w:color w:val="212121"/>
                <w:sz w:val="19"/>
              </w:rPr>
              <w:t>Environmental dust and debris trapped by cerumen add to plug volume; wax is the canal's main dust-trapping defence, but heavy exposure overwhelms clearance.</w:t>
            </w:r>
          </w:p>
          <w:p>
            <w:pPr>
              <w:spacing w:before="60" w:after="40"/>
            </w:pPr>
            <w:r>
              <w:rPr>
                <w:rFonts w:ascii="Calibri" w:hAnsi="Calibri"/>
                <w:b w:val="0"/>
                <w:i w:val="0"/>
                <w:color w:val="5A5A5A"/>
                <w:sz w:val="18"/>
              </w:rPr>
              <w:t>#occupational  #dust  #particulate  #construction  #farming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Ear-cleaning habit</w:t>
            </w:r>
          </w:p>
        </w:tc>
        <w:tc>
          <w:tcPr>
            <w:tcW w:type="dxa" w:w="2160"/>
            <w:vAlign w:val="top"/>
          </w:tcPr>
          <w:p>
            <w:pPr>
              <w:spacing w:after="40" w:before="0" w:line="259" w:lineRule="auto"/>
            </w:pPr>
            <w:r>
              <w:rPr>
                <w:rFonts w:ascii="Calibri" w:hAnsi="Calibri"/>
                <w:b w:val="0"/>
                <w:i w:val="0"/>
                <w:color w:val="212121"/>
                <w:sz w:val="19"/>
              </w:rPr>
              <w:t>Habitual cotton-bud / object users</w:t>
            </w:r>
          </w:p>
        </w:tc>
        <w:tc>
          <w:tcPr>
            <w:tcW w:type="dxa" w:w="4276"/>
            <w:vAlign w:val="top"/>
          </w:tcPr>
          <w:p>
            <w:pPr>
              <w:spacing w:after="60" w:line="259" w:lineRule="auto"/>
            </w:pPr>
            <w:r>
              <w:rPr>
                <w:rFonts w:ascii="Calibri" w:hAnsi="Calibri"/>
                <w:b w:val="0"/>
                <w:i w:val="0"/>
                <w:color w:val="212121"/>
                <w:sz w:val="19"/>
              </w:rPr>
              <w:t>Inserting cotton buds, hairpins or matchsticks removes protective outer wax but compacts the remainder deep against the eardrum and irritates the canal, stimulating still more wax — the single most modifiable driver of impaction.</w:t>
            </w:r>
          </w:p>
          <w:p>
            <w:pPr>
              <w:spacing w:after="40" w:before="60" w:line="259" w:lineRule="auto"/>
            </w:pPr>
            <w:r>
              <w:rPr>
                <w:rFonts w:ascii="Calibri" w:hAnsi="Calibri"/>
                <w:b w:val="0"/>
                <w:i w:val="0"/>
                <w:color w:val="212121"/>
                <w:sz w:val="19"/>
              </w:rPr>
              <w:t>Placing cotton swabs into the canal can worsen impaction and may cause tympanic-membrane perforation; guidelines advise against inserting objects into the ear.</w:t>
            </w:r>
          </w:p>
          <w:p>
            <w:pPr>
              <w:spacing w:after="40" w:line="252" w:lineRule="auto"/>
            </w:pPr>
            <w:hyperlink r:id="rId9">
              <w:r>
                <w:rPr>
                  <w:rFonts w:ascii="Calibri" w:hAnsi="Calibri" w:cs="Calibri"/>
                  <w:sz w:val="18"/>
                  <w:color w:val="1155CC"/>
                  <w:u w:val="single"/>
                </w:rPr>
                <w:t xml:space="preserve">ncbi.nlm.nih.gov — Cerumen Impaction Removal (StatPearls)</w:t>
              </w:r>
            </w:hyperlink>
          </w:p>
          <w:p>
            <w:pPr>
              <w:spacing w:before="60" w:after="40"/>
            </w:pPr>
            <w:r>
              <w:rPr>
                <w:rFonts w:ascii="Calibri" w:hAnsi="Calibri"/>
                <w:b w:val="0"/>
                <w:i w:val="0"/>
                <w:color w:val="5A5A5A"/>
                <w:sz w:val="18"/>
              </w:rPr>
              <w:t>#cottonbuds  #Qtips  #selfcleaning  #compaction  #perforation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Occlusive device use</w:t>
            </w:r>
          </w:p>
        </w:tc>
        <w:tc>
          <w:tcPr>
            <w:tcW w:type="dxa" w:w="2160"/>
            <w:vAlign w:val="top"/>
          </w:tcPr>
          <w:p>
            <w:pPr>
              <w:spacing w:after="40" w:before="0" w:line="259" w:lineRule="auto"/>
            </w:pPr>
            <w:r>
              <w:rPr>
                <w:rFonts w:ascii="Calibri" w:hAnsi="Calibri"/>
                <w:b w:val="0"/>
                <w:i w:val="0"/>
                <w:color w:val="212121"/>
                <w:sz w:val="19"/>
              </w:rPr>
              <w:t>Hearing-aid, ear-mould and earbud users</w:t>
            </w:r>
          </w:p>
        </w:tc>
        <w:tc>
          <w:tcPr>
            <w:tcW w:type="dxa" w:w="4276"/>
            <w:vAlign w:val="top"/>
          </w:tcPr>
          <w:p>
            <w:pPr>
              <w:spacing w:after="60" w:line="259" w:lineRule="auto"/>
            </w:pPr>
            <w:r>
              <w:rPr>
                <w:rFonts w:ascii="Calibri" w:hAnsi="Calibri"/>
                <w:b w:val="0"/>
                <w:i w:val="0"/>
                <w:color w:val="212121"/>
                <w:sz w:val="19"/>
              </w:rPr>
              <w:t>Hearing aids, custom ear-moulds, earplugs and in-ear earphones physically block outward wax migration and stimulate cerumen glands; impaction in turn causes aid feedback/whistling and blocks fittings.</w:t>
            </w:r>
          </w:p>
          <w:p>
            <w:pPr>
              <w:spacing w:after="40" w:before="60" w:line="259" w:lineRule="auto"/>
            </w:pPr>
            <w:r>
              <w:rPr>
                <w:rFonts w:ascii="Calibri" w:hAnsi="Calibri"/>
                <w:b w:val="0"/>
                <w:i w:val="0"/>
                <w:color w:val="212121"/>
                <w:sz w:val="19"/>
              </w:rPr>
              <w:t>Regular hearing-aid and earplug use is a recognized risk factor; removing hearing aids for about 8 hours daily is advised to reduce buildup.</w:t>
            </w:r>
          </w:p>
          <w:p>
            <w:pPr>
              <w:spacing w:after="40" w:line="252" w:lineRule="auto"/>
            </w:pPr>
            <w:hyperlink r:id="rId9">
              <w:r>
                <w:rPr>
                  <w:rFonts w:ascii="Calibri" w:hAnsi="Calibri" w:cs="Calibri"/>
                  <w:sz w:val="18"/>
                  <w:color w:val="1155CC"/>
                  <w:u w:val="single"/>
                </w:rPr>
                <w:t xml:space="preserve">ncbi.nlm.nih.gov — Cerumen Impaction Removal (StatPearls)</w:t>
              </w:r>
            </w:hyperlink>
          </w:p>
          <w:p>
            <w:pPr>
              <w:spacing w:before="60" w:after="40"/>
            </w:pPr>
            <w:r>
              <w:rPr>
                <w:rFonts w:ascii="Calibri" w:hAnsi="Calibri"/>
                <w:b w:val="0"/>
                <w:i w:val="0"/>
                <w:color w:val="5A5A5A"/>
                <w:sz w:val="18"/>
              </w:rPr>
              <w:t>#hearingaids  #earbuds  #earplugs  #feedback  #devicecare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exposure</w:t>
            </w:r>
          </w:p>
        </w:tc>
        <w:tc>
          <w:tcPr>
            <w:tcW w:type="dxa" w:w="2160"/>
            <w:vAlign w:val="top"/>
          </w:tcPr>
          <w:p>
            <w:pPr>
              <w:spacing w:after="40" w:before="0" w:line="259" w:lineRule="auto"/>
            </w:pPr>
            <w:r>
              <w:rPr>
                <w:rFonts w:ascii="Calibri" w:hAnsi="Calibri"/>
                <w:b w:val="0"/>
                <w:i w:val="0"/>
                <w:color w:val="212121"/>
                <w:sz w:val="19"/>
              </w:rPr>
              <w:t>Swimmers and frequent bathers</w:t>
            </w:r>
          </w:p>
        </w:tc>
        <w:tc>
          <w:tcPr>
            <w:tcW w:type="dxa" w:w="4276"/>
            <w:vAlign w:val="top"/>
          </w:tcPr>
          <w:p>
            <w:pPr>
              <w:spacing w:after="60" w:line="259" w:lineRule="auto"/>
            </w:pPr>
            <w:r>
              <w:rPr>
                <w:rFonts w:ascii="Calibri" w:hAnsi="Calibri"/>
                <w:b w:val="0"/>
                <w:i w:val="0"/>
                <w:color w:val="212121"/>
                <w:sz w:val="19"/>
              </w:rPr>
              <w:t>Water entering the canal is absorbed by existing wax, causing it to swell and suddenly occlude the lumen; this explains the classic acute 'blocked ear' after a bath, swim or head-wash.</w:t>
            </w:r>
          </w:p>
          <w:p>
            <w:pPr>
              <w:spacing w:after="40" w:before="60" w:line="259" w:lineRule="auto"/>
            </w:pPr>
            <w:r>
              <w:rPr>
                <w:rFonts w:ascii="Calibri" w:hAnsi="Calibri"/>
                <w:b w:val="0"/>
                <w:i w:val="0"/>
                <w:color w:val="212121"/>
                <w:sz w:val="19"/>
              </w:rPr>
              <w:t>Wax swells on contact with water, precipitating acute occlusion and hearing loss in an ear that was previously only partially blocked.</w:t>
            </w:r>
          </w:p>
          <w:p>
            <w:pPr>
              <w:spacing w:before="60" w:after="40"/>
            </w:pPr>
            <w:r>
              <w:rPr>
                <w:rFonts w:ascii="Calibri" w:hAnsi="Calibri"/>
                <w:b w:val="0"/>
                <w:i w:val="0"/>
                <w:color w:val="5A5A5A"/>
                <w:sz w:val="18"/>
              </w:rPr>
              <w:t>#swimming  #waterexposure  #swelling  #acuteblockage  #bathing</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Skin/keratin and hydration status</w:t>
            </w:r>
          </w:p>
        </w:tc>
        <w:tc>
          <w:tcPr>
            <w:tcW w:type="dxa" w:w="2160"/>
            <w:vAlign w:val="top"/>
          </w:tcPr>
          <w:p>
            <w:pPr>
              <w:spacing w:after="40" w:before="0" w:line="259" w:lineRule="auto"/>
            </w:pPr>
            <w:r>
              <w:rPr>
                <w:rFonts w:ascii="Calibri" w:hAnsi="Calibri"/>
                <w:b w:val="0"/>
                <w:i w:val="0"/>
                <w:color w:val="212121"/>
                <w:sz w:val="19"/>
              </w:rPr>
              <w:t>Poor hydration, essential-fatty-acid or micronutrient deficiency</w:t>
            </w:r>
          </w:p>
        </w:tc>
        <w:tc>
          <w:tcPr>
            <w:tcW w:type="dxa" w:w="4276"/>
            <w:vAlign w:val="top"/>
          </w:tcPr>
          <w:p>
            <w:pPr>
              <w:spacing w:after="60" w:line="259" w:lineRule="auto"/>
            </w:pPr>
            <w:r>
              <w:rPr>
                <w:rFonts w:ascii="Calibri" w:hAnsi="Calibri"/>
                <w:b w:val="0"/>
                <w:i w:val="0"/>
                <w:color w:val="212121"/>
                <w:sz w:val="19"/>
              </w:rPr>
              <w:t>Diet has only a minor, indirect role: chronic dehydration and states that dry or disturb canal skin (e.g., essential-fatty-acid deficiency, severe malnutrition, dermatological disease) can make cerumen drier, flakier and more adherent, though no diet prevents or cures impaction.</w:t>
            </w:r>
          </w:p>
          <w:p>
            <w:pPr>
              <w:spacing w:after="40" w:before="60" w:line="259" w:lineRule="auto"/>
            </w:pPr>
            <w:r>
              <w:rPr>
                <w:rFonts w:ascii="Calibri" w:hAnsi="Calibri"/>
                <w:b w:val="0"/>
                <w:i w:val="0"/>
                <w:color w:val="212121"/>
                <w:sz w:val="19"/>
              </w:rPr>
              <w:t>There is no strong dietary determinant of impaction; hydration and skin health influence wax consistency only indirectly.</w:t>
            </w:r>
          </w:p>
          <w:p>
            <w:pPr>
              <w:spacing w:before="60" w:after="40"/>
            </w:pPr>
            <w:r>
              <w:rPr>
                <w:rFonts w:ascii="Calibri" w:hAnsi="Calibri"/>
                <w:b w:val="0"/>
                <w:i w:val="0"/>
                <w:color w:val="5A5A5A"/>
                <w:sz w:val="18"/>
              </w:rPr>
              <w:t>#hydration  #drywax  #skinhealth  #indirect  #nutrition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cerumen genotype</w:t>
            </w:r>
          </w:p>
        </w:tc>
        <w:tc>
          <w:tcPr>
            <w:tcW w:type="dxa" w:w="2160"/>
            <w:vAlign w:val="top"/>
          </w:tcPr>
          <w:p>
            <w:pPr>
              <w:spacing w:after="40" w:before="0" w:line="259" w:lineRule="auto"/>
            </w:pPr>
            <w:r>
              <w:rPr>
                <w:rFonts w:ascii="Calibri" w:hAnsi="Calibri"/>
                <w:b w:val="0"/>
                <w:i w:val="0"/>
                <w:color w:val="212121"/>
                <w:sz w:val="19"/>
              </w:rPr>
              <w:t>Families with sticky 'wet' cerumen</w:t>
            </w:r>
          </w:p>
        </w:tc>
        <w:tc>
          <w:tcPr>
            <w:tcW w:type="dxa" w:w="4276"/>
            <w:vAlign w:val="top"/>
          </w:tcPr>
          <w:p>
            <w:pPr>
              <w:spacing w:after="60" w:line="259" w:lineRule="auto"/>
            </w:pPr>
            <w:r>
              <w:rPr>
                <w:rFonts w:ascii="Calibri" w:hAnsi="Calibri"/>
                <w:b w:val="0"/>
                <w:i w:val="0"/>
                <w:color w:val="212121"/>
                <w:sz w:val="19"/>
              </w:rPr>
              <w:t>The wet, sticky cerumen phenotype clusters in families through the ABCC11 gene and is intrinsically more impaction-prone; relatives often share a tendency to recurrent wax problems.</w:t>
            </w:r>
          </w:p>
          <w:p>
            <w:pPr>
              <w:spacing w:after="40" w:before="60" w:line="259" w:lineRule="auto"/>
            </w:pPr>
            <w:r>
              <w:rPr>
                <w:rFonts w:ascii="Calibri" w:hAnsi="Calibri"/>
                <w:b w:val="0"/>
                <w:i w:val="0"/>
                <w:color w:val="212121"/>
                <w:sz w:val="19"/>
              </w:rPr>
              <w:t>Wet versus dry cerumen is determined by a single ABCC11 polymorphism; the wet allele is dominant and common in South Asian populations.</w:t>
            </w:r>
          </w:p>
          <w:p>
            <w:pPr>
              <w:spacing w:before="60" w:after="40"/>
            </w:pPr>
            <w:r>
              <w:rPr>
                <w:rFonts w:ascii="Calibri" w:hAnsi="Calibri"/>
                <w:b w:val="0"/>
                <w:i w:val="0"/>
                <w:color w:val="5A5A5A"/>
                <w:sz w:val="18"/>
              </w:rPr>
              <w:t>#familyhistory  #ABCC11  #wetcerumen  #inherited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 craniofacial syndromes</w:t>
            </w:r>
          </w:p>
        </w:tc>
        <w:tc>
          <w:tcPr>
            <w:tcW w:type="dxa" w:w="2160"/>
            <w:vAlign w:val="top"/>
          </w:tcPr>
          <w:p>
            <w:pPr>
              <w:spacing w:after="40" w:before="0" w:line="259" w:lineRule="auto"/>
            </w:pPr>
            <w:r>
              <w:rPr>
                <w:rFonts w:ascii="Calibri" w:hAnsi="Calibri"/>
                <w:b w:val="0"/>
                <w:i w:val="0"/>
                <w:color w:val="212121"/>
                <w:sz w:val="19"/>
              </w:rPr>
              <w:t>Down syndrome and canal-stenosis syndromes</w:t>
            </w:r>
          </w:p>
        </w:tc>
        <w:tc>
          <w:tcPr>
            <w:tcW w:type="dxa" w:w="4276"/>
            <w:vAlign w:val="top"/>
          </w:tcPr>
          <w:p>
            <w:pPr>
              <w:spacing w:after="60" w:line="259" w:lineRule="auto"/>
            </w:pPr>
            <w:r>
              <w:rPr>
                <w:rFonts w:ascii="Calibri" w:hAnsi="Calibri"/>
                <w:b w:val="0"/>
                <w:i w:val="0"/>
                <w:color w:val="212121"/>
                <w:sz w:val="19"/>
              </w:rPr>
              <w:t>Syndromes featuring narrow or stenotic ear canals (notably Down syndrome) markedly impede wax clearance, and associated cognitive impairment means impaction is often silent until it causes hearing or behavioural problems.</w:t>
            </w:r>
          </w:p>
          <w:p>
            <w:pPr>
              <w:spacing w:after="40" w:before="60" w:line="259" w:lineRule="auto"/>
            </w:pPr>
            <w:r>
              <w:rPr>
                <w:rFonts w:ascii="Calibri" w:hAnsi="Calibri"/>
                <w:b w:val="0"/>
                <w:i w:val="0"/>
                <w:color w:val="212121"/>
                <w:sz w:val="19"/>
              </w:rPr>
              <w:t>Congenital canal stenosis and cognitive impairment are established risk factors; over 30% of cognitively impaired individuals have impaction.</w:t>
            </w:r>
          </w:p>
          <w:p>
            <w:pPr>
              <w:spacing w:after="40" w:line="252" w:lineRule="auto"/>
            </w:pPr>
            <w:hyperlink r:id="rId9">
              <w:r>
                <w:rPr>
                  <w:rFonts w:ascii="Calibri" w:hAnsi="Calibri" w:cs="Calibri"/>
                  <w:sz w:val="18"/>
                  <w:color w:val="1155CC"/>
                  <w:u w:val="single"/>
                </w:rPr>
                <w:t xml:space="preserve">ncbi.nlm.nih.gov — Cerumen Impaction Removal (StatPearls)</w:t>
              </w:r>
            </w:hyperlink>
          </w:p>
          <w:p>
            <w:pPr>
              <w:spacing w:before="60" w:after="40"/>
            </w:pPr>
            <w:r>
              <w:rPr>
                <w:rFonts w:ascii="Calibri" w:hAnsi="Calibri"/>
                <w:b w:val="0"/>
                <w:i w:val="0"/>
                <w:color w:val="5A5A5A"/>
                <w:sz w:val="18"/>
              </w:rPr>
              <w:t>#Downsyndrome  #canalstenosis  #syndromic  #silentimpaction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Cognitive impairment / dementia</w:t>
            </w:r>
          </w:p>
        </w:tc>
        <w:tc>
          <w:tcPr>
            <w:tcW w:type="dxa" w:w="2160"/>
            <w:vAlign w:val="top"/>
          </w:tcPr>
          <w:p>
            <w:pPr>
              <w:spacing w:after="40" w:before="0" w:line="259" w:lineRule="auto"/>
            </w:pPr>
            <w:r>
              <w:rPr>
                <w:rFonts w:ascii="Calibri" w:hAnsi="Calibri"/>
                <w:b w:val="0"/>
                <w:i w:val="0"/>
                <w:color w:val="212121"/>
                <w:sz w:val="19"/>
              </w:rPr>
              <w:t>Institutionalized and cognitively impaired elderly</w:t>
            </w:r>
          </w:p>
        </w:tc>
        <w:tc>
          <w:tcPr>
            <w:tcW w:type="dxa" w:w="4276"/>
            <w:vAlign w:val="top"/>
          </w:tcPr>
          <w:p>
            <w:pPr>
              <w:spacing w:after="60" w:line="259" w:lineRule="auto"/>
            </w:pPr>
            <w:r>
              <w:rPr>
                <w:rFonts w:ascii="Calibri" w:hAnsi="Calibri"/>
                <w:b w:val="0"/>
                <w:i w:val="0"/>
                <w:color w:val="212121"/>
                <w:sz w:val="19"/>
              </w:rPr>
              <w:t>Dependency and inability to self-clean or report symptoms allow wax to build up unnoticed; because impaction adds a reversible hearing loss, its removal can measurably improve hearing and even cognitive/communication test performance.</w:t>
            </w:r>
          </w:p>
          <w:p>
            <w:pPr>
              <w:spacing w:after="40" w:before="60" w:line="259" w:lineRule="auto"/>
            </w:pPr>
            <w:r>
              <w:rPr>
                <w:rFonts w:ascii="Calibri" w:hAnsi="Calibri"/>
                <w:b w:val="0"/>
                <w:i w:val="0"/>
                <w:color w:val="212121"/>
                <w:sz w:val="19"/>
              </w:rPr>
              <w:t>In one skilled-nursing study 65.5% of residents had impaction; studies in cognitively impaired older adults have examined how cerumen impaction affects hearing and cognitive function.</w:t>
            </w:r>
          </w:p>
          <w:p>
            <w:pPr>
              <w:spacing w:after="40" w:line="252" w:lineRule="auto"/>
            </w:pPr>
            <w:hyperlink r:id="rId13">
              <w:r>
                <w:rPr>
                  <w:rFonts w:ascii="Calibri" w:hAnsi="Calibri" w:cs="Calibri"/>
                  <w:sz w:val="18"/>
                  <w:color w:val="1155CC"/>
                  <w:u w:val="single"/>
                </w:rPr>
                <w:t xml:space="preserve">pubmed.ncbi.nlm.nih.gov/12807656 — cerumen, hearing and cognition in the elderly</w:t>
              </w:r>
            </w:hyperlink>
          </w:p>
          <w:p>
            <w:pPr>
              <w:spacing w:before="60" w:after="40"/>
            </w:pPr>
            <w:r>
              <w:rPr>
                <w:rFonts w:ascii="Calibri" w:hAnsi="Calibri"/>
                <w:b w:val="0"/>
                <w:i w:val="0"/>
                <w:color w:val="5A5A5A"/>
                <w:sz w:val="18"/>
              </w:rPr>
              <w:t>#dementia  #nursinghome  #reversible  #cognition  #communication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 immunocompromise</w:t>
            </w:r>
          </w:p>
        </w:tc>
        <w:tc>
          <w:tcPr>
            <w:tcW w:type="dxa" w:w="2160"/>
            <w:vAlign w:val="top"/>
          </w:tcPr>
          <w:p>
            <w:pPr>
              <w:spacing w:after="40" w:before="0" w:line="259" w:lineRule="auto"/>
            </w:pPr>
            <w:r>
              <w:rPr>
                <w:rFonts w:ascii="Calibri" w:hAnsi="Calibri"/>
                <w:b w:val="0"/>
                <w:i w:val="0"/>
                <w:color w:val="212121"/>
                <w:sz w:val="19"/>
              </w:rPr>
              <w:t>Diabetics and immunosuppressed patients</w:t>
            </w:r>
          </w:p>
        </w:tc>
        <w:tc>
          <w:tcPr>
            <w:tcW w:type="dxa" w:w="4276"/>
            <w:vAlign w:val="top"/>
          </w:tcPr>
          <w:p>
            <w:pPr>
              <w:spacing w:after="60" w:line="259" w:lineRule="auto"/>
            </w:pPr>
            <w:r>
              <w:rPr>
                <w:rFonts w:ascii="Calibri" w:hAnsi="Calibri"/>
                <w:b w:val="0"/>
                <w:i w:val="0"/>
                <w:color w:val="212121"/>
                <w:sz w:val="19"/>
              </w:rPr>
              <w:t>Diabetes, HIV and other immunocompromise are 'modifying factors' that raise the risk of canal trauma and infection during removal, including sight- and life-threatening necrotising (malignant) otitis externa, so removal technique must be adapted.</w:t>
            </w:r>
          </w:p>
          <w:p>
            <w:pPr>
              <w:spacing w:after="40" w:before="60" w:line="259" w:lineRule="auto"/>
            </w:pPr>
            <w:r>
              <w:rPr>
                <w:rFonts w:ascii="Calibri" w:hAnsi="Calibri"/>
                <w:b w:val="0"/>
                <w:i w:val="0"/>
                <w:color w:val="212121"/>
                <w:sz w:val="19"/>
              </w:rPr>
              <w:t>Guidelines flag diabetes, immunocompromise, anticoagulation and canal stenosis as modifying factors requiring caution before wax removal.</w:t>
            </w:r>
          </w:p>
          <w:p>
            <w:pPr>
              <w:spacing w:after="40" w:line="252" w:lineRule="auto"/>
            </w:pPr>
            <w:hyperlink r:id="rId14">
              <w:r>
                <w:rPr>
                  <w:rFonts w:ascii="Calibri" w:hAnsi="Calibri" w:cs="Calibri"/>
                  <w:sz w:val="18"/>
                  <w:color w:val="1155CC"/>
                  <w:u w:val="single"/>
                </w:rPr>
                <w:t xml:space="preserve">pubmed.ncbi.nlm.nih.gov/28045591 — AAO-HNS cerumen impaction guideline</w:t>
              </w:r>
            </w:hyperlink>
          </w:p>
          <w:p>
            <w:pPr>
              <w:spacing w:before="60" w:after="40"/>
            </w:pPr>
            <w:r>
              <w:rPr>
                <w:rFonts w:ascii="Calibri" w:hAnsi="Calibri"/>
                <w:b w:val="0"/>
                <w:i w:val="0"/>
                <w:color w:val="5A5A5A"/>
                <w:sz w:val="18"/>
              </w:rPr>
              <w:t>#diabetes  #immunocompromise  #necrotisingOE  #modifyingfactors  #caution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Dermatologic canal disease</w:t>
            </w:r>
          </w:p>
        </w:tc>
        <w:tc>
          <w:tcPr>
            <w:tcW w:type="dxa" w:w="2160"/>
            <w:vAlign w:val="top"/>
          </w:tcPr>
          <w:p>
            <w:pPr>
              <w:spacing w:after="40" w:before="0" w:line="259" w:lineRule="auto"/>
            </w:pPr>
            <w:r>
              <w:rPr>
                <w:rFonts w:ascii="Calibri" w:hAnsi="Calibri"/>
                <w:b w:val="0"/>
                <w:i w:val="0"/>
                <w:color w:val="212121"/>
                <w:sz w:val="19"/>
              </w:rPr>
              <w:t>Eczema, psoriasis, seborrheic dermatitis, keratosis obturans</w:t>
            </w:r>
          </w:p>
        </w:tc>
        <w:tc>
          <w:tcPr>
            <w:tcW w:type="dxa" w:w="4276"/>
            <w:vAlign w:val="top"/>
          </w:tcPr>
          <w:p>
            <w:pPr>
              <w:spacing w:after="60" w:line="259" w:lineRule="auto"/>
            </w:pPr>
            <w:r>
              <w:rPr>
                <w:rFonts w:ascii="Calibri" w:hAnsi="Calibri"/>
                <w:b w:val="0"/>
                <w:i w:val="0"/>
                <w:color w:val="212121"/>
                <w:sz w:val="19"/>
              </w:rPr>
              <w:t>Chronic skin conditions of the ear canal produce excess keratin and scale that mix with wax to form dense, adherent plugs; keratosis obturans in particular can widen and erode the bony canal and needs specialist care.</w:t>
            </w:r>
          </w:p>
          <w:p>
            <w:pPr>
              <w:spacing w:after="40" w:before="60" w:line="259" w:lineRule="auto"/>
            </w:pPr>
            <w:r>
              <w:rPr>
                <w:rFonts w:ascii="Calibri" w:hAnsi="Calibri"/>
                <w:b w:val="0"/>
                <w:i w:val="0"/>
                <w:color w:val="212121"/>
                <w:sz w:val="19"/>
              </w:rPr>
              <w:t>Abnormal keratin shedding and canal dermatoses predispose to hard impaction and to keratosis obturans, which is distinguished from ordinary wax by otoscopy.</w:t>
            </w:r>
          </w:p>
          <w:p>
            <w:pPr>
              <w:spacing w:before="60" w:after="40"/>
            </w:pPr>
            <w:r>
              <w:rPr>
                <w:rFonts w:ascii="Calibri" w:hAnsi="Calibri"/>
                <w:b w:val="0"/>
                <w:i w:val="0"/>
                <w:color w:val="5A5A5A"/>
                <w:sz w:val="18"/>
              </w:rPr>
              <w:t>#eczema  #psoriasis  #keratosisobturans  #keratin  #adherent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Anticoagulation / bleeding tendency</w:t>
            </w:r>
          </w:p>
        </w:tc>
        <w:tc>
          <w:tcPr>
            <w:tcW w:type="dxa" w:w="2160"/>
            <w:vAlign w:val="top"/>
          </w:tcPr>
          <w:p>
            <w:pPr>
              <w:spacing w:after="40" w:before="0" w:line="259" w:lineRule="auto"/>
            </w:pPr>
            <w:r>
              <w:rPr>
                <w:rFonts w:ascii="Calibri" w:hAnsi="Calibri"/>
                <w:b w:val="0"/>
                <w:i w:val="0"/>
                <w:color w:val="212121"/>
                <w:sz w:val="19"/>
              </w:rPr>
              <w:t>Patients on anticoagulants or antiplatelets</w:t>
            </w:r>
          </w:p>
        </w:tc>
        <w:tc>
          <w:tcPr>
            <w:tcW w:type="dxa" w:w="4276"/>
            <w:vAlign w:val="top"/>
          </w:tcPr>
          <w:p>
            <w:pPr>
              <w:spacing w:after="60" w:line="259" w:lineRule="auto"/>
            </w:pPr>
            <w:r>
              <w:rPr>
                <w:rFonts w:ascii="Calibri" w:hAnsi="Calibri"/>
                <w:b w:val="0"/>
                <w:i w:val="0"/>
                <w:color w:val="212121"/>
                <w:sz w:val="19"/>
              </w:rPr>
              <w:t>Anticoagulation increases the risk of canal-wall bleeding and haematoma during instrumentation or irrigation, so gentler softening-based approaches and experienced operators are preferred.</w:t>
            </w:r>
          </w:p>
          <w:p>
            <w:pPr>
              <w:spacing w:after="40" w:before="60" w:line="259" w:lineRule="auto"/>
            </w:pPr>
            <w:r>
              <w:rPr>
                <w:rFonts w:ascii="Calibri" w:hAnsi="Calibri"/>
                <w:b w:val="0"/>
                <w:i w:val="0"/>
                <w:color w:val="212121"/>
                <w:sz w:val="19"/>
              </w:rPr>
              <w:t>Anticoagulation is listed as a modifying factor that alters the safest method of cerumen removal.</w:t>
            </w:r>
          </w:p>
          <w:p>
            <w:pPr>
              <w:spacing w:after="40" w:line="252" w:lineRule="auto"/>
            </w:pPr>
            <w:hyperlink r:id="rId14">
              <w:r>
                <w:rPr>
                  <w:rFonts w:ascii="Calibri" w:hAnsi="Calibri" w:cs="Calibri"/>
                  <w:sz w:val="18"/>
                  <w:color w:val="1155CC"/>
                  <w:u w:val="single"/>
                </w:rPr>
                <w:t xml:space="preserve">pubmed.ncbi.nlm.nih.gov/28045591 — AAO-HNS cerumen impaction guideline</w:t>
              </w:r>
            </w:hyperlink>
          </w:p>
          <w:p>
            <w:pPr>
              <w:spacing w:before="60" w:after="40"/>
            </w:pPr>
            <w:r>
              <w:rPr>
                <w:rFonts w:ascii="Calibri" w:hAnsi="Calibri"/>
                <w:b w:val="0"/>
                <w:i w:val="0"/>
                <w:color w:val="5A5A5A"/>
                <w:sz w:val="18"/>
              </w:rPr>
              <w:t>#anticoagulation  #bleeding  #modifyingfactor  #gentleremoval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role in impaction; however, normal jaw movement during chewing and talking is what drives the outward migration that clears wax, so severely reduced oral-motor activity can theoretically slow self-cleaning.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does not cause or cure impaction. Adequate hydration and skin health may keep cerumen softer and easier to clear, while dehydration and essential-fatty-acid deficiency can make wax drier and more adherent — an indirect, minor influence.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link between sleep and cerumen impaction. The main sleep-related consideration is removing hearing aids or earplugs overnight to reduce wax buildup.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 recognized cause of impaction, though tobacco smoke and associated dusty or polluted environments add particulate debris that cerumen traps, marginally increasing plug volume.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in cerumen impaction; heavy intake contributes only through general dehydration and reduced self-care.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Compulsive ear-poking (often anxiety-driven) is a real driver of impaction and canal trauma, and in dementia the inability to self-clean or report symptoms allows silent accumulation. Conversely, wax-related hearing loss can worsen mood, social withdrawal and cognition, improving after removal.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Water absorbed by existing wax makes it swell and can suddenly occlude the canal, causing acute 'blocked ear' after bathing or swimming; water/saline is also a first-line softening and irrigation agent for removal.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Ear-cleaning behaviour is the dominant modifiable factor: inserting cotton buds and other objects compacts wax inward, stimulates production and injures the canal, whereas leaving the self-cleaning canal alone and cleaning only the outer ear prevents most impaction.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Cotton buds and foreign objects, hearing aids/ear-moulds, earplugs and in-ear earphones, water entry, narrow or hairy canals, dusty environments and hard 'dry' wax directly precipitate or worsen impaction.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Insertion of cotton buds/objects into canal</w:t>
            </w:r>
          </w:p>
        </w:tc>
        <w:tc>
          <w:tcPr>
            <w:tcW w:type="dxa" w:w="1655"/>
            <w:vAlign w:val="top"/>
          </w:tcPr>
          <w:p>
            <w:pPr>
              <w:spacing w:after="40" w:before="0" w:line="259" w:lineRule="auto"/>
            </w:pPr>
            <w:r>
              <w:rPr>
                <w:rFonts w:ascii="Calibri" w:hAnsi="Calibri"/>
                <w:b w:val="0"/>
                <w:i w:val="0"/>
                <w:color w:val="212121"/>
                <w:sz w:val="19"/>
              </w:rPr>
              <w:t>All ages, habitual cleaners</w:t>
            </w:r>
          </w:p>
        </w:tc>
        <w:tc>
          <w:tcPr>
            <w:tcW w:type="dxa" w:w="1512"/>
            <w:vAlign w:val="top"/>
          </w:tcPr>
          <w:p>
            <w:pPr>
              <w:spacing w:after="40" w:before="0" w:line="259" w:lineRule="auto"/>
            </w:pPr>
            <w:r>
              <w:rPr>
                <w:rFonts w:ascii="Calibri" w:hAnsi="Calibri"/>
                <w:b w:val="0"/>
                <w:i w:val="0"/>
                <w:color w:val="212121"/>
                <w:sz w:val="19"/>
              </w:rPr>
              <w:t>None — clean only the outer ear/pinna</w:t>
            </w:r>
          </w:p>
        </w:tc>
        <w:tc>
          <w:tcPr>
            <w:tcW w:type="dxa" w:w="1512"/>
            <w:vAlign w:val="top"/>
          </w:tcPr>
          <w:p>
            <w:pPr>
              <w:spacing w:after="40" w:before="0" w:line="259" w:lineRule="auto"/>
            </w:pPr>
            <w:r>
              <w:rPr>
                <w:rFonts w:ascii="Calibri" w:hAnsi="Calibri"/>
                <w:b w:val="0"/>
                <w:i w:val="0"/>
                <w:color w:val="212121"/>
                <w:sz w:val="19"/>
              </w:rPr>
              <w:t>Any insertion of buds, pins, matchsticks or keys</w:t>
            </w:r>
          </w:p>
        </w:tc>
        <w:tc>
          <w:tcPr>
            <w:tcW w:type="dxa" w:w="1468"/>
            <w:vAlign w:val="top"/>
          </w:tcPr>
          <w:p>
            <w:pPr>
              <w:spacing w:after="60" w:line="259" w:lineRule="auto"/>
            </w:pPr>
            <w:r>
              <w:rPr>
                <w:rFonts w:ascii="Calibri" w:hAnsi="Calibri"/>
                <w:b w:val="0"/>
                <w:i w:val="0"/>
                <w:color w:val="212121"/>
                <w:sz w:val="19"/>
              </w:rPr>
              <w:t>Compacts wax inward and can perforate the drum</w:t>
            </w:r>
          </w:p>
          <w:p>
            <w:pPr>
              <w:spacing w:after="40" w:line="252" w:lineRule="auto"/>
            </w:pPr>
            <w:hyperlink r:id="rId9">
              <w:r>
                <w:rPr>
                  <w:rFonts w:ascii="Calibri" w:hAnsi="Calibri" w:cs="Calibri"/>
                  <w:sz w:val="18"/>
                  <w:color w:val="1155CC"/>
                  <w:u w:val="single"/>
                </w:rPr>
                <w:t xml:space="preserve">https://www.ncbi.nlm.nih.gov/books/NBK448155/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Use of ear candling</w:t>
            </w:r>
          </w:p>
        </w:tc>
        <w:tc>
          <w:tcPr>
            <w:tcW w:type="dxa" w:w="1655"/>
            <w:vAlign w:val="top"/>
          </w:tcPr>
          <w:p>
            <w:pPr>
              <w:spacing w:after="40" w:before="0" w:line="259" w:lineRule="auto"/>
            </w:pPr>
            <w:r>
              <w:rPr>
                <w:rFonts w:ascii="Calibri" w:hAnsi="Calibri"/>
                <w:b w:val="0"/>
                <w:i w:val="0"/>
                <w:color w:val="212121"/>
                <w:sz w:val="19"/>
              </w:rPr>
              <w:t>Adults seeking 'natural' cleaning</w:t>
            </w:r>
          </w:p>
        </w:tc>
        <w:tc>
          <w:tcPr>
            <w:tcW w:type="dxa" w:w="1512"/>
            <w:vAlign w:val="top"/>
          </w:tcPr>
          <w:p>
            <w:pPr>
              <w:spacing w:after="40" w:before="0" w:line="259" w:lineRule="auto"/>
            </w:pPr>
            <w:r>
              <w:rPr>
                <w:rFonts w:ascii="Calibri" w:hAnsi="Calibri"/>
                <w:b w:val="0"/>
                <w:i w:val="0"/>
                <w:color w:val="212121"/>
                <w:sz w:val="19"/>
              </w:rPr>
              <w:t>Never used</w:t>
            </w:r>
          </w:p>
        </w:tc>
        <w:tc>
          <w:tcPr>
            <w:tcW w:type="dxa" w:w="1512"/>
            <w:vAlign w:val="top"/>
          </w:tcPr>
          <w:p>
            <w:pPr>
              <w:spacing w:after="40" w:before="0" w:line="259" w:lineRule="auto"/>
            </w:pPr>
            <w:r>
              <w:rPr>
                <w:rFonts w:ascii="Calibri" w:hAnsi="Calibri"/>
                <w:b w:val="0"/>
                <w:i w:val="0"/>
                <w:color w:val="212121"/>
                <w:sz w:val="19"/>
              </w:rPr>
              <w:t>Any ear-candling use</w:t>
            </w:r>
          </w:p>
        </w:tc>
        <w:tc>
          <w:tcPr>
            <w:tcW w:type="dxa" w:w="1468"/>
            <w:vAlign w:val="top"/>
          </w:tcPr>
          <w:p>
            <w:pPr>
              <w:spacing w:after="60" w:line="259" w:lineRule="auto"/>
            </w:pPr>
            <w:r>
              <w:rPr>
                <w:rFonts w:ascii="Calibri" w:hAnsi="Calibri"/>
                <w:b w:val="0"/>
                <w:i w:val="0"/>
                <w:color w:val="212121"/>
                <w:sz w:val="19"/>
              </w:rPr>
              <w:t>Ineffective and can cause burns/wax occlusion; guideline advises against it</w:t>
            </w:r>
          </w:p>
          <w:p>
            <w:pPr>
              <w:spacing w:after="40" w:line="252" w:lineRule="auto"/>
            </w:pPr>
            <w:hyperlink r:id="rId14">
              <w:r>
                <w:rPr>
                  <w:rFonts w:ascii="Calibri" w:hAnsi="Calibri" w:cs="Calibri"/>
                  <w:sz w:val="18"/>
                  <w:color w:val="1155CC"/>
                  <w:u w:val="single"/>
                </w:rPr>
                <w:t xml:space="preserve">https://pubmed.ncbi.nlm.nih.gov/28045591/</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Hearing-aid / ear-mould wear</w:t>
            </w:r>
          </w:p>
        </w:tc>
        <w:tc>
          <w:tcPr>
            <w:tcW w:type="dxa" w:w="1655"/>
            <w:vAlign w:val="top"/>
          </w:tcPr>
          <w:p>
            <w:pPr>
              <w:spacing w:after="40" w:before="0" w:line="259" w:lineRule="auto"/>
            </w:pPr>
            <w:r>
              <w:rPr>
                <w:rFonts w:ascii="Calibri" w:hAnsi="Calibri"/>
                <w:b w:val="0"/>
                <w:i w:val="0"/>
                <w:color w:val="212121"/>
                <w:sz w:val="19"/>
              </w:rPr>
              <w:t>Hearing-aid users</w:t>
            </w:r>
          </w:p>
        </w:tc>
        <w:tc>
          <w:tcPr>
            <w:tcW w:type="dxa" w:w="1512"/>
            <w:vAlign w:val="top"/>
          </w:tcPr>
          <w:p>
            <w:pPr>
              <w:spacing w:after="40" w:before="0" w:line="259" w:lineRule="auto"/>
            </w:pPr>
            <w:r>
              <w:rPr>
                <w:rFonts w:ascii="Calibri" w:hAnsi="Calibri"/>
                <w:b w:val="0"/>
                <w:i w:val="0"/>
                <w:color w:val="212121"/>
                <w:sz w:val="19"/>
              </w:rPr>
              <w:t>Remove for ~8 hours/day; routine cleaning</w:t>
            </w:r>
          </w:p>
        </w:tc>
        <w:tc>
          <w:tcPr>
            <w:tcW w:type="dxa" w:w="1512"/>
            <w:vAlign w:val="top"/>
          </w:tcPr>
          <w:p>
            <w:pPr>
              <w:spacing w:after="40" w:before="0" w:line="259" w:lineRule="auto"/>
            </w:pPr>
            <w:r>
              <w:rPr>
                <w:rFonts w:ascii="Calibri" w:hAnsi="Calibri"/>
                <w:b w:val="0"/>
                <w:i w:val="0"/>
                <w:color w:val="212121"/>
                <w:sz w:val="19"/>
              </w:rPr>
              <w:t>Near-continuous wear without breaks</w:t>
            </w:r>
          </w:p>
        </w:tc>
        <w:tc>
          <w:tcPr>
            <w:tcW w:type="dxa" w:w="1468"/>
            <w:vAlign w:val="top"/>
          </w:tcPr>
          <w:p>
            <w:pPr>
              <w:spacing w:after="60" w:line="259" w:lineRule="auto"/>
            </w:pPr>
            <w:r>
              <w:rPr>
                <w:rFonts w:ascii="Calibri" w:hAnsi="Calibri"/>
                <w:b w:val="0"/>
                <w:i w:val="0"/>
                <w:color w:val="212121"/>
                <w:sz w:val="19"/>
              </w:rPr>
              <w:t>Blocks migration and stimulates wax; causes feedback</w:t>
            </w:r>
          </w:p>
          <w:p>
            <w:pPr>
              <w:spacing w:after="40" w:line="252" w:lineRule="auto"/>
            </w:pPr>
            <w:hyperlink r:id="rId9">
              <w:r>
                <w:rPr>
                  <w:rFonts w:ascii="Calibri" w:hAnsi="Calibri" w:cs="Calibri"/>
                  <w:sz w:val="18"/>
                  <w:color w:val="1155CC"/>
                  <w:u w:val="single"/>
                </w:rPr>
                <w:t xml:space="preserve">https://www.ncbi.nlm.nih.gov/books/NBK448155/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In-ear earphone/earbud use</w:t>
            </w:r>
          </w:p>
        </w:tc>
        <w:tc>
          <w:tcPr>
            <w:tcW w:type="dxa" w:w="1655"/>
            <w:vAlign w:val="top"/>
          </w:tcPr>
          <w:p>
            <w:pPr>
              <w:spacing w:after="40" w:before="0" w:line="259" w:lineRule="auto"/>
            </w:pPr>
            <w:r>
              <w:rPr>
                <w:rFonts w:ascii="Calibri" w:hAnsi="Calibri"/>
                <w:b w:val="0"/>
                <w:i w:val="0"/>
                <w:color w:val="212121"/>
                <w:sz w:val="19"/>
              </w:rPr>
              <w:t>Students, IT/call-centre workers, commuters</w:t>
            </w:r>
          </w:p>
        </w:tc>
        <w:tc>
          <w:tcPr>
            <w:tcW w:type="dxa" w:w="1512"/>
            <w:vAlign w:val="top"/>
          </w:tcPr>
          <w:p>
            <w:pPr>
              <w:spacing w:after="40" w:before="0" w:line="259" w:lineRule="auto"/>
            </w:pPr>
            <w:r>
              <w:rPr>
                <w:rFonts w:ascii="Calibri" w:hAnsi="Calibri"/>
                <w:b w:val="0"/>
                <w:i w:val="0"/>
                <w:color w:val="212121"/>
                <w:sz w:val="19"/>
              </w:rPr>
              <w:t>Limited, intermittent use with clean tips</w:t>
            </w:r>
          </w:p>
        </w:tc>
        <w:tc>
          <w:tcPr>
            <w:tcW w:type="dxa" w:w="1512"/>
            <w:vAlign w:val="top"/>
          </w:tcPr>
          <w:p>
            <w:pPr>
              <w:spacing w:after="40" w:before="0" w:line="259" w:lineRule="auto"/>
            </w:pPr>
            <w:r>
              <w:rPr>
                <w:rFonts w:ascii="Calibri" w:hAnsi="Calibri"/>
                <w:b w:val="0"/>
                <w:i w:val="0"/>
                <w:color w:val="212121"/>
                <w:sz w:val="19"/>
              </w:rPr>
              <w:t>Prolonged daily occlusive earbud use</w:t>
            </w:r>
          </w:p>
        </w:tc>
        <w:tc>
          <w:tcPr>
            <w:tcW w:type="dxa" w:w="1468"/>
            <w:vAlign w:val="top"/>
          </w:tcPr>
          <w:p>
            <w:pPr>
              <w:spacing w:after="40" w:before="0" w:line="259" w:lineRule="auto"/>
            </w:pPr>
            <w:r>
              <w:rPr>
                <w:rFonts w:ascii="Calibri" w:hAnsi="Calibri"/>
                <w:b w:val="0"/>
                <w:i w:val="0"/>
                <w:color w:val="212121"/>
                <w:sz w:val="19"/>
              </w:rPr>
              <w:t>Occludes canal and pushes/holds wax deep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Occupational dust exposure</w:t>
            </w:r>
          </w:p>
        </w:tc>
        <w:tc>
          <w:tcPr>
            <w:tcW w:type="dxa" w:w="1655"/>
            <w:vAlign w:val="top"/>
          </w:tcPr>
          <w:p>
            <w:pPr>
              <w:spacing w:after="40" w:before="0" w:line="259" w:lineRule="auto"/>
            </w:pPr>
            <w:r>
              <w:rPr>
                <w:rFonts w:ascii="Calibri" w:hAnsi="Calibri"/>
                <w:b w:val="0"/>
                <w:i w:val="0"/>
                <w:color w:val="212121"/>
                <w:sz w:val="19"/>
              </w:rPr>
              <w:t>Construction, mining, farming, traffic workers</w:t>
            </w:r>
          </w:p>
        </w:tc>
        <w:tc>
          <w:tcPr>
            <w:tcW w:type="dxa" w:w="1512"/>
            <w:vAlign w:val="top"/>
          </w:tcPr>
          <w:p>
            <w:pPr>
              <w:spacing w:after="40" w:before="0" w:line="259" w:lineRule="auto"/>
            </w:pPr>
            <w:r>
              <w:rPr>
                <w:rFonts w:ascii="Calibri" w:hAnsi="Calibri"/>
                <w:b w:val="0"/>
                <w:i w:val="0"/>
                <w:color w:val="212121"/>
                <w:sz w:val="19"/>
              </w:rPr>
              <w:t>Low; use ear protection/hygiene</w:t>
            </w:r>
          </w:p>
        </w:tc>
        <w:tc>
          <w:tcPr>
            <w:tcW w:type="dxa" w:w="1512"/>
            <w:vAlign w:val="top"/>
          </w:tcPr>
          <w:p>
            <w:pPr>
              <w:spacing w:after="40" w:before="0" w:line="259" w:lineRule="auto"/>
            </w:pPr>
            <w:r>
              <w:rPr>
                <w:rFonts w:ascii="Calibri" w:hAnsi="Calibri"/>
                <w:b w:val="0"/>
                <w:i w:val="0"/>
                <w:color w:val="212121"/>
                <w:sz w:val="19"/>
              </w:rPr>
              <w:t>Heavy daily particulate exposure</w:t>
            </w:r>
          </w:p>
        </w:tc>
        <w:tc>
          <w:tcPr>
            <w:tcW w:type="dxa" w:w="1468"/>
            <w:vAlign w:val="top"/>
          </w:tcPr>
          <w:p>
            <w:pPr>
              <w:spacing w:after="40" w:before="0" w:line="259" w:lineRule="auto"/>
            </w:pPr>
            <w:r>
              <w:rPr>
                <w:rFonts w:ascii="Calibri" w:hAnsi="Calibri"/>
                <w:b w:val="0"/>
                <w:i w:val="0"/>
                <w:color w:val="212121"/>
                <w:sz w:val="19"/>
              </w:rPr>
              <w:t>Dust trapped in wax enlarges and hardens the plug</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Water entry / unprotected swimming</w:t>
            </w:r>
          </w:p>
        </w:tc>
        <w:tc>
          <w:tcPr>
            <w:tcW w:type="dxa" w:w="1655"/>
            <w:vAlign w:val="top"/>
          </w:tcPr>
          <w:p>
            <w:pPr>
              <w:spacing w:after="40" w:before="0" w:line="259" w:lineRule="auto"/>
            </w:pPr>
            <w:r>
              <w:rPr>
                <w:rFonts w:ascii="Calibri" w:hAnsi="Calibri"/>
                <w:b w:val="0"/>
                <w:i w:val="0"/>
                <w:color w:val="212121"/>
                <w:sz w:val="19"/>
              </w:rPr>
              <w:t>Swimmers, frequent bathers</w:t>
            </w:r>
          </w:p>
        </w:tc>
        <w:tc>
          <w:tcPr>
            <w:tcW w:type="dxa" w:w="1512"/>
            <w:vAlign w:val="top"/>
          </w:tcPr>
          <w:p>
            <w:pPr>
              <w:spacing w:after="40" w:before="0" w:line="259" w:lineRule="auto"/>
            </w:pPr>
            <w:r>
              <w:rPr>
                <w:rFonts w:ascii="Calibri" w:hAnsi="Calibri"/>
                <w:b w:val="0"/>
                <w:i w:val="0"/>
                <w:color w:val="212121"/>
                <w:sz w:val="19"/>
              </w:rPr>
              <w:t>Keep canal dry; dry ears after water</w:t>
            </w:r>
          </w:p>
        </w:tc>
        <w:tc>
          <w:tcPr>
            <w:tcW w:type="dxa" w:w="1512"/>
            <w:vAlign w:val="top"/>
          </w:tcPr>
          <w:p>
            <w:pPr>
              <w:spacing w:after="40" w:before="0" w:line="259" w:lineRule="auto"/>
            </w:pPr>
            <w:r>
              <w:rPr>
                <w:rFonts w:ascii="Calibri" w:hAnsi="Calibri"/>
                <w:b w:val="0"/>
                <w:i w:val="0"/>
                <w:color w:val="212121"/>
                <w:sz w:val="19"/>
              </w:rPr>
              <w:t>Repeated water entry onto existing wax</w:t>
            </w:r>
          </w:p>
        </w:tc>
        <w:tc>
          <w:tcPr>
            <w:tcW w:type="dxa" w:w="1468"/>
            <w:vAlign w:val="top"/>
          </w:tcPr>
          <w:p>
            <w:pPr>
              <w:spacing w:after="40" w:before="0" w:line="259" w:lineRule="auto"/>
            </w:pPr>
            <w:r>
              <w:rPr>
                <w:rFonts w:ascii="Calibri" w:hAnsi="Calibri"/>
                <w:b w:val="0"/>
                <w:i w:val="0"/>
                <w:color w:val="212121"/>
                <w:sz w:val="19"/>
              </w:rPr>
              <w:t>Wax swells and acutely occludes the canal</w:t>
            </w:r>
          </w:p>
        </w:tc>
      </w:tr>
      <w:tr>
        <w:trPr>
          <w:cantSplit/>
        </w:trPr>
        <w:tc>
          <w:tcPr>
            <w:tcW w:type="dxa" w:w="1512"/>
            <w:vAlign w:val="center"/>
          </w:tcPr>
          <w:p>
            <w:pPr>
              <w:spacing w:after="40"/>
            </w:pPr>
            <w:r>
              <w:rPr>
                <w:rFonts w:ascii="Calibri" w:hAnsi="Calibri"/>
                <w:b w:val="0"/>
                <w:i w:val="0"/>
                <w:color w:val="212121"/>
                <w:sz w:val="19"/>
              </w:rPr>
              <w:t>Preventive care</w:t>
            </w:r>
          </w:p>
        </w:tc>
        <w:tc>
          <w:tcPr>
            <w:tcW w:type="dxa" w:w="1944"/>
            <w:vAlign w:val="top"/>
          </w:tcPr>
          <w:p>
            <w:pPr>
              <w:spacing w:after="40" w:before="0" w:line="259" w:lineRule="auto"/>
            </w:pPr>
            <w:r>
              <w:rPr>
                <w:rFonts w:ascii="Calibri" w:hAnsi="Calibri"/>
                <w:b w:val="0"/>
                <w:i w:val="0"/>
                <w:color w:val="212121"/>
                <w:sz w:val="19"/>
              </w:rPr>
              <w:t>Softening drops for recurrent impaction</w:t>
            </w:r>
          </w:p>
        </w:tc>
        <w:tc>
          <w:tcPr>
            <w:tcW w:type="dxa" w:w="1655"/>
            <w:vAlign w:val="top"/>
          </w:tcPr>
          <w:p>
            <w:pPr>
              <w:spacing w:after="40" w:before="0" w:line="259" w:lineRule="auto"/>
            </w:pPr>
            <w:r>
              <w:rPr>
                <w:rFonts w:ascii="Calibri" w:hAnsi="Calibri"/>
                <w:b w:val="0"/>
                <w:i w:val="0"/>
                <w:color w:val="212121"/>
                <w:sz w:val="19"/>
              </w:rPr>
              <w:t>Recurrent impactors, elderly, aid users</w:t>
            </w:r>
          </w:p>
        </w:tc>
        <w:tc>
          <w:tcPr>
            <w:tcW w:type="dxa" w:w="1512"/>
            <w:vAlign w:val="top"/>
          </w:tcPr>
          <w:p>
            <w:pPr>
              <w:spacing w:after="40" w:before="0" w:line="259" w:lineRule="auto"/>
            </w:pPr>
            <w:r>
              <w:rPr>
                <w:rFonts w:ascii="Calibri" w:hAnsi="Calibri"/>
                <w:b w:val="0"/>
                <w:i w:val="0"/>
                <w:color w:val="212121"/>
                <w:sz w:val="19"/>
              </w:rPr>
              <w:t>Olive/mineral oil or drops as advised (e.g., weekly)</w:t>
            </w:r>
          </w:p>
        </w:tc>
        <w:tc>
          <w:tcPr>
            <w:tcW w:type="dxa" w:w="1512"/>
            <w:vAlign w:val="top"/>
          </w:tcPr>
          <w:p>
            <w:pPr>
              <w:spacing w:after="40" w:before="0" w:line="259" w:lineRule="auto"/>
            </w:pPr>
            <w:r>
              <w:rPr>
                <w:rFonts w:ascii="Calibri" w:hAnsi="Calibri"/>
                <w:b w:val="0"/>
                <w:i w:val="0"/>
                <w:color w:val="212121"/>
                <w:sz w:val="19"/>
              </w:rPr>
              <w:t>No softening despite frequent hard plugs</w:t>
            </w:r>
          </w:p>
        </w:tc>
        <w:tc>
          <w:tcPr>
            <w:tcW w:type="dxa" w:w="1468"/>
            <w:vAlign w:val="top"/>
          </w:tcPr>
          <w:p>
            <w:pPr>
              <w:spacing w:after="60" w:line="259" w:lineRule="auto"/>
            </w:pPr>
            <w:r>
              <w:rPr>
                <w:rFonts w:ascii="Calibri" w:hAnsi="Calibri"/>
                <w:b w:val="0"/>
                <w:i w:val="0"/>
                <w:color w:val="212121"/>
                <w:sz w:val="19"/>
              </w:rPr>
              <w:t>Softening eases natural clearance and safe removal</w:t>
            </w:r>
          </w:p>
          <w:p>
            <w:pPr>
              <w:spacing w:after="40" w:line="252" w:lineRule="auto"/>
            </w:pPr>
            <w:hyperlink r:id="rId9">
              <w:r>
                <w:rPr>
                  <w:rFonts w:ascii="Calibri" w:hAnsi="Calibri" w:cs="Calibri"/>
                  <w:sz w:val="18"/>
                  <w:color w:val="1155CC"/>
                  <w:u w:val="single"/>
                </w:rPr>
                <w:t xml:space="preserve">https://www.ncbi.nlm.nih.gov/books/NBK448155/</w:t>
              </w:r>
            </w:hyperlink>
          </w:p>
        </w:tc>
      </w:tr>
      <w:tr>
        <w:trPr>
          <w:cantSplit/>
        </w:trPr>
        <w:tc>
          <w:tcPr>
            <w:tcW w:type="dxa" w:w="1512"/>
            <w:vAlign w:val="center"/>
          </w:tcPr>
          <w:p>
            <w:pPr>
              <w:spacing w:after="40"/>
            </w:pPr>
            <w:r>
              <w:rPr>
                <w:rFonts w:ascii="Calibri" w:hAnsi="Calibri"/>
                <w:b w:val="0"/>
                <w:i w:val="0"/>
                <w:color w:val="212121"/>
                <w:sz w:val="19"/>
              </w:rPr>
              <w:t>Auditory impact</w:t>
            </w:r>
          </w:p>
        </w:tc>
        <w:tc>
          <w:tcPr>
            <w:tcW w:type="dxa" w:w="1944"/>
            <w:vAlign w:val="top"/>
          </w:tcPr>
          <w:p>
            <w:pPr>
              <w:spacing w:after="40" w:before="0" w:line="259" w:lineRule="auto"/>
            </w:pPr>
            <w:r>
              <w:rPr>
                <w:rFonts w:ascii="Calibri" w:hAnsi="Calibri"/>
                <w:b w:val="0"/>
                <w:i w:val="0"/>
                <w:color w:val="212121"/>
                <w:sz w:val="19"/>
              </w:rPr>
              <w:t>Conductive hearing threshold change</w:t>
            </w:r>
          </w:p>
        </w:tc>
        <w:tc>
          <w:tcPr>
            <w:tcW w:type="dxa" w:w="1655"/>
            <w:vAlign w:val="top"/>
          </w:tcPr>
          <w:p>
            <w:pPr>
              <w:spacing w:after="40" w:before="0" w:line="259" w:lineRule="auto"/>
            </w:pPr>
            <w:r>
              <w:rPr>
                <w:rFonts w:ascii="Calibri" w:hAnsi="Calibri"/>
                <w:b w:val="0"/>
                <w:i w:val="0"/>
                <w:color w:val="212121"/>
                <w:sz w:val="19"/>
              </w:rPr>
              <w:t>Complete/obstructing impaction</w:t>
            </w:r>
          </w:p>
        </w:tc>
        <w:tc>
          <w:tcPr>
            <w:tcW w:type="dxa" w:w="1512"/>
            <w:vAlign w:val="top"/>
          </w:tcPr>
          <w:p>
            <w:pPr>
              <w:spacing w:after="40" w:before="0" w:line="259" w:lineRule="auto"/>
            </w:pPr>
            <w:r>
              <w:rPr>
                <w:rFonts w:ascii="Calibri" w:hAnsi="Calibri"/>
                <w:b w:val="0"/>
                <w:i w:val="0"/>
                <w:color w:val="212121"/>
                <w:sz w:val="19"/>
              </w:rPr>
              <w:t>No air-bone gap; normal pure-tone average</w:t>
            </w:r>
          </w:p>
        </w:tc>
        <w:tc>
          <w:tcPr>
            <w:tcW w:type="dxa" w:w="1512"/>
            <w:vAlign w:val="top"/>
          </w:tcPr>
          <w:p>
            <w:pPr>
              <w:spacing w:after="40" w:before="0" w:line="259" w:lineRule="auto"/>
            </w:pPr>
            <w:r>
              <w:rPr>
                <w:rFonts w:ascii="Calibri" w:hAnsi="Calibri"/>
                <w:b w:val="0"/>
                <w:i w:val="0"/>
                <w:color w:val="212121"/>
                <w:sz w:val="19"/>
              </w:rPr>
              <w:t>Raised pure-tone average with air-bone gap</w:t>
            </w:r>
          </w:p>
        </w:tc>
        <w:tc>
          <w:tcPr>
            <w:tcW w:type="dxa" w:w="1468"/>
            <w:vAlign w:val="top"/>
          </w:tcPr>
          <w:p>
            <w:pPr>
              <w:spacing w:after="60" w:line="259" w:lineRule="auto"/>
            </w:pPr>
            <w:r>
              <w:rPr>
                <w:rFonts w:ascii="Calibri" w:hAnsi="Calibri"/>
                <w:b w:val="0"/>
                <w:i w:val="0"/>
                <w:color w:val="212121"/>
                <w:sz w:val="19"/>
              </w:rPr>
              <w:t>Complete impaction measurably raises hearing thresholds</w:t>
            </w:r>
          </w:p>
          <w:p>
            <w:pPr>
              <w:spacing w:after="40" w:line="252" w:lineRule="auto"/>
            </w:pPr>
            <w:hyperlink r:id="rId10">
              <w:r>
                <w:rPr>
                  <w:rFonts w:ascii="Calibri" w:hAnsi="Calibri" w:cs="Calibri"/>
                  <w:sz w:val="18"/>
                  <w:color w:val="1155CC"/>
                  <w:u w:val="single"/>
                </w:rPr>
                <w:t xml:space="preserve">https://pubmed.ncbi.nlm.nih.gov/38525118/</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Compulsive ear-poking behaviour</w:t>
            </w:r>
          </w:p>
        </w:tc>
        <w:tc>
          <w:tcPr>
            <w:tcW w:type="dxa" w:w="1655"/>
            <w:vAlign w:val="top"/>
          </w:tcPr>
          <w:p>
            <w:pPr>
              <w:spacing w:after="40" w:before="0" w:line="259" w:lineRule="auto"/>
            </w:pPr>
            <w:r>
              <w:rPr>
                <w:rFonts w:ascii="Calibri" w:hAnsi="Calibri"/>
                <w:b w:val="0"/>
                <w:i w:val="0"/>
                <w:color w:val="212121"/>
                <w:sz w:val="19"/>
              </w:rPr>
              <w:t>Anxious/OCD-spectrum individuals</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Frequent habitual ear instrumentation</w:t>
            </w:r>
          </w:p>
        </w:tc>
        <w:tc>
          <w:tcPr>
            <w:tcW w:type="dxa" w:w="1468"/>
            <w:vAlign w:val="top"/>
          </w:tcPr>
          <w:p>
            <w:pPr>
              <w:spacing w:after="40" w:before="0" w:line="259" w:lineRule="auto"/>
            </w:pPr>
            <w:r>
              <w:rPr>
                <w:rFonts w:ascii="Calibri" w:hAnsi="Calibri"/>
                <w:b w:val="0"/>
                <w:i w:val="0"/>
                <w:color w:val="212121"/>
                <w:sz w:val="19"/>
              </w:rPr>
              <w:t>Drives recurrent impaction and canal trauma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Audiometry</w:t>
            </w:r>
          </w:p>
        </w:tc>
        <w:tc>
          <w:tcPr>
            <w:tcW w:type="dxa" w:w="1036"/>
            <w:vAlign w:val="top"/>
          </w:tcPr>
          <w:p>
            <w:pPr>
              <w:spacing w:after="40" w:before="0" w:line="259" w:lineRule="auto"/>
            </w:pPr>
            <w:r>
              <w:rPr>
                <w:rFonts w:ascii="Calibri" w:hAnsi="Calibri"/>
                <w:b w:val="0"/>
                <w:i w:val="0"/>
                <w:color w:val="212121"/>
                <w:sz w:val="16"/>
              </w:rPr>
              <w:t>Pure-tone thresholds / air-bone gap</w:t>
            </w:r>
          </w:p>
        </w:tc>
        <w:tc>
          <w:tcPr>
            <w:tcW w:type="dxa" w:w="892"/>
            <w:vAlign w:val="top"/>
          </w:tcPr>
          <w:p>
            <w:pPr>
              <w:spacing w:after="40" w:before="0" w:line="259" w:lineRule="auto"/>
            </w:pPr>
            <w:r>
              <w:rPr>
                <w:rFonts w:ascii="Calibri" w:hAnsi="Calibri"/>
                <w:b w:val="0"/>
                <w:i w:val="0"/>
                <w:color w:val="212121"/>
                <w:sz w:val="16"/>
              </w:rPr>
              <w:t>Pure-tone audiometry (PTA)</w:t>
            </w:r>
          </w:p>
        </w:tc>
        <w:tc>
          <w:tcPr>
            <w:tcW w:type="dxa" w:w="950"/>
            <w:vAlign w:val="top"/>
          </w:tcPr>
          <w:p>
            <w:pPr>
              <w:spacing w:after="40" w:before="0" w:line="259" w:lineRule="auto"/>
            </w:pPr>
            <w:r>
              <w:rPr>
                <w:rFonts w:ascii="Calibri" w:hAnsi="Calibri"/>
                <w:b w:val="0"/>
                <w:i w:val="0"/>
                <w:color w:val="212121"/>
                <w:sz w:val="16"/>
              </w:rPr>
              <w:t>Thresholds ≤ 25 dB HL; no air-bone gap</w:t>
            </w:r>
          </w:p>
        </w:tc>
        <w:tc>
          <w:tcPr>
            <w:tcW w:type="dxa" w:w="950"/>
            <w:vAlign w:val="top"/>
          </w:tcPr>
          <w:p>
            <w:pPr>
              <w:spacing w:after="40" w:before="0" w:line="259" w:lineRule="auto"/>
            </w:pPr>
            <w:r>
              <w:rPr>
                <w:rFonts w:ascii="Calibri" w:hAnsi="Calibri"/>
                <w:b w:val="0"/>
                <w:i w:val="0"/>
                <w:color w:val="212121"/>
                <w:sz w:val="16"/>
              </w:rPr>
              <w:t>Conductive loss with an air-bone gap that resolves after wax removal</w:t>
            </w:r>
          </w:p>
        </w:tc>
        <w:tc>
          <w:tcPr>
            <w:tcW w:type="dxa" w:w="1036"/>
            <w:vAlign w:val="top"/>
          </w:tcPr>
          <w:p>
            <w:pPr>
              <w:spacing w:after="40" w:before="0" w:line="259" w:lineRule="auto"/>
            </w:pPr>
            <w:r>
              <w:rPr>
                <w:rFonts w:ascii="Calibri" w:hAnsi="Calibri"/>
                <w:b w:val="0"/>
                <w:i w:val="0"/>
                <w:color w:val="212121"/>
                <w:sz w:val="16"/>
              </w:rPr>
              <w:t>Quantifies and confirms the reversible conductive hearing loss due to impaction</w:t>
            </w:r>
          </w:p>
        </w:tc>
        <w:tc>
          <w:tcPr>
            <w:tcW w:type="dxa" w:w="1036"/>
            <w:vAlign w:val="top"/>
          </w:tcPr>
          <w:p>
            <w:pPr>
              <w:spacing w:after="40" w:before="0" w:line="259" w:lineRule="auto"/>
            </w:pPr>
            <w:r>
              <w:rPr>
                <w:rFonts w:ascii="Calibri" w:hAnsi="Calibri"/>
                <w:b w:val="0"/>
                <w:i w:val="0"/>
                <w:color w:val="212121"/>
                <w:sz w:val="16"/>
              </w:rPr>
              <w:t>Symptomatic adults/children, elderly, hearing-aid users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Repeat after removal to confirm reversal and unmask any underlying loss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Immittance</w:t>
            </w:r>
          </w:p>
        </w:tc>
        <w:tc>
          <w:tcPr>
            <w:tcW w:type="dxa" w:w="1036"/>
            <w:vAlign w:val="top"/>
          </w:tcPr>
          <w:p>
            <w:pPr>
              <w:spacing w:after="40" w:before="0" w:line="259" w:lineRule="auto"/>
            </w:pPr>
            <w:r>
              <w:rPr>
                <w:rFonts w:ascii="Calibri" w:hAnsi="Calibri"/>
                <w:b w:val="0"/>
                <w:i w:val="0"/>
                <w:color w:val="212121"/>
                <w:sz w:val="16"/>
              </w:rPr>
              <w:t>Ear-canal volume / tympanogram</w:t>
            </w:r>
          </w:p>
        </w:tc>
        <w:tc>
          <w:tcPr>
            <w:tcW w:type="dxa" w:w="892"/>
            <w:vAlign w:val="top"/>
          </w:tcPr>
          <w:p>
            <w:pPr>
              <w:spacing w:after="40" w:before="0" w:line="259" w:lineRule="auto"/>
            </w:pPr>
            <w:r>
              <w:rPr>
                <w:rFonts w:ascii="Calibri" w:hAnsi="Calibri"/>
                <w:b w:val="0"/>
                <w:i w:val="0"/>
                <w:color w:val="212121"/>
                <w:sz w:val="16"/>
              </w:rPr>
              <w:t>Tympanometry / impedance audiometry</w:t>
            </w:r>
          </w:p>
        </w:tc>
        <w:tc>
          <w:tcPr>
            <w:tcW w:type="dxa" w:w="950"/>
            <w:vAlign w:val="top"/>
          </w:tcPr>
          <w:p>
            <w:pPr>
              <w:spacing w:after="40" w:before="0" w:line="259" w:lineRule="auto"/>
            </w:pPr>
            <w:r>
              <w:rPr>
                <w:rFonts w:ascii="Calibri" w:hAnsi="Calibri"/>
                <w:b w:val="0"/>
                <w:i w:val="0"/>
                <w:color w:val="212121"/>
                <w:sz w:val="16"/>
              </w:rPr>
              <w:t>Normal canal volume; Type A tympanogram</w:t>
            </w:r>
          </w:p>
        </w:tc>
        <w:tc>
          <w:tcPr>
            <w:tcW w:type="dxa" w:w="950"/>
            <w:vAlign w:val="top"/>
          </w:tcPr>
          <w:p>
            <w:pPr>
              <w:spacing w:after="40" w:before="0" w:line="259" w:lineRule="auto"/>
            </w:pPr>
            <w:r>
              <w:rPr>
                <w:rFonts w:ascii="Calibri" w:hAnsi="Calibri"/>
                <w:b w:val="0"/>
                <w:i w:val="0"/>
                <w:color w:val="212121"/>
                <w:sz w:val="16"/>
              </w:rPr>
              <w:t>Reduced canal volume or unobtainable/flat trace due to occlusion</w:t>
            </w:r>
          </w:p>
        </w:tc>
        <w:tc>
          <w:tcPr>
            <w:tcW w:type="dxa" w:w="1036"/>
            <w:vAlign w:val="top"/>
          </w:tcPr>
          <w:p>
            <w:pPr>
              <w:spacing w:after="40" w:before="0" w:line="259" w:lineRule="auto"/>
            </w:pPr>
            <w:r>
              <w:rPr>
                <w:rFonts w:ascii="Calibri" w:hAnsi="Calibri"/>
                <w:b w:val="0"/>
                <w:i w:val="0"/>
                <w:color w:val="212121"/>
                <w:sz w:val="16"/>
              </w:rPr>
              <w:t>Occluding wax prevents a valid trace; low volume suggests a blocked probe</w:t>
            </w:r>
          </w:p>
        </w:tc>
        <w:tc>
          <w:tcPr>
            <w:tcW w:type="dxa" w:w="1036"/>
            <w:vAlign w:val="top"/>
          </w:tcPr>
          <w:p>
            <w:pPr>
              <w:spacing w:after="40" w:before="0" w:line="259" w:lineRule="auto"/>
            </w:pPr>
            <w:r>
              <w:rPr>
                <w:rFonts w:ascii="Calibri" w:hAnsi="Calibri"/>
                <w:b w:val="0"/>
                <w:i w:val="0"/>
                <w:color w:val="212121"/>
                <w:sz w:val="16"/>
              </w:rPr>
              <w:t>Cases needing objective middle-ear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Often deferred until the canal is cleared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Bacterial pathogen / sensitivity</w:t>
            </w:r>
          </w:p>
        </w:tc>
        <w:tc>
          <w:tcPr>
            <w:tcW w:type="dxa" w:w="892"/>
            <w:vAlign w:val="top"/>
          </w:tcPr>
          <w:p>
            <w:pPr>
              <w:spacing w:after="40" w:before="0" w:line="259" w:lineRule="auto"/>
            </w:pPr>
            <w:r>
              <w:rPr>
                <w:rFonts w:ascii="Calibri" w:hAnsi="Calibri"/>
                <w:b w:val="0"/>
                <w:i w:val="0"/>
                <w:color w:val="212121"/>
                <w:sz w:val="16"/>
              </w:rPr>
              <w:t>Ear-canal swab — culture &amp; sensitivity</w:t>
            </w:r>
          </w:p>
        </w:tc>
        <w:tc>
          <w:tcPr>
            <w:tcW w:type="dxa" w:w="950"/>
            <w:vAlign w:val="top"/>
          </w:tcPr>
          <w:p>
            <w:pPr>
              <w:spacing w:after="40" w:before="0" w:line="259" w:lineRule="auto"/>
            </w:pPr>
            <w:r>
              <w:rPr>
                <w:rFonts w:ascii="Calibri" w:hAnsi="Calibri"/>
                <w:b w:val="0"/>
                <w:i w:val="0"/>
                <w:color w:val="212121"/>
                <w:sz w:val="16"/>
              </w:rPr>
              <w:t>Normal flora / no growth</w:t>
            </w:r>
          </w:p>
        </w:tc>
        <w:tc>
          <w:tcPr>
            <w:tcW w:type="dxa" w:w="950"/>
            <w:vAlign w:val="top"/>
          </w:tcPr>
          <w:p>
            <w:pPr>
              <w:spacing w:after="40" w:before="0" w:line="259" w:lineRule="auto"/>
            </w:pPr>
            <w:r>
              <w:rPr>
                <w:rFonts w:ascii="Calibri" w:hAnsi="Calibri"/>
                <w:b w:val="0"/>
                <w:i w:val="0"/>
                <w:color w:val="212121"/>
                <w:sz w:val="16"/>
              </w:rPr>
              <w:t>Growth of Pseudomonas, S. aureus or other pathogens</w:t>
            </w:r>
          </w:p>
        </w:tc>
        <w:tc>
          <w:tcPr>
            <w:tcW w:type="dxa" w:w="1036"/>
            <w:vAlign w:val="top"/>
          </w:tcPr>
          <w:p>
            <w:pPr>
              <w:spacing w:after="40" w:before="0" w:line="259" w:lineRule="auto"/>
            </w:pPr>
            <w:r>
              <w:rPr>
                <w:rFonts w:ascii="Calibri" w:hAnsi="Calibri"/>
                <w:b w:val="0"/>
                <w:i w:val="0"/>
                <w:color w:val="212121"/>
                <w:sz w:val="16"/>
              </w:rPr>
              <w:t>Identifies secondary otitis externa complicating impaction or removal</w:t>
            </w:r>
          </w:p>
        </w:tc>
        <w:tc>
          <w:tcPr>
            <w:tcW w:type="dxa" w:w="1036"/>
            <w:vAlign w:val="top"/>
          </w:tcPr>
          <w:p>
            <w:pPr>
              <w:spacing w:after="40" w:before="0" w:line="259" w:lineRule="auto"/>
            </w:pPr>
            <w:r>
              <w:rPr>
                <w:rFonts w:ascii="Calibri" w:hAnsi="Calibri"/>
                <w:b w:val="0"/>
                <w:i w:val="0"/>
                <w:color w:val="212121"/>
                <w:sz w:val="16"/>
              </w:rPr>
              <w:t>Painful, discharging or post-instrumentation ears; diabetics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Important before/with treatment of secondary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Fungal elements</w:t>
            </w:r>
          </w:p>
        </w:tc>
        <w:tc>
          <w:tcPr>
            <w:tcW w:type="dxa" w:w="892"/>
            <w:vAlign w:val="top"/>
          </w:tcPr>
          <w:p>
            <w:pPr>
              <w:spacing w:after="40" w:before="0" w:line="259" w:lineRule="auto"/>
            </w:pPr>
            <w:r>
              <w:rPr>
                <w:rFonts w:ascii="Calibri" w:hAnsi="Calibri"/>
                <w:b w:val="0"/>
                <w:i w:val="0"/>
                <w:color w:val="212121"/>
                <w:sz w:val="16"/>
              </w:rPr>
              <w:t>KOH microscopy / fungal culture</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Hyphae/spores (e.g., Aspergillus, Candida)</w:t>
            </w:r>
          </w:p>
        </w:tc>
        <w:tc>
          <w:tcPr>
            <w:tcW w:type="dxa" w:w="1036"/>
            <w:vAlign w:val="top"/>
          </w:tcPr>
          <w:p>
            <w:pPr>
              <w:spacing w:after="40" w:before="0" w:line="259" w:lineRule="auto"/>
            </w:pPr>
            <w:r>
              <w:rPr>
                <w:rFonts w:ascii="Calibri" w:hAnsi="Calibri"/>
                <w:b w:val="0"/>
                <w:i w:val="0"/>
                <w:color w:val="212121"/>
                <w:sz w:val="16"/>
              </w:rPr>
              <w:t>Confirms otomycosis, which often coexists with damp, impacted debris</w:t>
            </w:r>
          </w:p>
        </w:tc>
        <w:tc>
          <w:tcPr>
            <w:tcW w:type="dxa" w:w="1036"/>
            <w:vAlign w:val="top"/>
          </w:tcPr>
          <w:p>
            <w:pPr>
              <w:spacing w:after="40" w:before="0" w:line="259" w:lineRule="auto"/>
            </w:pPr>
            <w:r>
              <w:rPr>
                <w:rFonts w:ascii="Calibri" w:hAnsi="Calibri"/>
                <w:b w:val="0"/>
                <w:i w:val="0"/>
                <w:color w:val="212121"/>
                <w:sz w:val="16"/>
              </w:rPr>
              <w:t>Chronic itch/discharge, humid climates, post-antibiotic ears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Common in hot, humid Indian conditions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Pre-procedure bloods</w:t>
            </w:r>
          </w:p>
        </w:tc>
        <w:tc>
          <w:tcPr>
            <w:tcW w:type="dxa" w:w="1036"/>
            <w:vAlign w:val="top"/>
          </w:tcPr>
          <w:p>
            <w:pPr>
              <w:spacing w:after="40" w:before="0" w:line="259" w:lineRule="auto"/>
            </w:pPr>
            <w:r>
              <w:rPr>
                <w:rFonts w:ascii="Calibri" w:hAnsi="Calibri"/>
                <w:b w:val="0"/>
                <w:i w:val="0"/>
                <w:color w:val="212121"/>
                <w:sz w:val="16"/>
              </w:rPr>
              <w:t>Glucose / coagulation status</w:t>
            </w:r>
          </w:p>
        </w:tc>
        <w:tc>
          <w:tcPr>
            <w:tcW w:type="dxa" w:w="892"/>
            <w:vAlign w:val="top"/>
          </w:tcPr>
          <w:p>
            <w:pPr>
              <w:spacing w:after="40" w:before="0" w:line="259" w:lineRule="auto"/>
            </w:pPr>
            <w:r>
              <w:rPr>
                <w:rFonts w:ascii="Calibri" w:hAnsi="Calibri"/>
                <w:b w:val="0"/>
                <w:i w:val="0"/>
                <w:color w:val="212121"/>
                <w:sz w:val="16"/>
              </w:rPr>
              <w:t>Blood sugar; INR / coagulation profile (when indicated)</w:t>
            </w:r>
          </w:p>
        </w:tc>
        <w:tc>
          <w:tcPr>
            <w:tcW w:type="dxa" w:w="950"/>
            <w:vAlign w:val="top"/>
          </w:tcPr>
          <w:p>
            <w:pPr>
              <w:spacing w:after="40" w:before="0" w:line="259" w:lineRule="auto"/>
            </w:pPr>
            <w:r>
              <w:rPr>
                <w:rFonts w:ascii="Calibri" w:hAnsi="Calibri"/>
                <w:b w:val="0"/>
                <w:i w:val="0"/>
                <w:color w:val="212121"/>
                <w:sz w:val="16"/>
              </w:rPr>
              <w:t>Controlled glucose; INR in target range</w:t>
            </w:r>
          </w:p>
        </w:tc>
        <w:tc>
          <w:tcPr>
            <w:tcW w:type="dxa" w:w="950"/>
            <w:vAlign w:val="top"/>
          </w:tcPr>
          <w:p>
            <w:pPr>
              <w:spacing w:after="40" w:before="0" w:line="259" w:lineRule="auto"/>
            </w:pPr>
            <w:r>
              <w:rPr>
                <w:rFonts w:ascii="Calibri" w:hAnsi="Calibri"/>
                <w:b w:val="0"/>
                <w:i w:val="0"/>
                <w:color w:val="212121"/>
                <w:sz w:val="16"/>
              </w:rPr>
              <w:t>Uncontrolled diabetes; supratherapeutic INR</w:t>
            </w:r>
          </w:p>
        </w:tc>
        <w:tc>
          <w:tcPr>
            <w:tcW w:type="dxa" w:w="1036"/>
            <w:vAlign w:val="top"/>
          </w:tcPr>
          <w:p>
            <w:pPr>
              <w:spacing w:after="40" w:before="0" w:line="259" w:lineRule="auto"/>
            </w:pPr>
            <w:r>
              <w:rPr>
                <w:rFonts w:ascii="Calibri" w:hAnsi="Calibri"/>
                <w:b w:val="0"/>
                <w:i w:val="0"/>
                <w:color w:val="212121"/>
                <w:sz w:val="16"/>
              </w:rPr>
              <w:t>Flags modifying factors that raise infection and bleeding risk during removal</w:t>
            </w:r>
          </w:p>
        </w:tc>
        <w:tc>
          <w:tcPr>
            <w:tcW w:type="dxa" w:w="1036"/>
            <w:vAlign w:val="top"/>
          </w:tcPr>
          <w:p>
            <w:pPr>
              <w:spacing w:after="40" w:before="0" w:line="259" w:lineRule="auto"/>
            </w:pPr>
            <w:r>
              <w:rPr>
                <w:rFonts w:ascii="Calibri" w:hAnsi="Calibri"/>
                <w:b w:val="0"/>
                <w:i w:val="0"/>
                <w:color w:val="212121"/>
                <w:sz w:val="16"/>
              </w:rPr>
              <w:t>Diabetics, immunocompromised, anticoagulated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a gentler, safer removal approach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Bony canal / mastoid integrity</w:t>
            </w:r>
          </w:p>
        </w:tc>
        <w:tc>
          <w:tcPr>
            <w:tcW w:type="dxa" w:w="892"/>
            <w:vAlign w:val="top"/>
          </w:tcPr>
          <w:p>
            <w:pPr>
              <w:spacing w:after="40" w:before="0" w:line="259" w:lineRule="auto"/>
            </w:pPr>
            <w:r>
              <w:rPr>
                <w:rFonts w:ascii="Calibri" w:hAnsi="Calibri"/>
                <w:b w:val="0"/>
                <w:i w:val="0"/>
                <w:color w:val="212121"/>
                <w:sz w:val="16"/>
              </w:rPr>
              <w:t>HRCT temporal bone (selected cases only)</w:t>
            </w:r>
          </w:p>
        </w:tc>
        <w:tc>
          <w:tcPr>
            <w:tcW w:type="dxa" w:w="950"/>
            <w:vAlign w:val="top"/>
          </w:tcPr>
          <w:p>
            <w:pPr>
              <w:spacing w:after="40" w:before="0" w:line="259" w:lineRule="auto"/>
            </w:pPr>
            <w:r>
              <w:rPr>
                <w:rFonts w:ascii="Calibri" w:hAnsi="Calibri"/>
                <w:b w:val="0"/>
                <w:i w:val="0"/>
                <w:color w:val="212121"/>
                <w:sz w:val="16"/>
              </w:rPr>
              <w:t>Intact canal and middle-ear structures</w:t>
            </w:r>
          </w:p>
        </w:tc>
        <w:tc>
          <w:tcPr>
            <w:tcW w:type="dxa" w:w="950"/>
            <w:vAlign w:val="top"/>
          </w:tcPr>
          <w:p>
            <w:pPr>
              <w:spacing w:after="40" w:before="0" w:line="259" w:lineRule="auto"/>
            </w:pPr>
            <w:r>
              <w:rPr>
                <w:rFonts w:ascii="Calibri" w:hAnsi="Calibri"/>
                <w:b w:val="0"/>
                <w:i w:val="0"/>
                <w:color w:val="212121"/>
                <w:sz w:val="16"/>
              </w:rPr>
              <w:t>Canal widening/erosion or soft-tissue mass</w:t>
            </w:r>
          </w:p>
        </w:tc>
        <w:tc>
          <w:tcPr>
            <w:tcW w:type="dxa" w:w="1036"/>
            <w:vAlign w:val="top"/>
          </w:tcPr>
          <w:p>
            <w:pPr>
              <w:spacing w:after="40" w:before="0" w:line="259" w:lineRule="auto"/>
            </w:pPr>
            <w:r>
              <w:rPr>
                <w:rFonts w:ascii="Calibri" w:hAnsi="Calibri"/>
                <w:b w:val="0"/>
                <w:i w:val="0"/>
                <w:color w:val="212121"/>
                <w:sz w:val="16"/>
              </w:rPr>
              <w:t>Reserved for suspected keratosis obturans, cholesteatoma or necrotising otitis externa</w:t>
            </w:r>
          </w:p>
        </w:tc>
        <w:tc>
          <w:tcPr>
            <w:tcW w:type="dxa" w:w="1036"/>
            <w:vAlign w:val="top"/>
          </w:tcPr>
          <w:p>
            <w:pPr>
              <w:spacing w:after="40" w:before="0" w:line="259" w:lineRule="auto"/>
            </w:pPr>
            <w:r>
              <w:rPr>
                <w:rFonts w:ascii="Calibri" w:hAnsi="Calibri"/>
                <w:b w:val="0"/>
                <w:i w:val="0"/>
                <w:color w:val="212121"/>
                <w:sz w:val="16"/>
              </w:rPr>
              <w:t>Atypical, eroding or non-resolving 'wax'; diabetic severe otalgia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needed for ordinary impaction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Hearing loss, fullness, itch, tinnitus, otalgia, cough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Establishes symptomatic impaction and its severity</w:t>
            </w:r>
          </w:p>
        </w:tc>
        <w:tc>
          <w:tcPr>
            <w:tcW w:type="dxa" w:w="1036"/>
            <w:vAlign w:val="top"/>
          </w:tcPr>
          <w:p>
            <w:pPr>
              <w:spacing w:after="40" w:before="0" w:line="259" w:lineRule="auto"/>
            </w:pPr>
            <w:r>
              <w:rPr>
                <w:rFonts w:ascii="Calibri" w:hAnsi="Calibri"/>
                <w:b w:val="0"/>
                <w:i w:val="0"/>
                <w:color w:val="212121"/>
                <w:sz w:val="16"/>
              </w:rPr>
              <w:t>All presenting patients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resolving after removal confirm the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Ear-care and device habits</w:t>
            </w:r>
          </w:p>
        </w:tc>
        <w:tc>
          <w:tcPr>
            <w:tcW w:type="dxa" w:w="979"/>
            <w:vAlign w:val="top"/>
          </w:tcPr>
          <w:p>
            <w:pPr>
              <w:spacing w:after="40" w:before="0" w:line="259" w:lineRule="auto"/>
            </w:pPr>
            <w:r>
              <w:rPr>
                <w:rFonts w:ascii="Calibri" w:hAnsi="Calibri"/>
                <w:b w:val="0"/>
                <w:i w:val="0"/>
                <w:color w:val="212121"/>
                <w:sz w:val="16"/>
              </w:rPr>
              <w:t>Cotton-bud use, earbuds/hearing aids, water exposure, occupation</w:t>
            </w:r>
          </w:p>
        </w:tc>
        <w:tc>
          <w:tcPr>
            <w:tcW w:type="dxa" w:w="950"/>
            <w:vAlign w:val="top"/>
          </w:tcPr>
          <w:p>
            <w:pPr>
              <w:spacing w:after="40" w:before="0" w:line="259" w:lineRule="auto"/>
            </w:pPr>
            <w:r>
              <w:rPr>
                <w:rFonts w:ascii="Calibri" w:hAnsi="Calibri"/>
                <w:b w:val="0"/>
                <w:i w:val="0"/>
                <w:color w:val="212121"/>
                <w:sz w:val="16"/>
              </w:rPr>
              <w:t>No provoking habits</w:t>
            </w:r>
          </w:p>
        </w:tc>
        <w:tc>
          <w:tcPr>
            <w:tcW w:type="dxa" w:w="950"/>
            <w:vAlign w:val="top"/>
          </w:tcPr>
          <w:p>
            <w:pPr>
              <w:spacing w:after="40" w:before="0" w:line="259" w:lineRule="auto"/>
            </w:pPr>
            <w:r>
              <w:rPr>
                <w:rFonts w:ascii="Calibri" w:hAnsi="Calibri"/>
                <w:b w:val="0"/>
                <w:i w:val="0"/>
                <w:color w:val="212121"/>
                <w:sz w:val="16"/>
              </w:rPr>
              <w:t>Regular self-instrumentation or occlusive-device/dust exposure</w:t>
            </w:r>
          </w:p>
        </w:tc>
        <w:tc>
          <w:tcPr>
            <w:tcW w:type="dxa" w:w="1036"/>
            <w:vAlign w:val="top"/>
          </w:tcPr>
          <w:p>
            <w:pPr>
              <w:spacing w:after="40" w:before="0" w:line="259" w:lineRule="auto"/>
            </w:pPr>
            <w:r>
              <w:rPr>
                <w:rFonts w:ascii="Calibri" w:hAnsi="Calibri"/>
                <w:b w:val="0"/>
                <w:i w:val="0"/>
                <w:color w:val="212121"/>
                <w:sz w:val="16"/>
              </w:rPr>
              <w:t>Identifies modifiable causes to target in prevention advice</w:t>
            </w:r>
          </w:p>
        </w:tc>
        <w:tc>
          <w:tcPr>
            <w:tcW w:type="dxa" w:w="1036"/>
            <w:vAlign w:val="top"/>
          </w:tcPr>
          <w:p>
            <w:pPr>
              <w:spacing w:after="40" w:before="0" w:line="259" w:lineRule="auto"/>
            </w:pPr>
            <w:r>
              <w:rPr>
                <w:rFonts w:ascii="Calibri" w:hAnsi="Calibri"/>
                <w:b w:val="0"/>
                <w:i w:val="0"/>
                <w:color w:val="212121"/>
                <w:sz w:val="16"/>
              </w:rPr>
              <w:t>Recurrent impactors, aid users, dusty occupations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preventing recurrence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Modifying-factor screen</w:t>
            </w:r>
          </w:p>
        </w:tc>
        <w:tc>
          <w:tcPr>
            <w:tcW w:type="dxa" w:w="979"/>
            <w:vAlign w:val="top"/>
          </w:tcPr>
          <w:p>
            <w:pPr>
              <w:spacing w:after="40" w:before="0" w:line="259" w:lineRule="auto"/>
            </w:pPr>
            <w:r>
              <w:rPr>
                <w:rFonts w:ascii="Calibri" w:hAnsi="Calibri"/>
                <w:b w:val="0"/>
                <w:i w:val="0"/>
                <w:color w:val="212121"/>
                <w:sz w:val="16"/>
              </w:rPr>
              <w:t>Anticoagulation, diabetes, immunocompromise, prior ear surgery, perforation, only-hearing ear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Determines the safest removal method and need for referral</w:t>
            </w:r>
          </w:p>
        </w:tc>
        <w:tc>
          <w:tcPr>
            <w:tcW w:type="dxa" w:w="1036"/>
            <w:vAlign w:val="top"/>
          </w:tcPr>
          <w:p>
            <w:pPr>
              <w:spacing w:after="40" w:before="0" w:line="259" w:lineRule="auto"/>
            </w:pPr>
            <w:r>
              <w:rPr>
                <w:rFonts w:ascii="Calibri" w:hAnsi="Calibri"/>
                <w:b w:val="0"/>
                <w:i w:val="0"/>
                <w:color w:val="212121"/>
                <w:sz w:val="16"/>
              </w:rPr>
              <w:t>Diabetics, anticoagulated, post-surgical, single-hearing-ear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Irrigation avoided with perforation or only-hearing ear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Otoscopy</w:t>
            </w:r>
          </w:p>
        </w:tc>
        <w:tc>
          <w:tcPr>
            <w:tcW w:type="dxa" w:w="950"/>
            <w:vAlign w:val="top"/>
          </w:tcPr>
          <w:p>
            <w:pPr>
              <w:spacing w:after="40" w:before="0" w:line="259" w:lineRule="auto"/>
            </w:pPr>
            <w:r>
              <w:rPr>
                <w:rFonts w:ascii="Calibri" w:hAnsi="Calibri"/>
                <w:b w:val="0"/>
                <w:i w:val="0"/>
                <w:color w:val="212121"/>
                <w:sz w:val="16"/>
              </w:rPr>
              <w:t>Direct canal inspection</w:t>
            </w:r>
          </w:p>
        </w:tc>
        <w:tc>
          <w:tcPr>
            <w:tcW w:type="dxa" w:w="979"/>
            <w:vAlign w:val="top"/>
          </w:tcPr>
          <w:p>
            <w:pPr>
              <w:spacing w:after="40" w:before="0" w:line="259" w:lineRule="auto"/>
            </w:pPr>
            <w:r>
              <w:rPr>
                <w:rFonts w:ascii="Calibri" w:hAnsi="Calibri"/>
                <w:b w:val="0"/>
                <w:i w:val="0"/>
                <w:color w:val="212121"/>
                <w:sz w:val="16"/>
              </w:rPr>
              <w:t>Wax colour, consistency, degree of obstruction, drum visibility</w:t>
            </w:r>
          </w:p>
        </w:tc>
        <w:tc>
          <w:tcPr>
            <w:tcW w:type="dxa" w:w="950"/>
            <w:vAlign w:val="top"/>
          </w:tcPr>
          <w:p>
            <w:pPr>
              <w:spacing w:after="40" w:before="0" w:line="259" w:lineRule="auto"/>
            </w:pPr>
            <w:r>
              <w:rPr>
                <w:rFonts w:ascii="Calibri" w:hAnsi="Calibri"/>
                <w:b w:val="0"/>
                <w:i w:val="0"/>
                <w:color w:val="212121"/>
                <w:sz w:val="16"/>
              </w:rPr>
              <w:t>Patent canal, drum clearly seen</w:t>
            </w:r>
          </w:p>
        </w:tc>
        <w:tc>
          <w:tcPr>
            <w:tcW w:type="dxa" w:w="950"/>
            <w:vAlign w:val="top"/>
          </w:tcPr>
          <w:p>
            <w:pPr>
              <w:spacing w:after="40" w:before="0" w:line="259" w:lineRule="auto"/>
            </w:pPr>
            <w:r>
              <w:rPr>
                <w:rFonts w:ascii="Calibri" w:hAnsi="Calibri"/>
                <w:b w:val="0"/>
                <w:i w:val="0"/>
                <w:color w:val="212121"/>
                <w:sz w:val="16"/>
              </w:rPr>
              <w:t>Partial or complete occlusion obscuring the tympanic membrane</w:t>
            </w:r>
          </w:p>
        </w:tc>
        <w:tc>
          <w:tcPr>
            <w:tcW w:type="dxa" w:w="1036"/>
            <w:vAlign w:val="top"/>
          </w:tcPr>
          <w:p>
            <w:pPr>
              <w:spacing w:after="40" w:before="0" w:line="259" w:lineRule="auto"/>
            </w:pPr>
            <w:r>
              <w:rPr>
                <w:rFonts w:ascii="Calibri" w:hAnsi="Calibri"/>
                <w:b w:val="0"/>
                <w:i w:val="0"/>
                <w:color w:val="212121"/>
                <w:sz w:val="16"/>
              </w:rPr>
              <w:t>Confirms impaction and its completeness; the diagnostic cornerstone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Distinguish keratosis obturans/cholesteatoma from simple wax</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Otomicroscopy</w:t>
            </w:r>
          </w:p>
        </w:tc>
        <w:tc>
          <w:tcPr>
            <w:tcW w:type="dxa" w:w="950"/>
            <w:vAlign w:val="top"/>
          </w:tcPr>
          <w:p>
            <w:pPr>
              <w:spacing w:after="40" w:before="0" w:line="259" w:lineRule="auto"/>
            </w:pPr>
            <w:r>
              <w:rPr>
                <w:rFonts w:ascii="Calibri" w:hAnsi="Calibri"/>
                <w:b w:val="0"/>
                <w:i w:val="0"/>
                <w:color w:val="212121"/>
                <w:sz w:val="16"/>
              </w:rPr>
              <w:t>Magnified examination and removal</w:t>
            </w:r>
          </w:p>
        </w:tc>
        <w:tc>
          <w:tcPr>
            <w:tcW w:type="dxa" w:w="979"/>
            <w:vAlign w:val="top"/>
          </w:tcPr>
          <w:p>
            <w:pPr>
              <w:spacing w:after="40" w:before="0" w:line="259" w:lineRule="auto"/>
            </w:pPr>
            <w:r>
              <w:rPr>
                <w:rFonts w:ascii="Calibri" w:hAnsi="Calibri"/>
                <w:b w:val="0"/>
                <w:i w:val="0"/>
                <w:color w:val="212121"/>
                <w:sz w:val="16"/>
              </w:rPr>
              <w:t>Detailed canal/drum view under microscope</w:t>
            </w:r>
          </w:p>
        </w:tc>
        <w:tc>
          <w:tcPr>
            <w:tcW w:type="dxa" w:w="950"/>
            <w:vAlign w:val="top"/>
          </w:tcPr>
          <w:p>
            <w:pPr>
              <w:spacing w:after="40" w:before="0" w:line="259" w:lineRule="auto"/>
            </w:pPr>
            <w:r>
              <w:rPr>
                <w:rFonts w:ascii="Calibri" w:hAnsi="Calibri"/>
                <w:b w:val="0"/>
                <w:i w:val="0"/>
                <w:color w:val="212121"/>
                <w:sz w:val="16"/>
              </w:rPr>
              <w:t>Clear view; intact drum after clearance</w:t>
            </w:r>
          </w:p>
        </w:tc>
        <w:tc>
          <w:tcPr>
            <w:tcW w:type="dxa" w:w="950"/>
            <w:vAlign w:val="top"/>
          </w:tcPr>
          <w:p>
            <w:pPr>
              <w:spacing w:after="40" w:before="0" w:line="259" w:lineRule="auto"/>
            </w:pPr>
            <w:r>
              <w:rPr>
                <w:rFonts w:ascii="Calibri" w:hAnsi="Calibri"/>
                <w:b w:val="0"/>
                <w:i w:val="0"/>
                <w:color w:val="212121"/>
                <w:sz w:val="16"/>
              </w:rPr>
              <w:t>Adherent/hard plug, granulation, erosion or underlying disease</w:t>
            </w:r>
          </w:p>
        </w:tc>
        <w:tc>
          <w:tcPr>
            <w:tcW w:type="dxa" w:w="1036"/>
            <w:vAlign w:val="top"/>
          </w:tcPr>
          <w:p>
            <w:pPr>
              <w:spacing w:after="40" w:before="0" w:line="259" w:lineRule="auto"/>
            </w:pPr>
            <w:r>
              <w:rPr>
                <w:rFonts w:ascii="Calibri" w:hAnsi="Calibri"/>
                <w:b w:val="0"/>
                <w:i w:val="0"/>
                <w:color w:val="212121"/>
                <w:sz w:val="16"/>
              </w:rPr>
              <w:t>Enables safe microsuction removal and inspection of the cleared canal</w:t>
            </w:r>
          </w:p>
        </w:tc>
        <w:tc>
          <w:tcPr>
            <w:tcW w:type="dxa" w:w="1036"/>
            <w:vAlign w:val="top"/>
          </w:tcPr>
          <w:p>
            <w:pPr>
              <w:spacing w:after="40" w:before="0" w:line="259" w:lineRule="auto"/>
            </w:pPr>
            <w:r>
              <w:rPr>
                <w:rFonts w:ascii="Calibri" w:hAnsi="Calibri"/>
                <w:b w:val="0"/>
                <w:i w:val="0"/>
                <w:color w:val="212121"/>
                <w:sz w:val="16"/>
              </w:rPr>
              <w:t>Hard/deep plugs, narrow canals, post-surgical ears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Preferred, precise removal method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Tuning-fork tests</w:t>
            </w:r>
          </w:p>
        </w:tc>
        <w:tc>
          <w:tcPr>
            <w:tcW w:type="dxa" w:w="950"/>
            <w:vAlign w:val="top"/>
          </w:tcPr>
          <w:p>
            <w:pPr>
              <w:spacing w:after="40" w:before="0" w:line="259" w:lineRule="auto"/>
            </w:pPr>
            <w:r>
              <w:rPr>
                <w:rFonts w:ascii="Calibri" w:hAnsi="Calibri"/>
                <w:b w:val="0"/>
                <w:i w:val="0"/>
                <w:color w:val="212121"/>
                <w:sz w:val="16"/>
              </w:rPr>
              <w:t>Rinne and Weber</w:t>
            </w:r>
          </w:p>
        </w:tc>
        <w:tc>
          <w:tcPr>
            <w:tcW w:type="dxa" w:w="979"/>
            <w:vAlign w:val="top"/>
          </w:tcPr>
          <w:p>
            <w:pPr>
              <w:spacing w:after="40" w:before="0" w:line="259" w:lineRule="auto"/>
            </w:pPr>
            <w:r>
              <w:rPr>
                <w:rFonts w:ascii="Calibri" w:hAnsi="Calibri"/>
                <w:b w:val="0"/>
                <w:i w:val="0"/>
                <w:color w:val="212121"/>
                <w:sz w:val="16"/>
              </w:rPr>
              <w:t>Air vs bone conduction; lateralization</w:t>
            </w:r>
          </w:p>
        </w:tc>
        <w:tc>
          <w:tcPr>
            <w:tcW w:type="dxa" w:w="950"/>
            <w:vAlign w:val="top"/>
          </w:tcPr>
          <w:p>
            <w:pPr>
              <w:spacing w:after="40" w:before="0" w:line="259" w:lineRule="auto"/>
            </w:pPr>
            <w:r>
              <w:rPr>
                <w:rFonts w:ascii="Calibri" w:hAnsi="Calibri"/>
                <w:b w:val="0"/>
                <w:i w:val="0"/>
                <w:color w:val="212121"/>
                <w:sz w:val="16"/>
              </w:rPr>
              <w:t>Rinne positive; Weber central</w:t>
            </w:r>
          </w:p>
        </w:tc>
        <w:tc>
          <w:tcPr>
            <w:tcW w:type="dxa" w:w="950"/>
            <w:vAlign w:val="top"/>
          </w:tcPr>
          <w:p>
            <w:pPr>
              <w:spacing w:after="40" w:before="0" w:line="259" w:lineRule="auto"/>
            </w:pPr>
            <w:r>
              <w:rPr>
                <w:rFonts w:ascii="Calibri" w:hAnsi="Calibri"/>
                <w:b w:val="0"/>
                <w:i w:val="0"/>
                <w:color w:val="212121"/>
                <w:sz w:val="16"/>
              </w:rPr>
              <w:t>Rinne negative (affected ear); Weber lateralizes to the affected ear</w:t>
            </w:r>
          </w:p>
        </w:tc>
        <w:tc>
          <w:tcPr>
            <w:tcW w:type="dxa" w:w="1036"/>
            <w:vAlign w:val="top"/>
          </w:tcPr>
          <w:p>
            <w:pPr>
              <w:spacing w:after="40" w:before="0" w:line="259" w:lineRule="auto"/>
            </w:pPr>
            <w:r>
              <w:rPr>
                <w:rFonts w:ascii="Calibri" w:hAnsi="Calibri"/>
                <w:b w:val="0"/>
                <w:i w:val="0"/>
                <w:color w:val="212121"/>
                <w:sz w:val="16"/>
              </w:rPr>
              <w:t>Confirms a conductive pattern consistent with occluding wax</w:t>
            </w:r>
          </w:p>
        </w:tc>
        <w:tc>
          <w:tcPr>
            <w:tcW w:type="dxa" w:w="1036"/>
            <w:vAlign w:val="top"/>
          </w:tcPr>
          <w:p>
            <w:pPr>
              <w:spacing w:after="40" w:before="0" w:line="259" w:lineRule="auto"/>
            </w:pPr>
            <w:r>
              <w:rPr>
                <w:rFonts w:ascii="Calibri" w:hAnsi="Calibri"/>
                <w:b w:val="0"/>
                <w:i w:val="0"/>
                <w:color w:val="212121"/>
                <w:sz w:val="16"/>
              </w:rPr>
              <w:t>Patients with unilateral blockage/hearing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Quick bedside confirmation of conductive loss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Post-removal inspection</w:t>
            </w:r>
          </w:p>
        </w:tc>
        <w:tc>
          <w:tcPr>
            <w:tcW w:type="dxa" w:w="950"/>
            <w:vAlign w:val="top"/>
          </w:tcPr>
          <w:p>
            <w:pPr>
              <w:spacing w:after="40" w:before="0" w:line="259" w:lineRule="auto"/>
            </w:pPr>
            <w:r>
              <w:rPr>
                <w:rFonts w:ascii="Calibri" w:hAnsi="Calibri"/>
                <w:b w:val="0"/>
                <w:i w:val="0"/>
                <w:color w:val="212121"/>
                <w:sz w:val="16"/>
              </w:rPr>
              <w:t>Tympanic-membrane and canal check</w:t>
            </w:r>
          </w:p>
        </w:tc>
        <w:tc>
          <w:tcPr>
            <w:tcW w:type="dxa" w:w="979"/>
            <w:vAlign w:val="top"/>
          </w:tcPr>
          <w:p>
            <w:pPr>
              <w:spacing w:after="40" w:before="0" w:line="259" w:lineRule="auto"/>
            </w:pPr>
            <w:r>
              <w:rPr>
                <w:rFonts w:ascii="Calibri" w:hAnsi="Calibri"/>
                <w:b w:val="0"/>
                <w:i w:val="0"/>
                <w:color w:val="212121"/>
                <w:sz w:val="16"/>
              </w:rPr>
              <w:t>Drum integrity, canal trauma, residual disease</w:t>
            </w:r>
          </w:p>
        </w:tc>
        <w:tc>
          <w:tcPr>
            <w:tcW w:type="dxa" w:w="950"/>
            <w:vAlign w:val="top"/>
          </w:tcPr>
          <w:p>
            <w:pPr>
              <w:spacing w:after="40" w:before="0" w:line="259" w:lineRule="auto"/>
            </w:pPr>
            <w:r>
              <w:rPr>
                <w:rFonts w:ascii="Calibri" w:hAnsi="Calibri"/>
                <w:b w:val="0"/>
                <w:i w:val="0"/>
                <w:color w:val="212121"/>
                <w:sz w:val="16"/>
              </w:rPr>
              <w:t>Intact drum, healthy canal</w:t>
            </w:r>
          </w:p>
        </w:tc>
        <w:tc>
          <w:tcPr>
            <w:tcW w:type="dxa" w:w="950"/>
            <w:vAlign w:val="top"/>
          </w:tcPr>
          <w:p>
            <w:pPr>
              <w:spacing w:after="40" w:before="0" w:line="259" w:lineRule="auto"/>
            </w:pPr>
            <w:r>
              <w:rPr>
                <w:rFonts w:ascii="Calibri" w:hAnsi="Calibri"/>
                <w:b w:val="0"/>
                <w:i w:val="0"/>
                <w:color w:val="212121"/>
                <w:sz w:val="16"/>
              </w:rPr>
              <w:t>Perforation, abrasion, otitis externa or unmasked pathology</w:t>
            </w:r>
          </w:p>
        </w:tc>
        <w:tc>
          <w:tcPr>
            <w:tcW w:type="dxa" w:w="1036"/>
            <w:vAlign w:val="top"/>
          </w:tcPr>
          <w:p>
            <w:pPr>
              <w:spacing w:after="40" w:before="0" w:line="259" w:lineRule="auto"/>
            </w:pPr>
            <w:r>
              <w:rPr>
                <w:rFonts w:ascii="Calibri" w:hAnsi="Calibri"/>
                <w:b w:val="0"/>
                <w:i w:val="0"/>
                <w:color w:val="212121"/>
                <w:sz w:val="16"/>
              </w:rPr>
              <w:t>Detects complications of impaction/removal and any hidden disease</w:t>
            </w:r>
          </w:p>
        </w:tc>
        <w:tc>
          <w:tcPr>
            <w:tcW w:type="dxa" w:w="1036"/>
            <w:vAlign w:val="top"/>
          </w:tcPr>
          <w:p>
            <w:pPr>
              <w:spacing w:after="40" w:before="0" w:line="259" w:lineRule="auto"/>
            </w:pPr>
            <w:r>
              <w:rPr>
                <w:rFonts w:ascii="Calibri" w:hAnsi="Calibri"/>
                <w:b w:val="0"/>
                <w:i w:val="0"/>
                <w:color w:val="212121"/>
                <w:sz w:val="16"/>
              </w:rPr>
              <w:t>All patients after wax clearance</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Always re-examine the drum once the canal is clear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Hearing loss / muffled hearing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Gradual or sudden reduction in hearing as wax occludes the canal; the classic presenting complaint and fully reversible.</w:t>
            </w:r>
          </w:p>
        </w:tc>
      </w:tr>
      <w:tr>
        <w:trPr>
          <w:cantSplit/>
        </w:trPr>
        <w:tc>
          <w:tcPr>
            <w:tcW w:type="dxa" w:w="2304"/>
            <w:vAlign w:val="top"/>
          </w:tcPr>
          <w:p>
            <w:pPr>
              <w:spacing w:after="40" w:before="0" w:line="259" w:lineRule="auto"/>
            </w:pPr>
            <w:r>
              <w:rPr>
                <w:rFonts w:ascii="Calibri" w:hAnsi="Calibri"/>
                <w:b/>
                <w:i w:val="0"/>
                <w:color w:val="212121"/>
                <w:sz w:val="19"/>
              </w:rPr>
              <w:t>Ear fullness / blocked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sense of pressure, plugging or 'something in the ear', often with a feeling of needing to 'pop' the ear.</w:t>
            </w:r>
          </w:p>
        </w:tc>
      </w:tr>
      <w:tr>
        <w:trPr>
          <w:cantSplit/>
        </w:trPr>
        <w:tc>
          <w:tcPr>
            <w:tcW w:type="dxa" w:w="2304"/>
            <w:vAlign w:val="top"/>
          </w:tcPr>
          <w:p>
            <w:pPr>
              <w:spacing w:after="40" w:before="0" w:line="259" w:lineRule="auto"/>
            </w:pPr>
            <w:r>
              <w:rPr>
                <w:rFonts w:ascii="Calibri" w:hAnsi="Calibri"/>
                <w:b/>
                <w:i w:val="0"/>
                <w:color w:val="212121"/>
                <w:sz w:val="19"/>
              </w:rPr>
              <w:t>Itching in the ear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Irritation of canal skin by wax/debris; scratching with objects worsens impaction.</w:t>
            </w:r>
          </w:p>
        </w:tc>
      </w:tr>
      <w:tr>
        <w:trPr>
          <w:cantSplit/>
        </w:trPr>
        <w:tc>
          <w:tcPr>
            <w:tcW w:type="dxa" w:w="2304"/>
            <w:vAlign w:val="top"/>
          </w:tcPr>
          <w:p>
            <w:pPr>
              <w:spacing w:after="40" w:before="0" w:line="259" w:lineRule="auto"/>
            </w:pPr>
            <w:r>
              <w:rPr>
                <w:rFonts w:ascii="Calibri" w:hAnsi="Calibri"/>
                <w:b/>
                <w:i w:val="0"/>
                <w:color w:val="212121"/>
                <w:sz w:val="19"/>
              </w:rPr>
              <w:t>Tinnitus (ringing or buzzing)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Occlusion can generate or accentuate ringing, buzzing or a pulsatile sound that eases after removal.</w:t>
            </w:r>
          </w:p>
        </w:tc>
      </w:tr>
      <w:tr>
        <w:trPr>
          <w:cantSplit/>
        </w:trPr>
        <w:tc>
          <w:tcPr>
            <w:tcW w:type="dxa" w:w="2304"/>
            <w:vAlign w:val="top"/>
          </w:tcPr>
          <w:p>
            <w:pPr>
              <w:spacing w:after="40" w:before="0" w:line="259" w:lineRule="auto"/>
            </w:pPr>
            <w:r>
              <w:rPr>
                <w:rFonts w:ascii="Calibri" w:hAnsi="Calibri"/>
                <w:b/>
                <w:i w:val="0"/>
                <w:color w:val="212121"/>
                <w:sz w:val="19"/>
              </w:rPr>
              <w:t>Earache (otalgia)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or pain from a hard plug pressing on the canal wall or drum, or from secondary inflammation.</w:t>
            </w:r>
          </w:p>
        </w:tc>
      </w:tr>
      <w:tr>
        <w:trPr>
          <w:cantSplit/>
        </w:trPr>
        <w:tc>
          <w:tcPr>
            <w:tcW w:type="dxa" w:w="2304"/>
            <w:vAlign w:val="top"/>
          </w:tcPr>
          <w:p>
            <w:pPr>
              <w:spacing w:after="40" w:before="0" w:line="259" w:lineRule="auto"/>
            </w:pPr>
            <w:r>
              <w:rPr>
                <w:rFonts w:ascii="Calibri" w:hAnsi="Calibri"/>
                <w:b/>
                <w:i w:val="0"/>
                <w:color w:val="212121"/>
                <w:sz w:val="19"/>
              </w:rPr>
              <w:t>Sudden blockage after water exposure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Wax swells on contact with water, so an ear may block acutely after a bath, head-wash or swim.</w:t>
            </w:r>
          </w:p>
        </w:tc>
      </w:tr>
      <w:tr>
        <w:trPr>
          <w:cantSplit/>
        </w:trPr>
        <w:tc>
          <w:tcPr>
            <w:tcW w:type="dxa" w:w="2304"/>
            <w:vAlign w:val="top"/>
          </w:tcPr>
          <w:p>
            <w:pPr>
              <w:spacing w:after="40" w:before="0" w:line="259" w:lineRule="auto"/>
            </w:pPr>
            <w:r>
              <w:rPr>
                <w:rFonts w:ascii="Calibri" w:hAnsi="Calibri"/>
                <w:b/>
                <w:i w:val="0"/>
                <w:color w:val="212121"/>
                <w:sz w:val="19"/>
              </w:rPr>
              <w:t>Dizziness or mild imbalance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Pressure on the canal/drum can provoke transient dizziness, especially in the elderly.</w:t>
            </w:r>
          </w:p>
        </w:tc>
      </w:tr>
      <w:tr>
        <w:trPr>
          <w:cantSplit/>
        </w:trPr>
        <w:tc>
          <w:tcPr>
            <w:tcW w:type="dxa" w:w="2304"/>
            <w:vAlign w:val="top"/>
          </w:tcPr>
          <w:p>
            <w:pPr>
              <w:spacing w:after="40" w:before="0" w:line="259" w:lineRule="auto"/>
            </w:pPr>
            <w:r>
              <w:rPr>
                <w:rFonts w:ascii="Calibri" w:hAnsi="Calibri"/>
                <w:b/>
                <w:i w:val="0"/>
                <w:color w:val="212121"/>
                <w:sz w:val="19"/>
              </w:rPr>
              <w:t>Reflex cough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Stimulation of the auricular (Arnold's) branch of the vagus nerve by wax can trigger a persistent tickly cough.</w:t>
            </w:r>
          </w:p>
        </w:tc>
      </w:tr>
      <w:tr>
        <w:trPr>
          <w:cantSplit/>
        </w:trPr>
        <w:tc>
          <w:tcPr>
            <w:tcW w:type="dxa" w:w="2304"/>
            <w:vAlign w:val="top"/>
          </w:tcPr>
          <w:p>
            <w:pPr>
              <w:spacing w:after="40" w:before="0" w:line="259" w:lineRule="auto"/>
            </w:pPr>
            <w:r>
              <w:rPr>
                <w:rFonts w:ascii="Calibri" w:hAnsi="Calibri"/>
                <w:b/>
                <w:i w:val="0"/>
                <w:color w:val="212121"/>
                <w:sz w:val="19"/>
              </w:rPr>
              <w:t>Autophony / echo of own voice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Altered canal acoustics make the patient's own voice sound loud or hollow.</w:t>
            </w:r>
          </w:p>
        </w:tc>
      </w:tr>
      <w:tr>
        <w:trPr>
          <w:cantSplit/>
        </w:trPr>
        <w:tc>
          <w:tcPr>
            <w:tcW w:type="dxa" w:w="2304"/>
            <w:vAlign w:val="top"/>
          </w:tcPr>
          <w:p>
            <w:pPr>
              <w:spacing w:after="40" w:before="0" w:line="259" w:lineRule="auto"/>
            </w:pPr>
            <w:r>
              <w:rPr>
                <w:rFonts w:ascii="Calibri" w:hAnsi="Calibri"/>
                <w:b/>
                <w:i w:val="0"/>
                <w:color w:val="212121"/>
                <w:sz w:val="19"/>
              </w:rPr>
              <w:t>Ear discharge / bad smell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secondary otitis externa or otomycosis complicating damp, impacted debris.</w:t>
            </w:r>
          </w:p>
        </w:tc>
      </w:tr>
      <w:tr>
        <w:trPr>
          <w:cantSplit/>
        </w:trPr>
        <w:tc>
          <w:tcPr>
            <w:tcW w:type="dxa" w:w="2304"/>
            <w:vAlign w:val="top"/>
          </w:tcPr>
          <w:p>
            <w:pPr>
              <w:spacing w:after="40" w:before="0" w:line="259" w:lineRule="auto"/>
            </w:pPr>
            <w:r>
              <w:rPr>
                <w:rFonts w:ascii="Calibri" w:hAnsi="Calibri"/>
                <w:b/>
                <w:i w:val="0"/>
                <w:color w:val="212121"/>
                <w:sz w:val="19"/>
              </w:rPr>
              <w:t>Vertigo</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True spinning is uncommon and, if present, warrants exclusion of other vestibular causes.</w:t>
            </w:r>
          </w:p>
        </w:tc>
      </w:tr>
      <w:tr>
        <w:trPr>
          <w:cantSplit/>
        </w:trPr>
        <w:tc>
          <w:tcPr>
            <w:tcW w:type="dxa" w:w="2304"/>
            <w:vAlign w:val="top"/>
          </w:tcPr>
          <w:p>
            <w:pPr>
              <w:spacing w:after="40" w:before="0" w:line="259" w:lineRule="auto"/>
            </w:pPr>
            <w:r>
              <w:rPr>
                <w:rFonts w:ascii="Calibri" w:hAnsi="Calibri"/>
                <w:b/>
                <w:i w:val="0"/>
                <w:color w:val="212121"/>
                <w:sz w:val="19"/>
              </w:rPr>
              <w:t>Reflex cough syncope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Very rarely, vagally mediated coughing provoked by wax leads to fainting.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Occluding cerumen on otoscopy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Brown, yellow, orange or black wax partially or completely filling the external auditory canal.</w:t>
            </w:r>
          </w:p>
        </w:tc>
      </w:tr>
      <w:tr>
        <w:trPr>
          <w:cantSplit/>
        </w:trPr>
        <w:tc>
          <w:tcPr>
            <w:tcW w:type="dxa" w:w="3456"/>
            <w:vAlign w:val="top"/>
          </w:tcPr>
          <w:p>
            <w:pPr>
              <w:spacing w:after="40" w:before="0" w:line="259" w:lineRule="auto"/>
            </w:pPr>
            <w:r>
              <w:rPr>
                <w:rFonts w:ascii="Calibri" w:hAnsi="Calibri"/>
                <w:b/>
                <w:i w:val="0"/>
                <w:color w:val="212121"/>
                <w:sz w:val="19"/>
              </w:rPr>
              <w:t>Tympanic membrane not visualizable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drum is wholly or partly obscured, preventing assessment and audiometry until cleared.</w:t>
            </w:r>
          </w:p>
        </w:tc>
      </w:tr>
      <w:tr>
        <w:trPr>
          <w:cantSplit/>
        </w:trPr>
        <w:tc>
          <w:tcPr>
            <w:tcW w:type="dxa" w:w="3456"/>
            <w:vAlign w:val="top"/>
          </w:tcPr>
          <w:p>
            <w:pPr>
              <w:spacing w:after="40" w:before="0" w:line="259" w:lineRule="auto"/>
            </w:pPr>
            <w:r>
              <w:rPr>
                <w:rFonts w:ascii="Calibri" w:hAnsi="Calibri"/>
                <w:b/>
                <w:i w:val="0"/>
                <w:color w:val="212121"/>
                <w:sz w:val="19"/>
              </w:rPr>
              <w:t>Conductive pattern on tuning-fork tests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Rinne negative in the affected ear and Weber lateralizing to it, indicating a conductive loss.</w:t>
            </w:r>
          </w:p>
        </w:tc>
      </w:tr>
      <w:tr>
        <w:trPr>
          <w:cantSplit/>
        </w:trPr>
        <w:tc>
          <w:tcPr>
            <w:tcW w:type="dxa" w:w="3456"/>
            <w:vAlign w:val="top"/>
          </w:tcPr>
          <w:p>
            <w:pPr>
              <w:spacing w:after="40" w:before="0" w:line="259" w:lineRule="auto"/>
            </w:pPr>
            <w:r>
              <w:rPr>
                <w:rFonts w:ascii="Calibri" w:hAnsi="Calibri"/>
                <w:b/>
                <w:i w:val="0"/>
                <w:color w:val="212121"/>
                <w:sz w:val="19"/>
              </w:rPr>
              <w:t>Hard, dark, adherent wax plug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impacted cerumen firmly stuck to the canal wall, typical in the elderly and requiring softening.</w:t>
            </w:r>
          </w:p>
        </w:tc>
      </w:tr>
      <w:tr>
        <w:trPr>
          <w:cantSplit/>
        </w:trPr>
        <w:tc>
          <w:tcPr>
            <w:tcW w:type="dxa" w:w="3456"/>
            <w:vAlign w:val="top"/>
          </w:tcPr>
          <w:p>
            <w:pPr>
              <w:spacing w:after="40" w:before="0" w:line="259" w:lineRule="auto"/>
            </w:pPr>
            <w:r>
              <w:rPr>
                <w:rFonts w:ascii="Calibri" w:hAnsi="Calibri"/>
                <w:b/>
                <w:i w:val="0"/>
                <w:color w:val="212121"/>
                <w:sz w:val="19"/>
              </w:rPr>
              <w:t>Reduced ear-canal volume / flat tympanogram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Occlusion gives a low canal volume or an unobtainable trace on tympanometry.</w:t>
            </w:r>
          </w:p>
        </w:tc>
      </w:tr>
      <w:tr>
        <w:trPr>
          <w:cantSplit/>
        </w:trPr>
        <w:tc>
          <w:tcPr>
            <w:tcW w:type="dxa" w:w="3456"/>
            <w:vAlign w:val="top"/>
          </w:tcPr>
          <w:p>
            <w:pPr>
              <w:spacing w:after="40" w:before="0" w:line="259" w:lineRule="auto"/>
            </w:pPr>
            <w:r>
              <w:rPr>
                <w:rFonts w:ascii="Calibri" w:hAnsi="Calibri"/>
                <w:b/>
                <w:i w:val="0"/>
                <w:color w:val="212121"/>
                <w:sz w:val="19"/>
              </w:rPr>
              <w:t>Canal erythema or excoriation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Redness or superficial abrasion of the canal skin from cotton-bud or object use.</w:t>
            </w:r>
          </w:p>
        </w:tc>
      </w:tr>
      <w:tr>
        <w:trPr>
          <w:cantSplit/>
        </w:trPr>
        <w:tc>
          <w:tcPr>
            <w:tcW w:type="dxa" w:w="3456"/>
            <w:vAlign w:val="top"/>
          </w:tcPr>
          <w:p>
            <w:pPr>
              <w:spacing w:after="40" w:before="0" w:line="259" w:lineRule="auto"/>
            </w:pPr>
            <w:r>
              <w:rPr>
                <w:rFonts w:ascii="Calibri" w:hAnsi="Calibri"/>
                <w:b/>
                <w:i w:val="0"/>
                <w:color w:val="212121"/>
                <w:sz w:val="19"/>
              </w:rPr>
              <w:t>Signs of secondary otitis externa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Canal oedema, tenderness on tragal pressure or pinna traction, and discharge alongside wax.</w:t>
            </w:r>
          </w:p>
        </w:tc>
      </w:tr>
      <w:tr>
        <w:trPr>
          <w:cantSplit/>
        </w:trPr>
        <w:tc>
          <w:tcPr>
            <w:tcW w:type="dxa" w:w="3456"/>
            <w:vAlign w:val="top"/>
          </w:tcPr>
          <w:p>
            <w:pPr>
              <w:spacing w:after="40" w:before="0" w:line="259" w:lineRule="auto"/>
            </w:pPr>
            <w:r>
              <w:rPr>
                <w:rFonts w:ascii="Calibri" w:hAnsi="Calibri"/>
                <w:b/>
                <w:i w:val="0"/>
                <w:color w:val="212121"/>
                <w:sz w:val="19"/>
              </w:rPr>
              <w:t>Keratin debris / keratosis obturans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Dense white-pearly keratin mixed with wax, sometimes with a widened canal — distinct from ordinary cerumen.</w:t>
            </w:r>
          </w:p>
        </w:tc>
      </w:tr>
      <w:tr>
        <w:trPr>
          <w:cantSplit/>
        </w:trPr>
        <w:tc>
          <w:tcPr>
            <w:tcW w:type="dxa" w:w="3456"/>
            <w:vAlign w:val="top"/>
          </w:tcPr>
          <w:p>
            <w:pPr>
              <w:spacing w:after="40" w:before="0" w:line="259" w:lineRule="auto"/>
            </w:pPr>
            <w:r>
              <w:rPr>
                <w:rFonts w:ascii="Calibri" w:hAnsi="Calibri"/>
                <w:b/>
                <w:i w:val="0"/>
                <w:color w:val="212121"/>
                <w:sz w:val="19"/>
              </w:rPr>
              <w:t>Tympanic-membrane perforation revealed after removal</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unsuspected perforation may become visible once occluding wax is cleared.</w:t>
            </w:r>
          </w:p>
        </w:tc>
      </w:tr>
      <w:tr>
        <w:trPr>
          <w:cantSplit/>
        </w:trPr>
        <w:tc>
          <w:tcPr>
            <w:tcW w:type="dxa" w:w="3456"/>
            <w:vAlign w:val="top"/>
          </w:tcPr>
          <w:p>
            <w:pPr>
              <w:spacing w:after="40" w:before="0" w:line="259" w:lineRule="auto"/>
            </w:pPr>
            <w:r>
              <w:rPr>
                <w:rFonts w:ascii="Calibri" w:hAnsi="Calibri"/>
                <w:b/>
                <w:i w:val="0"/>
                <w:color w:val="212121"/>
                <w:sz w:val="19"/>
              </w:rPr>
              <w:t>Canal-wall granulation or erosion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keratosis obturans, cholesteatoma or necrotising otitis externa rather than simple wax.</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Reversible conductive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 fullness and discomfort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Reflex (Arnold's)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Inability to examine the tympanic membrane, masking underlying disease and delaying audiometry/hearing-aid fitting</w:t>
            </w:r>
          </w:p>
        </w:tc>
        <w:tc>
          <w:tcPr>
            <w:tcW w:type="dxa" w:w="2980"/>
            <w:vAlign w:val="top"/>
          </w:tcPr>
          <w:p>
            <w:pPr>
              <w:spacing w:after="40" w:before="0" w:line="259" w:lineRule="auto"/>
            </w:pPr>
            <w:r>
              <w:rPr>
                <w:rFonts w:ascii="Calibri" w:hAnsi="Calibri"/>
                <w:b w:val="0"/>
                <w:i w:val="0"/>
                <w:color w:val="212121"/>
                <w:sz w:val="19"/>
              </w:rPr>
              <w:t>Direct effects of an occluding wax plug; nearly all resolve promptly once the wax is removed.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 externa (bacterial) and otomycosis in damp impacted debris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Canal-skin trauma, abrasion and bleeding from self-instrumentation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Tympanic-membrane perforation from impaction pressure or removal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 feedback/whistling and impaired device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disorientation in the elderly from unrecognized hearing loss/dizziness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Keratosis obturans with canal widening</w:t>
            </w:r>
          </w:p>
        </w:tc>
        <w:tc>
          <w:tcPr>
            <w:tcW w:type="dxa" w:w="2980"/>
            <w:vAlign w:val="top"/>
          </w:tcPr>
          <w:p>
            <w:pPr>
              <w:spacing w:after="40" w:before="0" w:line="259" w:lineRule="auto"/>
            </w:pPr>
            <w:r>
              <w:rPr>
                <w:rFonts w:ascii="Calibri" w:hAnsi="Calibri"/>
                <w:b w:val="0"/>
                <w:i w:val="0"/>
                <w:color w:val="212121"/>
                <w:sz w:val="19"/>
              </w:rPr>
              <w:t>Arise from complicating infection, self-cleaning trauma, or the procedure of removal.</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recurrent impaction requiring repeated removals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Necrotising (malignant) otitis externa in diabetics/immunocompromised — potentially life-threatening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hearing/communication impairment and social isolation, especially in the dementia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Missed or delayed diagnosis of serious pathology (cholesteatoma, canal tumour) hidden behind wax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tympanic/ossicular injury from forceful irrigation</w:t>
            </w:r>
          </w:p>
        </w:tc>
        <w:tc>
          <w:tcPr>
            <w:tcW w:type="dxa" w:w="2980"/>
            <w:vAlign w:val="top"/>
          </w:tcPr>
          <w:p>
            <w:pPr>
              <w:spacing w:after="40" w:before="0" w:line="259" w:lineRule="auto"/>
            </w:pPr>
            <w:r>
              <w:rPr>
                <w:rFonts w:ascii="Calibri" w:hAnsi="Calibri"/>
                <w:b w:val="0"/>
                <w:i w:val="0"/>
                <w:color w:val="212121"/>
                <w:sz w:val="19"/>
              </w:rPr>
              <w:t>Uncommon but serious, largely from neglected impaction, high-risk hosts, or unsafe removal technique.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Age-related hearing loss (presbycusis)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common in the elderly; impaction adds a reversible conductive component on top of it.</w:t>
            </w:r>
          </w:p>
          <w:p>
            <w:pPr>
              <w:spacing w:after="40" w:before="0" w:line="259" w:lineRule="auto"/>
            </w:pPr>
            <w:r>
              <w:rPr>
                <w:rFonts w:ascii="Calibri" w:hAnsi="Calibri"/>
                <w:b/>
                <w:i w:val="0"/>
                <w:color w:val="212121"/>
                <w:sz w:val="19"/>
              </w:rPr>
              <w:t>Over 25% of adults over 60 have disabling hearing loss (WHO)</w:t>
            </w:r>
          </w:p>
        </w:tc>
      </w:tr>
      <w:tr>
        <w:trPr>
          <w:cantSplit/>
        </w:trPr>
        <w:tc>
          <w:tcPr>
            <w:tcW w:type="dxa" w:w="2232"/>
            <w:vAlign w:val="top"/>
          </w:tcPr>
          <w:p>
            <w:pPr>
              <w:spacing w:after="40" w:before="0" w:line="259" w:lineRule="auto"/>
            </w:pPr>
            <w:r>
              <w:rPr>
                <w:rFonts w:ascii="Calibri" w:hAnsi="Calibri"/>
                <w:b/>
                <w:i w:val="0"/>
                <w:color w:val="212121"/>
                <w:sz w:val="19"/>
              </w:rPr>
              <w:t>Cognitive impairment / dementia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rates of unrecognized impaction; removal can improve hearing and communication.</w:t>
            </w:r>
          </w:p>
          <w:p>
            <w:pPr>
              <w:spacing w:after="40" w:before="0" w:line="259" w:lineRule="auto"/>
            </w:pPr>
            <w:r>
              <w:rPr>
                <w:rFonts w:ascii="Calibri" w:hAnsi="Calibri"/>
                <w:b/>
                <w:i w:val="0"/>
                <w:color w:val="212121"/>
                <w:sz w:val="19"/>
              </w:rPr>
              <w:t>Over 30% of cognitively impaired individuals</w:t>
            </w:r>
          </w:p>
        </w:tc>
      </w:tr>
      <w:tr>
        <w:trPr>
          <w:cantSplit/>
        </w:trPr>
        <w:tc>
          <w:tcPr>
            <w:tcW w:type="dxa" w:w="2232"/>
            <w:vAlign w:val="top"/>
          </w:tcPr>
          <w:p>
            <w:pPr>
              <w:spacing w:after="40" w:before="0" w:line="259" w:lineRule="auto"/>
            </w:pPr>
            <w:r>
              <w:rPr>
                <w:rFonts w:ascii="Calibri" w:hAnsi="Calibri"/>
                <w:b/>
                <w:i w:val="0"/>
                <w:color w:val="212121"/>
                <w:sz w:val="19"/>
              </w:rPr>
              <w:t>Otitis externa / otomycosis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Secondary infection of damp, impacted debris, common in hot humid climates.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Modifying factor raising infection risk during removal, including necrotising otitis externa.</w:t>
            </w:r>
          </w:p>
        </w:tc>
      </w:tr>
      <w:tr>
        <w:trPr>
          <w:cantSplit/>
        </w:trPr>
        <w:tc>
          <w:tcPr>
            <w:tcW w:type="dxa" w:w="2232"/>
            <w:vAlign w:val="top"/>
          </w:tcPr>
          <w:p>
            <w:pPr>
              <w:spacing w:after="40" w:before="0" w:line="259" w:lineRule="auto"/>
            </w:pPr>
            <w:r>
              <w:rPr>
                <w:rFonts w:ascii="Calibri" w:hAnsi="Calibri"/>
                <w:b/>
                <w:i w:val="0"/>
                <w:color w:val="212121"/>
                <w:sz w:val="19"/>
              </w:rPr>
              <w:t>Hearing-aid use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Occludes wax migration and is both a cause and a victim (feedback, blocked fittings) of impaction.</w:t>
            </w:r>
          </w:p>
        </w:tc>
      </w:tr>
      <w:tr>
        <w:trPr>
          <w:cantSplit/>
        </w:trPr>
        <w:tc>
          <w:tcPr>
            <w:tcW w:type="dxa" w:w="2232"/>
            <w:vAlign w:val="top"/>
          </w:tcPr>
          <w:p>
            <w:pPr>
              <w:spacing w:after="40" w:before="0" w:line="259" w:lineRule="auto"/>
            </w:pPr>
            <w:r>
              <w:rPr>
                <w:rFonts w:ascii="Calibri" w:hAnsi="Calibri"/>
                <w:b/>
                <w:i w:val="0"/>
                <w:color w:val="212121"/>
                <w:sz w:val="19"/>
              </w:rPr>
              <w:t>Down syndrome / canal stenosis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Narrow canals and reduced self-care lead to frequent, silent impaction.</w:t>
            </w:r>
          </w:p>
        </w:tc>
      </w:tr>
      <w:tr>
        <w:trPr>
          <w:cantSplit/>
        </w:trPr>
        <w:tc>
          <w:tcPr>
            <w:tcW w:type="dxa" w:w="2232"/>
            <w:vAlign w:val="top"/>
          </w:tcPr>
          <w:p>
            <w:pPr>
              <w:spacing w:after="40" w:before="0" w:line="259" w:lineRule="auto"/>
            </w:pPr>
            <w:r>
              <w:rPr>
                <w:rFonts w:ascii="Calibri" w:hAnsi="Calibri"/>
                <w:b/>
                <w:i w:val="0"/>
                <w:color w:val="212121"/>
                <w:sz w:val="19"/>
              </w:rPr>
              <w:t>Chronic canal dermatoses (eczema, psoriasis, seborrheic dermatitis)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Excess keratin/scale forms dense adherent plugs and keratosis obturans.</w:t>
            </w:r>
          </w:p>
        </w:tc>
      </w:tr>
      <w:tr>
        <w:trPr>
          <w:cantSplit/>
        </w:trPr>
        <w:tc>
          <w:tcPr>
            <w:tcW w:type="dxa" w:w="2232"/>
            <w:vAlign w:val="top"/>
          </w:tcPr>
          <w:p>
            <w:pPr>
              <w:spacing w:after="40" w:before="0" w:line="259" w:lineRule="auto"/>
            </w:pPr>
            <w:r>
              <w:rPr>
                <w:rFonts w:ascii="Calibri" w:hAnsi="Calibri"/>
                <w:b/>
                <w:i w:val="0"/>
                <w:color w:val="212121"/>
                <w:sz w:val="19"/>
              </w:rPr>
              <w:t>Tinnitus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accompanies impaction and often eases after wax clearance.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insert cotton buds, hairpins, matchsticks, keys or other objects into the ear canal — they push wax deeper and can injure the eardrum ('put nothing smaller than your elbow in your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Let the ear clean itself; wipe only the outer ear/pinna with a cloth, as wax is protective and normally migrates out on its 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ear candling, which is ineffective and can cause burns and worsen occlusion.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professional (clinician-performed) removal rather than street 'ear-cleaners' for troublesome wax, especially children, the elderly and the cognitively impaired who cannot report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 ear-mould and earbud users should keep devices clean, take regular breaks, and have ears checked periodically.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warning signs needing prompt review — pain, discharge, bleeding, sudden or one-sided hearing loss, or vertigo — rather than self-treating.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Hearing-aid/earbud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and 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impactors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Soften hard wax first with a few drops of olive or mineral oil, or a recommended cerumenolytic (e.g., sodium bicarbonate or docusate), for several days before removal.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self-irrigate the ear if you have a known eardrum perforation, previous ear surgery, an only-hearing ear, diabetes or immunocompromise — see a clinician.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persistent or complete blockage cleared by irrigation, microsuction or manual removal under proper visualization; microsuction/manual removal is preferred in the over-70s.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ear dry during and after treatment of any secondary infection, and complete prescribed ear drops.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for re-examination of the eardrum once the canal is clear to exclude perforation or hidden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symptomatic impaction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hard plugs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Diabetics/anticoagulated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 chewing and talking help wax migrate out naturally — no special exercise is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well-fitted earplugs and dry the ears thoroughly after swimming or head-washing to prevent wax swelling and acute blockage.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dusty sports or outdoor work, use appropriate ear protection and clean the outer ear afterwards.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Outdoor/dusty-occupation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eat a balanced diet to support healthy canal skin; no food prevents or dissolves wax.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any underlying skin/keratinization or nutritional deficiency that dries and thickens cerumen.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dry-skin/dermatologic conditions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hearing aids and earplugs at night (aim for about 8 device-free hours daily) to reduce wax buildup.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sleeping with in-ear earphones, which occlude the canal for long periods.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Earbud users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to smoke, dust and heavy air pollution, which add particulate debris that cerumen traps.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good ventilation and ear protection in smoky or dusty occupational settings.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Dusty-occupation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has no direct effect on ear wax; moderate intake and avoid dehydration as part of general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self-care and hydration, which indirectly keep cerumen softer.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compulsive or anxiety-driven ear-poking, which is a common cause of recurrent impaction and canal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people with dementia or intellectual disability should arrange regular ear checks, since these individuals cannot report blocked 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wax-related hearing loss promptly, as it can worsen low mood, social withdrawal and cognitive performance in older adults.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Anxious/compulsive ear-cleaners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dementia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Isolated 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removal, keep the ear dry until any canal irritation or infection settles, and use prescribed drops as directed.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frequent impaction, use a softening agent (e.g., olive/mineral oil) periodically as advised rather than instrumenting the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hearing aids, ear-moulds and earbud tips regularly and replace disposable tips to limit wax accumulation.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ear-cleaning implements, and avoid unregulated street ear-cleaning to reduce trauma and 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impactors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Hearing-aid/earbud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Post-removal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8155/" TargetMode="External"/><Relationship Id="rId10" Type="http://schemas.openxmlformats.org/officeDocument/2006/relationships/hyperlink" Target="https://pubmed.ncbi.nlm.nih.gov/38525118/" TargetMode="External"/><Relationship Id="rId11" Type="http://schemas.openxmlformats.org/officeDocument/2006/relationships/hyperlink" Target="https://pubmed.ncbi.nlm.nih.gov/25883066/" TargetMode="External"/><Relationship Id="rId12" Type="http://schemas.openxmlformats.org/officeDocument/2006/relationships/hyperlink" Target="https://pubmed.ncbi.nlm.nih.gov/31750218/" TargetMode="External"/><Relationship Id="rId13" Type="http://schemas.openxmlformats.org/officeDocument/2006/relationships/hyperlink" Target="https://pubmed.ncbi.nlm.nih.gov/12807656/" TargetMode="External"/><Relationship Id="rId14" Type="http://schemas.openxmlformats.org/officeDocument/2006/relationships/hyperlink" Target="https://pubmed.ncbi.nlm.nih.gov/28045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