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Mastoiditis</w:t>
      </w:r>
    </w:p>
    <w:p>
      <w:pPr>
        <w:spacing w:before="0" w:after="160"/>
      </w:pPr>
      <w:r>
        <w:rPr>
          <w:rFonts w:ascii="Calibri" w:hAnsi="Calibri"/>
          <w:b/>
          <w:i w:val="0"/>
          <w:color w:val="212121"/>
          <w:sz w:val="22"/>
        </w:rPr>
        <w:t xml:space="preserve">AKA </w:t>
      </w:r>
      <w:r>
        <w:rPr>
          <w:rFonts w:ascii="Calibri" w:hAnsi="Calibri"/>
          <w:b w:val="0"/>
          <w:i w:val="0"/>
          <w:color w:val="212121"/>
          <w:sz w:val="22"/>
        </w:rPr>
        <w:t>i.e., Acute mastoiditis, Acute coalescent mastoiditis, Mastoid abscess, Masked/latent (subacute) mastoiditis, Chronic mastoiditis, Postauricular (subperiosteal) abscess, Mastoid air-cell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Mastoiditis is a suppurative infection and inflammation of the mucosal lining and bony air-cell system of the mastoid process of the temporal bone, almost always arising as a complication of otitis media. In acute mastoiditis infection spreads from an acute middle-ear infection through the aditus ad antrum into the mastoid antrum and air cells; if untreated, osteitis dissolves the intervening bony septa to produce acute coalescent mastoiditis with abscess formation. In India and other low- and middle-income settings it commonly complicates chronic suppurative otitis media (CSOM) as chronic or “masked” mastoiditis, and it remains an important cause of serious intratemporal and intracranial complications. Because the disease can erode into the facial nerve, labyrinth, venous sinuses and cranial cavity, it is regarded as an ENT emergency.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high-income countries acute mastoiditis is now uncommon — roughly 2–4 per 10,000 children per year — because acute otitis media is usually treated early and pneumococcal vaccination has reduced incidence (progression of acute otitis media to mastoiditis has fallen from about 20% in the pre-antibiotic era to around 0.002%). In India the burden is driven instead by the very high prevalence of chronic suppurative otitis media (CSOM), whose pooled paediatric prevalence is about 3.78% (95% CI 2.72–4.84); mastoid involvement and mastoid (subperiosteal) abscess therefore remain among the commonest surgically-treated ENT complications in Indian children and young adults. In one Indian series of complicated CSOM, subperiosteal (postauricular) abscess — a mastoid complication — was the single commonest extracranial complication (~38.6%).</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Mastoiditis is primarily a clinical diagnosis in a patient with, or recently recovering from, otitis media who develops postauricular inflammation; it is confirmed and staged with imaging and supported by laboratory and microbiological tests. It is suggested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postauricular pain, tenderness, erythema and swelling over the mastoid process, classically pushing the pinna forward, downward and outward, in a patient with current or recent acute or chronic otitis media;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otoscopic evidence of middle-ear infection — a red, bulging or perforated discharging tympanic membrane, with sagging of the posterosuperior bony external-auditory-canal wall;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fever, irritability/poor feeding in young children, or malaise that persists or recurs beyond the expected course of acute otitis media (typically more than 7–10 days);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raised inflammatory markers — leucocytosis with neutrophilia, and elevated ESR and CRP;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high-resolution CT (HRCT) of the temporal bone showing clouding/opacification of the mastoid air cells, loss or erosion of the bony septa (coalescence), cortical erosion, or a subperiosteal/intracranial collection — the imaging investigation of choice;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contrast-enhanced MRI with MR venography when an intracranial complication or sigmoid-sinus thrombosis is suspected, plus ear-swab/pus culture and sensitivity to identify the organism and guide antibiotic therapy.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Mastoiditis is classified by its time-course, the state of the mastoid bone, the underlying middle-ear disease, and the direction of spread:</w:t>
      </w:r>
    </w:p>
    <w:p>
      <w:pPr>
        <w:spacing w:before="0" w:after="80"/>
      </w:pPr>
      <w:r>
        <w:rPr>
          <w:rFonts w:ascii="Calibri" w:hAnsi="Calibri"/>
          <w:b w:val="0"/>
          <w:i w:val="0"/>
          <w:color w:val="212121"/>
          <w:sz w:val="21"/>
        </w:rPr>
        <w:t>(1) Acute mastoiditis — mastoid air-cell infection complicating acute otitis media, subdivided into incipient/acute mastoiditis (mucosal inflammation with air-cell clouding but intact bony septa) and acute coalescent mastoiditis (osteitis dissolving the septa into a single pus-filled cavity, the commonest surgically-relevant form);</w:t>
      </w:r>
    </w:p>
    <w:p>
      <w:pPr>
        <w:spacing w:before="0" w:after="80"/>
      </w:pPr>
      <w:r>
        <w:rPr>
          <w:rFonts w:ascii="Calibri" w:hAnsi="Calibri"/>
          <w:b w:val="0"/>
          <w:i w:val="0"/>
          <w:color w:val="212121"/>
          <w:sz w:val="21"/>
        </w:rPr>
        <w:t>(2) Subacute (“masked” or latent) mastoiditis — a smouldering, partially-treated mastoid infection in which antibiotics suppress the ear signs while the underlying mastoid disease persists, presenting late with vague symptoms or an abrupt complication;</w:t>
      </w:r>
    </w:p>
    <w:p>
      <w:pPr>
        <w:spacing w:before="0" w:after="80"/>
      </w:pPr>
      <w:r>
        <w:rPr>
          <w:rFonts w:ascii="Calibri" w:hAnsi="Calibri"/>
          <w:b w:val="0"/>
          <w:i w:val="0"/>
          <w:color w:val="212121"/>
          <w:sz w:val="21"/>
        </w:rPr>
        <w:t>(3) Chronic mastoiditis — long-standing mastoid involvement accompanying chronic suppurative otitis media (CSOM), especially “unsafe” atticoantral disease with cholesteatoma, in which bone erosion and granulation persist for months to years (the predominant pattern in India);</w:t>
      </w:r>
    </w:p>
    <w:p>
      <w:pPr>
        <w:spacing w:before="0" w:after="80"/>
      </w:pPr>
      <w:r>
        <w:rPr>
          <w:rFonts w:ascii="Calibri" w:hAnsi="Calibri"/>
          <w:b w:val="0"/>
          <w:i w:val="0"/>
          <w:color w:val="212121"/>
          <w:sz w:val="21"/>
        </w:rPr>
        <w:t>(4) By spread — complications are grouped as those confined to the temporal bone (subperiosteal or Bezold abscess, petrositis, facial palsy, labyrinthitis) versus those spreading intracranially (meningitis, sigmoid-sinus thrombosis, extradural/subdural or brain abscess).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Acute otitis media (AOM): the mastoid antrum communicates directly with the middle ear via the aditus ad antrum, so severe, untreated or inadequately-treated AOM spreads readily into the mastoid air cells.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Chronic suppurative otitis media (CSOM) and cholesteatoma: in India most mastoiditis is chronic, driven by long-standing CSOM — particularly atticoantral “unsafe” disease with cholesteatoma that erodes bone and perpetuates mastoid infection.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Obstruction of aditus/antrum drainage: blockage by oedematous mucosa, granulation tissue or cholesteatoma traps pus in the air cells, raising pressure and driving osteitis and coalescence.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Virulent or resistant organisms: Streptococcus pneumoniae is the classic acute pathogen (with Streptococcus pyogenes, Staphylococcus aureus and Haemophilus influenzae), whereas Pseudomonas aeruginosa and anaerobes dominate chronic/CSOM-related disease.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Inadequate or incomplete antibiotic treatment: partial treatment of AOM can suppress the ear signs while allowing a “masked” mastoiditis to smoulder and present late with a complication.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susceptibility — young age, immature/poorly-ventilated Eustachian tube, immunodeficiency, diabetes and malnutrition: these impair clearance of middle-ear infection and predispose to mastoid spread and severe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children (peak, especially &lt; 2 years)</w:t>
            </w:r>
          </w:p>
        </w:tc>
        <w:tc>
          <w:tcPr>
            <w:tcW w:type="dxa" w:w="4276"/>
            <w:vAlign w:val="top"/>
          </w:tcPr>
          <w:p>
            <w:pPr>
              <w:spacing w:after="60" w:line="259" w:lineRule="auto"/>
            </w:pPr>
            <w:r>
              <w:rPr>
                <w:rFonts w:ascii="Calibri" w:hAnsi="Calibri"/>
                <w:b w:val="0"/>
                <w:i w:val="0"/>
                <w:color w:val="212121"/>
                <w:sz w:val="19"/>
              </w:rPr>
              <w:t>Childhood is the peak period: the Eustachian tube is short, horizontal and poorly functional, immunity is immature and nasopharyngeal colonisation is dense, so acute otitis media is frequent and can spread through the aditus into the well-vascularised infant mastoid.</w:t>
            </w:r>
          </w:p>
          <w:p>
            <w:pPr>
              <w:spacing w:after="40" w:before="60" w:line="259" w:lineRule="auto"/>
            </w:pPr>
            <w:r>
              <w:rPr>
                <w:rFonts w:ascii="Calibri" w:hAnsi="Calibri"/>
                <w:b w:val="0"/>
                <w:i w:val="0"/>
                <w:color w:val="212121"/>
                <w:sz w:val="19"/>
              </w:rPr>
              <w:t>The majority of acute-mastoiditis patients are under 2 years old, with a median age of about 12 months.</w:t>
            </w:r>
          </w:p>
          <w:p>
            <w:pPr>
              <w:spacing w:after="40" w:line="252" w:lineRule="auto"/>
            </w:pPr>
            <w:hyperlink r:id="rId9">
              <w:r>
                <w:rPr>
                  <w:rFonts w:ascii="Calibri" w:hAnsi="Calibri" w:cs="Calibri"/>
                  <w:sz w:val="18"/>
                  <w:color w:val="1155CC"/>
                  <w:u w:val="single"/>
                </w:rPr>
                <w:t xml:space="preserve">ncbi.nlm.nih.gov — StatPearls: Mastoiditis</w:t>
              </w:r>
            </w:hyperlink>
          </w:p>
          <w:p>
            <w:pPr>
              <w:spacing w:before="60" w:after="40"/>
            </w:pPr>
            <w:r>
              <w:rPr>
                <w:rFonts w:ascii="Calibri" w:hAnsi="Calibri"/>
                <w:b w:val="0"/>
                <w:i w:val="0"/>
                <w:color w:val="5A5A5A"/>
                <w:sz w:val="18"/>
              </w:rPr>
              <w:t>#mastoiditis  #children  #AOM  #eustachiantube  #Indiaburden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 (chronic / CSOM-related disease)</w:t>
            </w:r>
          </w:p>
        </w:tc>
        <w:tc>
          <w:tcPr>
            <w:tcW w:type="dxa" w:w="4276"/>
            <w:vAlign w:val="top"/>
          </w:tcPr>
          <w:p>
            <w:pPr>
              <w:spacing w:after="60" w:line="259" w:lineRule="auto"/>
            </w:pPr>
            <w:r>
              <w:rPr>
                <w:rFonts w:ascii="Calibri" w:hAnsi="Calibri"/>
                <w:b w:val="0"/>
                <w:i w:val="0"/>
                <w:color w:val="212121"/>
                <w:sz w:val="19"/>
              </w:rPr>
              <w:t>In India adults commonly present with chronic mastoiditis complicating long-standing CSOM and cholesteatoma; complicated disease tends to occur in comparatively younger adults who have had years of untreated discharge.</w:t>
            </w:r>
          </w:p>
          <w:p>
            <w:pPr>
              <w:spacing w:after="40" w:before="60" w:line="259" w:lineRule="auto"/>
            </w:pPr>
            <w:r>
              <w:rPr>
                <w:rFonts w:ascii="Calibri" w:hAnsi="Calibri"/>
                <w:b w:val="0"/>
                <w:i w:val="0"/>
                <w:color w:val="212121"/>
                <w:sz w:val="19"/>
              </w:rPr>
              <w:t>In a comparison of 187 ears, the complicated-CSOM group (which includes mastoid complications) was younger and more often male than the uncomplicated group.</w:t>
            </w:r>
          </w:p>
          <w:p>
            <w:pPr>
              <w:spacing w:after="40" w:line="252" w:lineRule="auto"/>
            </w:pPr>
            <w:hyperlink r:id="rId10">
              <w:r>
                <w:rPr>
                  <w:rFonts w:ascii="Calibri" w:hAnsi="Calibri" w:cs="Calibri"/>
                  <w:sz w:val="18"/>
                  <w:color w:val="1155CC"/>
                  <w:u w:val="single"/>
                </w:rPr>
                <w:t xml:space="preserve">pubmed.ncbi.nlm.nih.gov/17666139 — complicated vs uncomplicated CSOM</w:t>
              </w:r>
            </w:hyperlink>
          </w:p>
          <w:p>
            <w:pPr>
              <w:spacing w:before="60" w:after="40"/>
            </w:pPr>
            <w:r>
              <w:rPr>
                <w:rFonts w:ascii="Calibri" w:hAnsi="Calibri"/>
                <w:b w:val="0"/>
                <w:i w:val="0"/>
                <w:color w:val="5A5A5A"/>
                <w:sz w:val="18"/>
              </w:rPr>
              <w:t>#adults  #cholesteatoma  #chronicmastoiditis  #unsafedisease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Decades of chronic ear disease, added sensorineural loss and comorbidities such as diabetes make elderly patients prone to atypical, resistant or skull-base (necrotising) infection and higher surgical risk.</w:t>
            </w:r>
          </w:p>
          <w:p>
            <w:pPr>
              <w:spacing w:after="40" w:before="60" w:line="259" w:lineRule="auto"/>
            </w:pPr>
            <w:r>
              <w:rPr>
                <w:rFonts w:ascii="Calibri" w:hAnsi="Calibri"/>
                <w:b w:val="0"/>
                <w:i w:val="0"/>
                <w:color w:val="212121"/>
                <w:sz w:val="19"/>
              </w:rPr>
              <w:t>Sensorineural hearing loss was found in 71.4% of chronic-otitis-media patients whose discharge had lasted more than 5 years, reflecting the cumulative cochlear damage of chronicity.</w:t>
            </w:r>
          </w:p>
          <w:p>
            <w:pPr>
              <w:spacing w:after="40" w:line="252" w:lineRule="auto"/>
            </w:pPr>
            <w:hyperlink r:id="rId11">
              <w:r>
                <w:rPr>
                  <w:rFonts w:ascii="Calibri" w:hAnsi="Calibri" w:cs="Calibri"/>
                  <w:sz w:val="18"/>
                  <w:color w:val="1155CC"/>
                  <w:u w:val="single"/>
                </w:rPr>
                <w:t xml:space="preserve">pubmed.ncbi.nlm.nih.gov/32219073 — cochlear dysfunction in COM</w:t>
              </w:r>
            </w:hyperlink>
          </w:p>
          <w:p>
            <w:pPr>
              <w:spacing w:before="60" w:after="40"/>
            </w:pPr>
            <w:r>
              <w:rPr>
                <w:rFonts w:ascii="Calibri" w:hAnsi="Calibri"/>
                <w:b w:val="0"/>
                <w:i w:val="0"/>
                <w:color w:val="5A5A5A"/>
                <w:sz w:val="18"/>
              </w:rPr>
              <w:t>#elderly  #diabetes  #skullbase  #SNHL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Males (complicated disease)</w:t>
            </w:r>
          </w:p>
        </w:tc>
        <w:tc>
          <w:tcPr>
            <w:tcW w:type="dxa" w:w="4276"/>
            <w:vAlign w:val="top"/>
          </w:tcPr>
          <w:p>
            <w:pPr>
              <w:spacing w:after="60" w:line="259" w:lineRule="auto"/>
            </w:pPr>
            <w:r>
              <w:rPr>
                <w:rFonts w:ascii="Calibri" w:hAnsi="Calibri"/>
                <w:b w:val="0"/>
                <w:i w:val="0"/>
                <w:color w:val="212121"/>
                <w:sz w:val="19"/>
              </w:rPr>
              <w:t>Overall otitis media is roughly equal by sex, but complicated disease with mastoid and intracranial spread shows a male predominance, attributed to later presentation and greater environmental exposure in boys and men.</w:t>
            </w:r>
          </w:p>
          <w:p>
            <w:pPr>
              <w:spacing w:after="40" w:before="60" w:line="259" w:lineRule="auto"/>
            </w:pPr>
            <w:r>
              <w:rPr>
                <w:rFonts w:ascii="Calibri" w:hAnsi="Calibri"/>
                <w:b w:val="0"/>
                <w:i w:val="0"/>
                <w:color w:val="212121"/>
                <w:sz w:val="19"/>
              </w:rPr>
              <w:t>The complicated-CSOM group had a higher male predominance than the uncomplicated group in a comparison of 187 ears.</w:t>
            </w:r>
          </w:p>
          <w:p>
            <w:pPr>
              <w:spacing w:after="40" w:line="252" w:lineRule="auto"/>
            </w:pPr>
            <w:hyperlink r:id="rId10">
              <w:r>
                <w:rPr>
                  <w:rFonts w:ascii="Calibri" w:hAnsi="Calibri" w:cs="Calibri"/>
                  <w:sz w:val="18"/>
                  <w:color w:val="1155CC"/>
                  <w:u w:val="single"/>
                </w:rPr>
                <w:t xml:space="preserve">pubmed.ncbi.nlm.nih.gov/17666139 — complicated vs uncomplicated CSOM</w:t>
              </w:r>
            </w:hyperlink>
          </w:p>
          <w:p>
            <w:pPr>
              <w:spacing w:before="60" w:after="40"/>
            </w:pPr>
            <w:r>
              <w:rPr>
                <w:rFonts w:ascii="Calibri" w:hAnsi="Calibri"/>
                <w:b w:val="0"/>
                <w:i w:val="0"/>
                <w:color w:val="5A5A5A"/>
                <w:sz w:val="18"/>
              </w:rPr>
              <w:t>#male  #complications  #latepresentation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urban-slum households</w:t>
            </w:r>
          </w:p>
        </w:tc>
        <w:tc>
          <w:tcPr>
            <w:tcW w:type="dxa" w:w="4276"/>
            <w:vAlign w:val="top"/>
          </w:tcPr>
          <w:p>
            <w:pPr>
              <w:spacing w:after="60" w:line="259" w:lineRule="auto"/>
            </w:pPr>
            <w:r>
              <w:rPr>
                <w:rFonts w:ascii="Calibri" w:hAnsi="Calibri"/>
                <w:b w:val="0"/>
                <w:i w:val="0"/>
                <w:color w:val="212121"/>
                <w:sz w:val="19"/>
              </w:rPr>
              <w:t>Poverty clusters the drivers of otitis media and its complications — overcrowding, malnutrition, poor hygiene, indoor smoke and delayed access to ENT care — so infections are more frequent, treated late, and more likely to progress to the mastoid.</w:t>
            </w:r>
          </w:p>
          <w:p>
            <w:pPr>
              <w:spacing w:after="40" w:before="60" w:line="259" w:lineRule="auto"/>
            </w:pPr>
            <w:r>
              <w:rPr>
                <w:rFonts w:ascii="Calibri" w:hAnsi="Calibri"/>
                <w:b w:val="0"/>
                <w:i w:val="0"/>
                <w:color w:val="212121"/>
                <w:sz w:val="19"/>
              </w:rPr>
              <w:t>Otitis media affected 9.9% of urban-slum, 7% of rural and 4.6% of non-slum-urban children in a Delhi survey, and CSOM prevalence was 7.2% in slums versus 2.6% in non-slum urban areas.</w:t>
            </w:r>
          </w:p>
          <w:p>
            <w:pPr>
              <w:spacing w:after="40" w:line="252" w:lineRule="auto"/>
            </w:pPr>
            <w:hyperlink r:id="rId12">
              <w:r>
                <w:rPr>
                  <w:rFonts w:ascii="Calibri" w:hAnsi="Calibri" w:cs="Calibri"/>
                  <w:sz w:val="18"/>
                  <w:color w:val="1155CC"/>
                  <w:u w:val="single"/>
                </w:rPr>
                <w:t xml:space="preserve">pubmed.ncbi.nlm.nih.gov/25465454 — slum vs non-slum otitis media</w:t>
              </w:r>
            </w:hyperlink>
          </w:p>
          <w:p>
            <w:pPr>
              <w:spacing w:before="60" w:after="40"/>
            </w:pPr>
            <w:r>
              <w:rPr>
                <w:rFonts w:ascii="Calibri" w:hAnsi="Calibri"/>
                <w:b w:val="0"/>
                <w:i w:val="0"/>
                <w:color w:val="5A5A5A"/>
                <w:sz w:val="18"/>
              </w:rPr>
              <w:t>#poverty  #slums  #overcrowding  #latereferral</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&amp; peri-urban India</w:t>
            </w:r>
          </w:p>
        </w:tc>
        <w:tc>
          <w:tcPr>
            <w:tcW w:type="dxa" w:w="4276"/>
            <w:vAlign w:val="top"/>
          </w:tcPr>
          <w:p>
            <w:pPr>
              <w:spacing w:after="60" w:line="259" w:lineRule="auto"/>
            </w:pPr>
            <w:r>
              <w:rPr>
                <w:rFonts w:ascii="Calibri" w:hAnsi="Calibri"/>
                <w:b w:val="0"/>
                <w:i w:val="0"/>
                <w:color w:val="212121"/>
                <w:sz w:val="19"/>
              </w:rPr>
              <w:t>Rural and slum populations face poor sanitation, biomass-fuel smoke, water contamination and scarce ENT services, so middle-ear infection is treated late and progresses to chronic disease and mastoid complications more often.</w:t>
            </w:r>
          </w:p>
          <w:p>
            <w:pPr>
              <w:spacing w:after="40" w:before="60" w:line="259" w:lineRule="auto"/>
            </w:pPr>
            <w:r>
              <w:rPr>
                <w:rFonts w:ascii="Calibri" w:hAnsi="Calibri"/>
                <w:b w:val="0"/>
                <w:i w:val="0"/>
                <w:color w:val="212121"/>
                <w:sz w:val="19"/>
              </w:rPr>
              <w:t>In Delhi, otitis media affected 9.9% of urban-slum, 7% of rural and 4.6% of non-slum-urban children.</w:t>
            </w:r>
          </w:p>
          <w:p>
            <w:pPr>
              <w:spacing w:after="40" w:line="252" w:lineRule="auto"/>
            </w:pPr>
            <w:hyperlink r:id="rId12">
              <w:r>
                <w:rPr>
                  <w:rFonts w:ascii="Calibri" w:hAnsi="Calibri" w:cs="Calibri"/>
                  <w:sz w:val="18"/>
                  <w:color w:val="1155CC"/>
                  <w:u w:val="single"/>
                </w:rPr>
                <w:t xml:space="preserve">pubmed.ncbi.nlm.nih.gov/25465454 — Delhi area comparison</w:t>
              </w:r>
            </w:hyperlink>
          </w:p>
          <w:p>
            <w:pPr>
              <w:spacing w:before="60" w:after="40"/>
            </w:pPr>
            <w:r>
              <w:rPr>
                <w:rFonts w:ascii="Calibri" w:hAnsi="Calibri"/>
                <w:b w:val="0"/>
                <w:i w:val="0"/>
                <w:color w:val="5A5A5A"/>
                <w:sz w:val="18"/>
              </w:rPr>
              <w:t>#rural  #sanitation  #ENTaccess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North-East &amp; Himalayan populations (e.g., Sikkim)</w:t>
            </w:r>
          </w:p>
        </w:tc>
        <w:tc>
          <w:tcPr>
            <w:tcW w:type="dxa" w:w="4276"/>
            <w:vAlign w:val="top"/>
          </w:tcPr>
          <w:p>
            <w:pPr>
              <w:spacing w:after="60" w:line="259" w:lineRule="auto"/>
            </w:pPr>
            <w:r>
              <w:rPr>
                <w:rFonts w:ascii="Calibri" w:hAnsi="Calibri"/>
                <w:b w:val="0"/>
                <w:i w:val="0"/>
                <w:color w:val="212121"/>
                <w:sz w:val="19"/>
              </w:rPr>
              <w:t>Distinct ethnic, dietary and high-altitude factors together with limited specialist access give parts of the Indian North-East and Himalaya a high burden of chronic ear disease, and thus of mastoid complications.</w:t>
            </w:r>
          </w:p>
          <w:p>
            <w:pPr>
              <w:spacing w:after="40" w:before="60" w:line="259" w:lineRule="auto"/>
            </w:pPr>
            <w:r>
              <w:rPr>
                <w:rFonts w:ascii="Calibri" w:hAnsi="Calibri"/>
                <w:b w:val="0"/>
                <w:i w:val="0"/>
                <w:color w:val="212121"/>
                <w:sz w:val="19"/>
              </w:rPr>
              <w:t>A Sikkim study identified low socioeconomic status, malnutrition, crowded households, family history and passive smoking as the principal risk factors for chronic ear disease in that population.</w:t>
            </w:r>
          </w:p>
          <w:p>
            <w:pPr>
              <w:spacing w:after="40" w:line="252" w:lineRule="auto"/>
            </w:pPr>
            <w:hyperlink r:id="rId13">
              <w:r>
                <w:rPr>
                  <w:rFonts w:ascii="Calibri" w:hAnsi="Calibri" w:cs="Calibri"/>
                  <w:sz w:val="18"/>
                  <w:color w:val="1155CC"/>
                  <w:u w:val="single"/>
                </w:rPr>
                <w:t xml:space="preserve">pubmed.ncbi.nlm.nih.gov/36742467 — CSOM burden in Sikkim</w:t>
              </w:r>
            </w:hyperlink>
          </w:p>
          <w:p>
            <w:pPr>
              <w:spacing w:before="60" w:after="40"/>
            </w:pPr>
            <w:r>
              <w:rPr>
                <w:rFonts w:ascii="Calibri" w:hAnsi="Calibri"/>
                <w:b w:val="0"/>
                <w:i w:val="0"/>
                <w:color w:val="5A5A5A"/>
                <w:sz w:val="18"/>
              </w:rPr>
              <w:t>#northeastIndia  #Sikkim  #altitude  #ethnicity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season</w:t>
            </w:r>
          </w:p>
        </w:tc>
        <w:tc>
          <w:tcPr>
            <w:tcW w:type="dxa" w:w="2160"/>
            <w:vAlign w:val="top"/>
          </w:tcPr>
          <w:p>
            <w:pPr>
              <w:spacing w:after="40" w:before="0" w:line="259" w:lineRule="auto"/>
            </w:pPr>
            <w:r>
              <w:rPr>
                <w:rFonts w:ascii="Calibri" w:hAnsi="Calibri"/>
                <w:b w:val="0"/>
                <w:i w:val="0"/>
                <w:color w:val="212121"/>
                <w:sz w:val="19"/>
              </w:rPr>
              <w:t>Humid &amp; monsoon-belt regions</w:t>
            </w:r>
          </w:p>
        </w:tc>
        <w:tc>
          <w:tcPr>
            <w:tcW w:type="dxa" w:w="4276"/>
            <w:vAlign w:val="top"/>
          </w:tcPr>
          <w:p>
            <w:pPr>
              <w:spacing w:after="60" w:line="259" w:lineRule="auto"/>
            </w:pPr>
            <w:r>
              <w:rPr>
                <w:rFonts w:ascii="Calibri" w:hAnsi="Calibri"/>
                <w:b w:val="0"/>
                <w:i w:val="0"/>
                <w:color w:val="212121"/>
                <w:sz w:val="19"/>
              </w:rPr>
              <w:t>Warm, humid and monsoon conditions promote water exposure and flourishing of environmental Pseudomonas, driving reactivation of ear discharge that can extend to the mastoid.</w:t>
            </w:r>
          </w:p>
          <w:p>
            <w:pPr>
              <w:spacing w:after="40" w:before="60" w:line="259" w:lineRule="auto"/>
            </w:pPr>
            <w:r>
              <w:rPr>
                <w:rFonts w:ascii="Calibri" w:hAnsi="Calibri"/>
                <w:b w:val="0"/>
                <w:i w:val="0"/>
                <w:color w:val="212121"/>
                <w:sz w:val="19"/>
              </w:rPr>
              <w:t>Aerobic and anaerobic isolation rates from chronically discharging ears peaked during the July–September monsoon, with Pseudomonas linked to rain-water contamination.</w:t>
            </w:r>
          </w:p>
          <w:p>
            <w:pPr>
              <w:spacing w:after="40" w:line="252" w:lineRule="auto"/>
            </w:pPr>
            <w:hyperlink r:id="rId14">
              <w:r>
                <w:rPr>
                  <w:rFonts w:ascii="Calibri" w:hAnsi="Calibri" w:cs="Calibri"/>
                  <w:sz w:val="18"/>
                  <w:color w:val="1155CC"/>
                  <w:u w:val="single"/>
                </w:rPr>
                <w:t xml:space="preserve">pubmed.ncbi.nlm.nih.gov/23120410 — seasonal bacteriology</w:t>
              </w:r>
            </w:hyperlink>
          </w:p>
          <w:p>
            <w:pPr>
              <w:spacing w:before="60" w:after="40"/>
            </w:pPr>
            <w:r>
              <w:rPr>
                <w:rFonts w:ascii="Calibri" w:hAnsi="Calibri"/>
                <w:b w:val="0"/>
                <w:i w:val="0"/>
                <w:color w:val="5A5A5A"/>
                <w:sz w:val="18"/>
              </w:rPr>
              <w:t>#monsoon  #humidity  #pseudomonas  #waterexposure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Ear-cleaning practices</w:t>
            </w:r>
          </w:p>
        </w:tc>
        <w:tc>
          <w:tcPr>
            <w:tcW w:type="dxa" w:w="2160"/>
            <w:vAlign w:val="top"/>
          </w:tcPr>
          <w:p>
            <w:pPr>
              <w:spacing w:after="40" w:before="0" w:line="259" w:lineRule="auto"/>
            </w:pPr>
            <w:r>
              <w:rPr>
                <w:rFonts w:ascii="Calibri" w:hAnsi="Calibri"/>
                <w:b w:val="0"/>
                <w:i w:val="0"/>
                <w:color w:val="212121"/>
                <w:sz w:val="19"/>
              </w:rPr>
              <w:t>Users of cotton buds, hairpins, oils, traditional drops</w:t>
            </w:r>
          </w:p>
        </w:tc>
        <w:tc>
          <w:tcPr>
            <w:tcW w:type="dxa" w:w="4276"/>
            <w:vAlign w:val="top"/>
          </w:tcPr>
          <w:p>
            <w:pPr>
              <w:spacing w:after="60" w:line="259" w:lineRule="auto"/>
            </w:pPr>
            <w:r>
              <w:rPr>
                <w:rFonts w:ascii="Calibri" w:hAnsi="Calibri"/>
                <w:b w:val="0"/>
                <w:i w:val="0"/>
                <w:color w:val="212121"/>
                <w:sz w:val="19"/>
              </w:rPr>
              <w:t>Self-instrumentation and instillation of oils or unsterile drops traumatise the canal/drum, introduce organisms and reactivate discharge, sustaining the middle-ear infection that can spread to the mastoid.</w:t>
            </w:r>
          </w:p>
          <w:p>
            <w:pPr>
              <w:spacing w:after="40" w:before="60" w:line="259" w:lineRule="auto"/>
            </w:pPr>
            <w:r>
              <w:rPr>
                <w:rFonts w:ascii="Calibri" w:hAnsi="Calibri"/>
                <w:b w:val="0"/>
                <w:i w:val="0"/>
                <w:color w:val="212121"/>
                <w:sz w:val="19"/>
              </w:rPr>
              <w:t>A history of cleaning the ear with various materials was present in 7.4% of children and was an independent predictor of chronic ear disease in a Karnataka school survey.</w:t>
            </w:r>
          </w:p>
          <w:p>
            <w:pPr>
              <w:spacing w:after="40" w:line="252" w:lineRule="auto"/>
            </w:pPr>
            <w:hyperlink r:id="rId15">
              <w:r>
                <w:rPr>
                  <w:rFonts w:ascii="Calibri" w:hAnsi="Calibri" w:cs="Calibri"/>
                  <w:sz w:val="18"/>
                  <w:color w:val="1155CC"/>
                  <w:u w:val="single"/>
                </w:rPr>
                <w:t xml:space="preserve">pubmed.ncbi.nlm.nih.gov/31750215 — Belagavi school survey</w:t>
              </w:r>
            </w:hyperlink>
          </w:p>
          <w:p>
            <w:pPr>
              <w:spacing w:before="60" w:after="40"/>
            </w:pPr>
            <w:r>
              <w:rPr>
                <w:rFonts w:ascii="Calibri" w:hAnsi="Calibri"/>
                <w:b w:val="0"/>
                <w:i w:val="0"/>
                <w:color w:val="5A5A5A"/>
                <w:sz w:val="18"/>
              </w:rPr>
              <w:t>#cottonbuds  #earcleaning  #trauma  #traditionaldrops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exposure</w:t>
            </w:r>
          </w:p>
        </w:tc>
        <w:tc>
          <w:tcPr>
            <w:tcW w:type="dxa" w:w="2160"/>
            <w:vAlign w:val="top"/>
          </w:tcPr>
          <w:p>
            <w:pPr>
              <w:spacing w:after="40" w:before="0" w:line="259" w:lineRule="auto"/>
            </w:pPr>
            <w:r>
              <w:rPr>
                <w:rFonts w:ascii="Calibri" w:hAnsi="Calibri"/>
                <w:b w:val="0"/>
                <w:i w:val="0"/>
                <w:color w:val="212121"/>
                <w:sz w:val="19"/>
              </w:rPr>
              <w:t>Swimmers &amp; bathers in contaminated water</w:t>
            </w:r>
          </w:p>
        </w:tc>
        <w:tc>
          <w:tcPr>
            <w:tcW w:type="dxa" w:w="4276"/>
            <w:vAlign w:val="top"/>
          </w:tcPr>
          <w:p>
            <w:pPr>
              <w:spacing w:after="60" w:line="259" w:lineRule="auto"/>
            </w:pPr>
            <w:r>
              <w:rPr>
                <w:rFonts w:ascii="Calibri" w:hAnsi="Calibri"/>
                <w:b w:val="0"/>
                <w:i w:val="0"/>
                <w:color w:val="212121"/>
                <w:sz w:val="19"/>
              </w:rPr>
              <w:t>Entry of contaminated water through a perforation reintroduces bacteria (especially Pseudomonas) into the middle ear and reactivates otorrhoea, a major provoking factor for the infection that underlies mastoiditis; keeping the ear dry is central to control.</w:t>
            </w:r>
          </w:p>
          <w:p>
            <w:pPr>
              <w:spacing w:after="40" w:before="60" w:line="259" w:lineRule="auto"/>
            </w:pPr>
            <w:r>
              <w:rPr>
                <w:rFonts w:ascii="Calibri" w:hAnsi="Calibri"/>
                <w:b w:val="0"/>
                <w:i w:val="0"/>
                <w:color w:val="212121"/>
                <w:sz w:val="19"/>
              </w:rPr>
              <w:t>Chronically discharging ears are classically colonised by Pseudomonas aeruginosa (up to ~64% of isolates), an organism linked to water contamination.</w:t>
            </w:r>
          </w:p>
          <w:p>
            <w:pPr>
              <w:spacing w:after="40" w:line="252" w:lineRule="auto"/>
            </w:pPr>
            <w:hyperlink r:id="rId14">
              <w:r>
                <w:rPr>
                  <w:rFonts w:ascii="Calibri" w:hAnsi="Calibri" w:cs="Calibri"/>
                  <w:sz w:val="18"/>
                  <w:color w:val="1155CC"/>
                  <w:u w:val="single"/>
                </w:rPr>
                <w:t xml:space="preserve">pubmed.ncbi.nlm.nih.gov/23120410 — CSOM microbiology</w:t>
              </w:r>
            </w:hyperlink>
          </w:p>
          <w:p>
            <w:pPr>
              <w:spacing w:before="60" w:after="40"/>
            </w:pPr>
            <w:r>
              <w:rPr>
                <w:rFonts w:ascii="Calibri" w:hAnsi="Calibri"/>
                <w:b w:val="0"/>
                <w:i w:val="0"/>
                <w:color w:val="5A5A5A"/>
                <w:sz w:val="18"/>
              </w:rPr>
              <w:t>#waterentry  #swimming  #pseudomonas  #keepdry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Passive smoking / indoor air pollution</w:t>
            </w:r>
          </w:p>
        </w:tc>
        <w:tc>
          <w:tcPr>
            <w:tcW w:type="dxa" w:w="2160"/>
            <w:vAlign w:val="top"/>
          </w:tcPr>
          <w:p>
            <w:pPr>
              <w:spacing w:after="40" w:before="0" w:line="259" w:lineRule="auto"/>
            </w:pPr>
            <w:r>
              <w:rPr>
                <w:rFonts w:ascii="Calibri" w:hAnsi="Calibri"/>
                <w:b w:val="0"/>
                <w:i w:val="0"/>
                <w:color w:val="212121"/>
                <w:sz w:val="19"/>
              </w:rPr>
              <w:t>Children in smoking or biomass-fuel homes</w:t>
            </w:r>
          </w:p>
        </w:tc>
        <w:tc>
          <w:tcPr>
            <w:tcW w:type="dxa" w:w="4276"/>
            <w:vAlign w:val="top"/>
          </w:tcPr>
          <w:p>
            <w:pPr>
              <w:spacing w:after="60" w:line="259" w:lineRule="auto"/>
            </w:pPr>
            <w:r>
              <w:rPr>
                <w:rFonts w:ascii="Calibri" w:hAnsi="Calibri"/>
                <w:b w:val="0"/>
                <w:i w:val="0"/>
                <w:color w:val="212121"/>
                <w:sz w:val="19"/>
              </w:rPr>
              <w:t>Tobacco and biomass (wood/charcoal) smoke irritate the respiratory and middle-ear mucosa and impair Eustachian-tube function, increasing otitis-media risk — highly relevant to Indian solid-fuel kitchens — and thus the chance of mastoid spread.</w:t>
            </w:r>
          </w:p>
          <w:p>
            <w:pPr>
              <w:spacing w:after="40" w:before="60" w:line="259" w:lineRule="auto"/>
            </w:pPr>
            <w:r>
              <w:rPr>
                <w:rFonts w:ascii="Calibri" w:hAnsi="Calibri"/>
                <w:b w:val="0"/>
                <w:i w:val="0"/>
                <w:color w:val="212121"/>
                <w:sz w:val="19"/>
              </w:rPr>
              <w:t>Otitis-media risk rose with exposure to household wood smoke (OR 1.85), charcoal smoke (OR 1.50) and tobacco smoke (OR 1.51) in a case-control study.</w:t>
            </w:r>
          </w:p>
          <w:p>
            <w:pPr>
              <w:spacing w:after="40" w:line="252" w:lineRule="auto"/>
            </w:pPr>
            <w:hyperlink r:id="rId16">
              <w:r>
                <w:rPr>
                  <w:rFonts w:ascii="Calibri" w:hAnsi="Calibri" w:cs="Calibri"/>
                  <w:sz w:val="18"/>
                  <w:color w:val="1155CC"/>
                  <w:u w:val="single"/>
                </w:rPr>
                <w:t xml:space="preserve">pubmed.ncbi.nlm.nih.gov/15105407 — household smoke &amp; otitis media</w:t>
              </w:r>
            </w:hyperlink>
          </w:p>
          <w:p>
            <w:pPr>
              <w:spacing w:before="60" w:after="40"/>
            </w:pPr>
            <w:r>
              <w:rPr>
                <w:rFonts w:ascii="Calibri" w:hAnsi="Calibri"/>
                <w:b w:val="0"/>
                <w:i w:val="0"/>
                <w:color w:val="5A5A5A"/>
                <w:sz w:val="18"/>
              </w:rPr>
              <w:t>#passivesmoking  #biomass  #indoorairpollution  #chulha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Overcrowding</w:t>
            </w:r>
          </w:p>
        </w:tc>
        <w:tc>
          <w:tcPr>
            <w:tcW w:type="dxa" w:w="2160"/>
            <w:vAlign w:val="top"/>
          </w:tcPr>
          <w:p>
            <w:pPr>
              <w:spacing w:after="40" w:before="0" w:line="259" w:lineRule="auto"/>
            </w:pPr>
            <w:r>
              <w:rPr>
                <w:rFonts w:ascii="Calibri" w:hAnsi="Calibri"/>
                <w:b w:val="0"/>
                <w:i w:val="0"/>
                <w:color w:val="212121"/>
                <w:sz w:val="19"/>
              </w:rPr>
              <w:t>Large / crowded households</w:t>
            </w:r>
          </w:p>
        </w:tc>
        <w:tc>
          <w:tcPr>
            <w:tcW w:type="dxa" w:w="4276"/>
            <w:vAlign w:val="top"/>
          </w:tcPr>
          <w:p>
            <w:pPr>
              <w:spacing w:after="60" w:line="259" w:lineRule="auto"/>
            </w:pPr>
            <w:r>
              <w:rPr>
                <w:rFonts w:ascii="Calibri" w:hAnsi="Calibri"/>
                <w:b w:val="0"/>
                <w:i w:val="0"/>
                <w:color w:val="212121"/>
                <w:sz w:val="19"/>
              </w:rPr>
              <w:t>Crowding increases transmission of the respiratory viruses and bacteria that seed middle-ear infection and reflects the wider socioeconomic risk cluster for complicated disease.</w:t>
            </w:r>
          </w:p>
          <w:p>
            <w:pPr>
              <w:spacing w:after="40" w:before="60" w:line="259" w:lineRule="auto"/>
            </w:pPr>
            <w:r>
              <w:rPr>
                <w:rFonts w:ascii="Calibri" w:hAnsi="Calibri"/>
                <w:b w:val="0"/>
                <w:i w:val="0"/>
                <w:color w:val="212121"/>
                <w:sz w:val="19"/>
              </w:rPr>
              <w:t>Overcrowding was documented in 61% of children found to have chronic ear disease in a Karnataka survey, and carried an OR of ~1.49 for otitis media.</w:t>
            </w:r>
          </w:p>
          <w:p>
            <w:pPr>
              <w:spacing w:after="40" w:line="252" w:lineRule="auto"/>
            </w:pPr>
            <w:hyperlink r:id="rId15">
              <w:r>
                <w:rPr>
                  <w:rFonts w:ascii="Calibri" w:hAnsi="Calibri" w:cs="Calibri"/>
                  <w:sz w:val="18"/>
                  <w:color w:val="1155CC"/>
                  <w:u w:val="single"/>
                </w:rPr>
                <w:t xml:space="preserve">pubmed.ncbi.nlm.nih.gov/31750215 — Belagavi survey</w:t>
              </w:r>
            </w:hyperlink>
          </w:p>
          <w:p>
            <w:pPr>
              <w:spacing w:before="60" w:after="40"/>
            </w:pPr>
            <w:r>
              <w:rPr>
                <w:rFonts w:ascii="Calibri" w:hAnsi="Calibri"/>
                <w:b w:val="0"/>
                <w:i w:val="0"/>
                <w:color w:val="5A5A5A"/>
                <w:sz w:val="18"/>
              </w:rPr>
              <w:t>#overcrowding  #transmission  #householdsize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Infant feeding</w:t>
            </w:r>
          </w:p>
        </w:tc>
        <w:tc>
          <w:tcPr>
            <w:tcW w:type="dxa" w:w="2160"/>
            <w:vAlign w:val="top"/>
          </w:tcPr>
          <w:p>
            <w:pPr>
              <w:spacing w:after="40" w:before="0" w:line="259" w:lineRule="auto"/>
            </w:pPr>
            <w:r>
              <w:rPr>
                <w:rFonts w:ascii="Calibri" w:hAnsi="Calibri"/>
                <w:b w:val="0"/>
                <w:i w:val="0"/>
                <w:color w:val="212121"/>
                <w:sz w:val="19"/>
              </w:rPr>
              <w:t>Short/absent breastfeeding; supine bottle-feeding</w:t>
            </w:r>
          </w:p>
        </w:tc>
        <w:tc>
          <w:tcPr>
            <w:tcW w:type="dxa" w:w="4276"/>
            <w:vAlign w:val="top"/>
          </w:tcPr>
          <w:p>
            <w:pPr>
              <w:spacing w:after="60" w:line="259" w:lineRule="auto"/>
            </w:pPr>
            <w:r>
              <w:rPr>
                <w:rFonts w:ascii="Calibri" w:hAnsi="Calibri"/>
                <w:b w:val="0"/>
                <w:i w:val="0"/>
                <w:color w:val="212121"/>
                <w:sz w:val="19"/>
              </w:rPr>
              <w:t>Breast milk confers passive immunity and IgA against otopathogens; short or absent breastfeeding and feeding a baby lying flat (which refluxes milk toward the Eustachian tube) raise otitis-media risk in the very age group most prone to mastoiditis.</w:t>
            </w:r>
          </w:p>
          <w:p>
            <w:pPr>
              <w:spacing w:after="40" w:before="60" w:line="259" w:lineRule="auto"/>
            </w:pPr>
            <w:r>
              <w:rPr>
                <w:rFonts w:ascii="Calibri" w:hAnsi="Calibri"/>
                <w:b w:val="0"/>
                <w:i w:val="0"/>
                <w:color w:val="212121"/>
                <w:sz w:val="19"/>
              </w:rPr>
              <w:t>Short-duration breastfeeding was associated with an OR of 1.47 for otitis media in a case-control study.</w:t>
            </w:r>
          </w:p>
          <w:p>
            <w:pPr>
              <w:spacing w:after="40" w:line="252" w:lineRule="auto"/>
            </w:pPr>
            <w:hyperlink r:id="rId16">
              <w:r>
                <w:rPr>
                  <w:rFonts w:ascii="Calibri" w:hAnsi="Calibri" w:cs="Calibri"/>
                  <w:sz w:val="18"/>
                  <w:color w:val="1155CC"/>
                  <w:u w:val="single"/>
                </w:rPr>
                <w:t xml:space="preserve">pubmed.ncbi.nlm.nih.gov/15105407 — breastfeeding &amp; otitis media</w:t>
              </w:r>
            </w:hyperlink>
          </w:p>
          <w:p>
            <w:pPr>
              <w:spacing w:before="60" w:after="40"/>
            </w:pPr>
            <w:r>
              <w:rPr>
                <w:rFonts w:ascii="Calibri" w:hAnsi="Calibri"/>
                <w:b w:val="0"/>
                <w:i w:val="0"/>
                <w:color w:val="5A5A5A"/>
                <w:sz w:val="18"/>
              </w:rPr>
              <w:t>#breastfeeding  #bottlefeeding  #supinefeeding  #passiveimmunity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Malnutrition / micronutrients</w:t>
            </w:r>
          </w:p>
        </w:tc>
        <w:tc>
          <w:tcPr>
            <w:tcW w:type="dxa" w:w="2160"/>
            <w:vAlign w:val="top"/>
          </w:tcPr>
          <w:p>
            <w:pPr>
              <w:spacing w:after="40" w:before="0" w:line="259" w:lineRule="auto"/>
            </w:pPr>
            <w:r>
              <w:rPr>
                <w:rFonts w:ascii="Calibri" w:hAnsi="Calibri"/>
                <w:b w:val="0"/>
                <w:i w:val="0"/>
                <w:color w:val="212121"/>
                <w:sz w:val="19"/>
              </w:rPr>
              <w:t>Undernourished children (low vitamin A / zinc / iron)</w:t>
            </w:r>
          </w:p>
        </w:tc>
        <w:tc>
          <w:tcPr>
            <w:tcW w:type="dxa" w:w="4276"/>
            <w:vAlign w:val="top"/>
          </w:tcPr>
          <w:p>
            <w:pPr>
              <w:spacing w:after="60" w:line="259" w:lineRule="auto"/>
            </w:pPr>
            <w:r>
              <w:rPr>
                <w:rFonts w:ascii="Calibri" w:hAnsi="Calibri"/>
                <w:b w:val="0"/>
                <w:i w:val="0"/>
                <w:color w:val="212121"/>
                <w:sz w:val="19"/>
              </w:rPr>
              <w:t>Protein-energy malnutrition and micronutrient deficiency impair mucosal and cell-mediated immunity, increasing the frequency, persistence and complication rate of middle-ear infection.</w:t>
            </w:r>
          </w:p>
          <w:p>
            <w:pPr>
              <w:spacing w:after="40" w:before="60" w:line="259" w:lineRule="auto"/>
            </w:pPr>
            <w:r>
              <w:rPr>
                <w:rFonts w:ascii="Calibri" w:hAnsi="Calibri"/>
                <w:b w:val="0"/>
                <w:i w:val="0"/>
                <w:color w:val="212121"/>
                <w:sz w:val="19"/>
              </w:rPr>
              <w:t>Malnutrition was identified among the principal risk factors for chronic ear disease in a dedicated Indian (Sikkim) study.</w:t>
            </w:r>
          </w:p>
          <w:p>
            <w:pPr>
              <w:spacing w:after="40" w:line="252" w:lineRule="auto"/>
            </w:pPr>
            <w:hyperlink r:id="rId13">
              <w:r>
                <w:rPr>
                  <w:rFonts w:ascii="Calibri" w:hAnsi="Calibri" w:cs="Calibri"/>
                  <w:sz w:val="18"/>
                  <w:color w:val="1155CC"/>
                  <w:u w:val="single"/>
                </w:rPr>
                <w:t xml:space="preserve">pubmed.ncbi.nlm.nih.gov/36742467 — CSOM risk factors</w:t>
              </w:r>
            </w:hyperlink>
          </w:p>
          <w:p>
            <w:pPr>
              <w:spacing w:before="60" w:after="40"/>
            </w:pPr>
            <w:r>
              <w:rPr>
                <w:rFonts w:ascii="Calibri" w:hAnsi="Calibri"/>
                <w:b w:val="0"/>
                <w:i w:val="0"/>
                <w:color w:val="5A5A5A"/>
                <w:sz w:val="18"/>
              </w:rPr>
              <w:t>#malnutrition  #vitaminA  #zinc  #immunity</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Craniofacial anomalies</w:t>
            </w:r>
          </w:p>
        </w:tc>
        <w:tc>
          <w:tcPr>
            <w:tcW w:type="dxa" w:w="2160"/>
            <w:vAlign w:val="top"/>
          </w:tcPr>
          <w:p>
            <w:pPr>
              <w:spacing w:after="40" w:before="0" w:line="259" w:lineRule="auto"/>
            </w:pPr>
            <w:r>
              <w:rPr>
                <w:rFonts w:ascii="Calibri" w:hAnsi="Calibri"/>
                <w:b w:val="0"/>
                <w:i w:val="0"/>
                <w:color w:val="212121"/>
                <w:sz w:val="19"/>
              </w:rPr>
              <w:t>Cleft palate, Down syndrome, craniofacial syndromes</w:t>
            </w:r>
          </w:p>
        </w:tc>
        <w:tc>
          <w:tcPr>
            <w:tcW w:type="dxa" w:w="4276"/>
            <w:vAlign w:val="top"/>
          </w:tcPr>
          <w:p>
            <w:pPr>
              <w:spacing w:after="60" w:line="259" w:lineRule="auto"/>
            </w:pPr>
            <w:r>
              <w:rPr>
                <w:rFonts w:ascii="Calibri" w:hAnsi="Calibri"/>
                <w:b w:val="0"/>
                <w:i w:val="0"/>
                <w:color w:val="212121"/>
                <w:sz w:val="19"/>
              </w:rPr>
              <w:t>Structural and functional Eustachian-tube abnormalities in cleft palate, Down syndrome and other craniofacial syndromes cause chronic middle-ear effusion and infection from infancy, predisposing to mastoid involvement.</w:t>
            </w:r>
          </w:p>
          <w:p>
            <w:pPr>
              <w:spacing w:after="40" w:before="60" w:line="259" w:lineRule="auto"/>
            </w:pPr>
            <w:r>
              <w:rPr>
                <w:rFonts w:ascii="Calibri" w:hAnsi="Calibri"/>
                <w:b w:val="0"/>
                <w:i w:val="0"/>
                <w:color w:val="212121"/>
                <w:sz w:val="19"/>
              </w:rPr>
              <w:t>Persistent Eustachian-tube dysfunction was strongly associated with otitis media (OR ~3.06 in older children) in a case-control analysis.</w:t>
            </w:r>
          </w:p>
          <w:p>
            <w:pPr>
              <w:spacing w:after="40" w:line="252" w:lineRule="auto"/>
            </w:pPr>
            <w:hyperlink r:id="rId16">
              <w:r>
                <w:rPr>
                  <w:rFonts w:ascii="Calibri" w:hAnsi="Calibri" w:cs="Calibri"/>
                  <w:sz w:val="18"/>
                  <w:color w:val="1155CC"/>
                  <w:u w:val="single"/>
                </w:rPr>
                <w:t xml:space="preserve">pubmed.ncbi.nlm.nih.gov/15105407 — Eustachian-tube dysfunction</w:t>
              </w:r>
            </w:hyperlink>
          </w:p>
          <w:p>
            <w:pPr>
              <w:spacing w:before="60" w:after="40"/>
            </w:pPr>
            <w:r>
              <w:rPr>
                <w:rFonts w:ascii="Calibri" w:hAnsi="Calibri"/>
                <w:b w:val="0"/>
                <w:i w:val="0"/>
                <w:color w:val="5A5A5A"/>
                <w:sz w:val="18"/>
              </w:rPr>
              <w:t>#cleftpalate  #Downsyndrome  #eustachiandysfunction  #craniofacial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chronic ear disease</w:t>
            </w:r>
          </w:p>
        </w:tc>
        <w:tc>
          <w:tcPr>
            <w:tcW w:type="dxa" w:w="4276"/>
            <w:vAlign w:val="top"/>
          </w:tcPr>
          <w:p>
            <w:pPr>
              <w:spacing w:after="60" w:line="259" w:lineRule="auto"/>
            </w:pPr>
            <w:r>
              <w:rPr>
                <w:rFonts w:ascii="Calibri" w:hAnsi="Calibri"/>
                <w:b w:val="0"/>
                <w:i w:val="0"/>
                <w:color w:val="212121"/>
                <w:sz w:val="19"/>
              </w:rPr>
              <w:t>Inherited Eustachian-tube anatomy and immune traits cluster chronic ear disease within families independent of shared environment, raising the risk of recurrent otitis media and its complications.</w:t>
            </w:r>
          </w:p>
          <w:p>
            <w:pPr>
              <w:spacing w:after="40" w:before="60" w:line="259" w:lineRule="auto"/>
            </w:pPr>
            <w:r>
              <w:rPr>
                <w:rFonts w:ascii="Calibri" w:hAnsi="Calibri"/>
                <w:b w:val="0"/>
                <w:i w:val="0"/>
                <w:color w:val="212121"/>
                <w:sz w:val="19"/>
              </w:rPr>
              <w:t>Family history was identified among the core risk factors for chronic ear disease in a dedicated Indian (Sikkim) study.</w:t>
            </w:r>
          </w:p>
          <w:p>
            <w:pPr>
              <w:spacing w:after="40" w:line="252" w:lineRule="auto"/>
            </w:pPr>
            <w:hyperlink r:id="rId13">
              <w:r>
                <w:rPr>
                  <w:rFonts w:ascii="Calibri" w:hAnsi="Calibri" w:cs="Calibri"/>
                  <w:sz w:val="18"/>
                  <w:color w:val="1155CC"/>
                  <w:u w:val="single"/>
                </w:rPr>
                <w:t xml:space="preserve">pubmed.ncbi.nlm.nih.gov/36742467 — CSOM risk factors</w:t>
              </w:r>
            </w:hyperlink>
          </w:p>
          <w:p>
            <w:pPr>
              <w:spacing w:before="60" w:after="40"/>
            </w:pPr>
            <w:r>
              <w:rPr>
                <w:rFonts w:ascii="Calibri" w:hAnsi="Calibri"/>
                <w:b w:val="0"/>
                <w:i w:val="0"/>
                <w:color w:val="5A5A5A"/>
                <w:sz w:val="18"/>
              </w:rPr>
              <w:t>#familyhistory  #inheritedanatomy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suppurative otitis media / cholesteatoma</w:t>
            </w:r>
          </w:p>
        </w:tc>
        <w:tc>
          <w:tcPr>
            <w:tcW w:type="dxa" w:w="2160"/>
            <w:vAlign w:val="top"/>
          </w:tcPr>
          <w:p>
            <w:pPr>
              <w:spacing w:after="40" w:before="0" w:line="259" w:lineRule="auto"/>
            </w:pPr>
            <w:r>
              <w:rPr>
                <w:rFonts w:ascii="Calibri" w:hAnsi="Calibri"/>
                <w:b w:val="0"/>
                <w:i w:val="0"/>
                <w:color w:val="212121"/>
                <w:sz w:val="19"/>
              </w:rPr>
              <w:t>Patients with CSOM, especially attic/marginal (unsafe) disease</w:t>
            </w:r>
          </w:p>
        </w:tc>
        <w:tc>
          <w:tcPr>
            <w:tcW w:type="dxa" w:w="4276"/>
            <w:vAlign w:val="top"/>
          </w:tcPr>
          <w:p>
            <w:pPr>
              <w:spacing w:after="60" w:line="259" w:lineRule="auto"/>
            </w:pPr>
            <w:r>
              <w:rPr>
                <w:rFonts w:ascii="Calibri" w:hAnsi="Calibri"/>
                <w:b w:val="0"/>
                <w:i w:val="0"/>
                <w:color w:val="212121"/>
                <w:sz w:val="19"/>
              </w:rPr>
              <w:t>CSOM — particularly atticoantral disease with cholesteatoma — is the dominant cause of mastoiditis in India: keratinising squamous epithelium and granulation erode bone, sustain infection and lead to mastoid coalescence and abscess.</w:t>
            </w:r>
          </w:p>
          <w:p>
            <w:pPr>
              <w:spacing w:after="40" w:before="60" w:line="259" w:lineRule="auto"/>
            </w:pPr>
            <w:r>
              <w:rPr>
                <w:rFonts w:ascii="Calibri" w:hAnsi="Calibri"/>
                <w:b w:val="0"/>
                <w:i w:val="0"/>
                <w:color w:val="212121"/>
                <w:sz w:val="19"/>
              </w:rPr>
              <w:t>In an Indian complicated-CSOM series, subperiosteal (postauricular) abscess — a mastoid complication — was the commonest extracranial complication (~38.6%).</w:t>
            </w:r>
          </w:p>
          <w:p>
            <w:pPr>
              <w:spacing w:after="40" w:line="252" w:lineRule="auto"/>
            </w:pPr>
            <w:hyperlink r:id="rId17">
              <w:r>
                <w:rPr>
                  <w:rFonts w:ascii="Calibri" w:hAnsi="Calibri" w:cs="Calibri"/>
                  <w:sz w:val="18"/>
                  <w:color w:val="1155CC"/>
                  <w:u w:val="single"/>
                </w:rPr>
                <w:t xml:space="preserve">pubmed.ncbi.nlm.nih.gov/25513869 — complications of CSOM</w:t>
              </w:r>
            </w:hyperlink>
          </w:p>
          <w:p>
            <w:pPr>
              <w:spacing w:before="60" w:after="40"/>
            </w:pPr>
            <w:r>
              <w:rPr>
                <w:rFonts w:ascii="Calibri" w:hAnsi="Calibri"/>
                <w:b w:val="0"/>
                <w:i w:val="0"/>
                <w:color w:val="5A5A5A"/>
                <w:sz w:val="18"/>
              </w:rPr>
              <w:t>#CSOM  #cholesteatoma  #unsafedisease  #subperiostealabscess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 inadequately-treated acute otitis media</w:t>
            </w:r>
          </w:p>
        </w:tc>
        <w:tc>
          <w:tcPr>
            <w:tcW w:type="dxa" w:w="2160"/>
            <w:vAlign w:val="top"/>
          </w:tcPr>
          <w:p>
            <w:pPr>
              <w:spacing w:after="40" w:before="0" w:line="259" w:lineRule="auto"/>
            </w:pPr>
            <w:r>
              <w:rPr>
                <w:rFonts w:ascii="Calibri" w:hAnsi="Calibri"/>
                <w:b w:val="0"/>
                <w:i w:val="0"/>
                <w:color w:val="212121"/>
                <w:sz w:val="19"/>
              </w:rPr>
              <w:t>Children with recurrent AOM &amp; upper-respiratory infection</w:t>
            </w:r>
          </w:p>
        </w:tc>
        <w:tc>
          <w:tcPr>
            <w:tcW w:type="dxa" w:w="4276"/>
            <w:vAlign w:val="top"/>
          </w:tcPr>
          <w:p>
            <w:pPr>
              <w:spacing w:after="60" w:line="259" w:lineRule="auto"/>
            </w:pPr>
            <w:r>
              <w:rPr>
                <w:rFonts w:ascii="Calibri" w:hAnsi="Calibri"/>
                <w:b w:val="0"/>
                <w:i w:val="0"/>
                <w:color w:val="212121"/>
                <w:sz w:val="19"/>
              </w:rPr>
              <w:t>AOM is the direct antecedent of acute mastoiditis; recurrent or partially-treated episodes repeatedly seed the mastoid and can produce a smouldering “masked” mastoiditis.</w:t>
            </w:r>
          </w:p>
          <w:p>
            <w:pPr>
              <w:spacing w:after="40" w:before="60" w:line="259" w:lineRule="auto"/>
            </w:pPr>
            <w:r>
              <w:rPr>
                <w:rFonts w:ascii="Calibri" w:hAnsi="Calibri"/>
                <w:b w:val="0"/>
                <w:i w:val="0"/>
                <w:color w:val="212121"/>
                <w:sz w:val="19"/>
              </w:rPr>
              <w:t>Recurrent respiratory-tract infection was present in 9.3% of children and was an independent predictor of chronic ear disease in a Karnataka school survey.</w:t>
            </w:r>
          </w:p>
          <w:p>
            <w:pPr>
              <w:spacing w:after="40" w:line="252" w:lineRule="auto"/>
            </w:pPr>
            <w:hyperlink r:id="rId15">
              <w:r>
                <w:rPr>
                  <w:rFonts w:ascii="Calibri" w:hAnsi="Calibri" w:cs="Calibri"/>
                  <w:sz w:val="18"/>
                  <w:color w:val="1155CC"/>
                  <w:u w:val="single"/>
                </w:rPr>
                <w:t xml:space="preserve">pubmed.ncbi.nlm.nih.gov/31750215 — predictors of CSOM</w:t>
              </w:r>
            </w:hyperlink>
          </w:p>
          <w:p>
            <w:pPr>
              <w:spacing w:before="60" w:after="40"/>
            </w:pPr>
            <w:r>
              <w:rPr>
                <w:rFonts w:ascii="Calibri" w:hAnsi="Calibri"/>
                <w:b w:val="0"/>
                <w:i w:val="0"/>
                <w:color w:val="5A5A5A"/>
                <w:sz w:val="18"/>
              </w:rPr>
              <w:t>#AOM  #recurrentURTI  #maskedmastoiditis  #children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 immunocompromise</w:t>
            </w:r>
          </w:p>
        </w:tc>
        <w:tc>
          <w:tcPr>
            <w:tcW w:type="dxa" w:w="2160"/>
            <w:vAlign w:val="top"/>
          </w:tcPr>
          <w:p>
            <w:pPr>
              <w:spacing w:after="40" w:before="0" w:line="259" w:lineRule="auto"/>
            </w:pPr>
            <w:r>
              <w:rPr>
                <w:rFonts w:ascii="Calibri" w:hAnsi="Calibri"/>
                <w:b w:val="0"/>
                <w:i w:val="0"/>
                <w:color w:val="212121"/>
                <w:sz w:val="19"/>
              </w:rPr>
              <w:t>Diabetics, HIV, immunosuppressed</w:t>
            </w:r>
          </w:p>
        </w:tc>
        <w:tc>
          <w:tcPr>
            <w:tcW w:type="dxa" w:w="4276"/>
            <w:vAlign w:val="top"/>
          </w:tcPr>
          <w:p>
            <w:pPr>
              <w:spacing w:after="60" w:line="259" w:lineRule="auto"/>
            </w:pPr>
            <w:r>
              <w:rPr>
                <w:rFonts w:ascii="Calibri" w:hAnsi="Calibri"/>
                <w:b w:val="0"/>
                <w:i w:val="0"/>
                <w:color w:val="212121"/>
                <w:sz w:val="19"/>
              </w:rPr>
              <w:t>Impaired immunity and microangiopathy predispose to severe, resistant or atypical mastoid infection (including skull-base osteomyelitis / necrotising otitis) with poorer healing and a higher complication rate.</w:t>
            </w:r>
          </w:p>
          <w:p>
            <w:pPr>
              <w:spacing w:after="40" w:before="60" w:line="259" w:lineRule="auto"/>
            </w:pPr>
            <w:r>
              <w:rPr>
                <w:rFonts w:ascii="Calibri" w:hAnsi="Calibri"/>
                <w:b w:val="0"/>
                <w:i w:val="0"/>
                <w:color w:val="212121"/>
                <w:sz w:val="19"/>
              </w:rPr>
              <w:t>Diabetes and immunocompromise are recognised in clinical practice as risk factors for severe, treatment-refractory ear and mastoid infection (general clinical statement).</w:t>
            </w:r>
          </w:p>
          <w:p>
            <w:pPr>
              <w:spacing w:before="60" w:after="40"/>
            </w:pPr>
            <w:r>
              <w:rPr>
                <w:rFonts w:ascii="Calibri" w:hAnsi="Calibri"/>
                <w:b w:val="0"/>
                <w:i w:val="0"/>
                <w:color w:val="5A5A5A"/>
                <w:sz w:val="18"/>
              </w:rPr>
              <w:t>#diabetes  #immunocompromise  #necrotisingotitis  #skullbase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causal role in mastoiditis; any benefit is indirect, through general health and immunity. Swimming/diving is a specific provoking exposure for water entry through a perforation into a discharging ear.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Under-nutrition and micronutrient deficiency (vitamin A, zinc, iron) and short breastfeeding impair mucosal immunity and raise otitis-media risk (short breastfeeding OR ~1.47); adequate nutrition and ≥6 months of breastfeeding are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little direct causal role, though otalgia, fever and postauricular pain markedly disturb sleep during acute mastoiditis, and hearing loss can impair rest.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 smoke and household biomass smoke irritate the middle-ear/Eustachian-tube mucosa and increase otitis-media risk (tobacco OR ~1.51; wood-smoke OR ~1.85), the precursor infection that spreads to the mastoid.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association with mastoiditis; heavy alcohol use may impair immunity and delay care, particularly where diabetes or immunocompromise coexists.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Mainly a consequence rather than a cause: mastoiditis-related hearing loss, surgery and disability can affect mood, communication and schooling in children.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Entry of contaminated water through a perforation is a leading provoking factor for reactivation of discharge (Pseudomonas-rich) that underlies mastoid infection; strict dry-ear precautions are central to control.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between caffeine intake and mastoiditis; not a relevant risk or protective factor.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Poor aural and general hygiene, unsafe ear-cleaning and untreated nasal/throat infection promote and reactivate the middle-ear infection that spreads to the mastoid; keeping the ear clean and dry is a cornerstone of prevention.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Untreated or inadequately-treated acute otitis media, upper-respiratory infections, water entry and ear trauma trigger and sustain the middle-ear infection; incomplete antibiotic courses can ‘mask’ a smouldering mastoiditis.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Feeding an infant supine (lying flat) or bottle-propping refluxes milk toward the Eustachian tube and predisposes to otitis media; upright feeding is advised. Otherwise posture has little role.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Duration/course of acute-otitis-media symptoms</w:t>
            </w:r>
          </w:p>
        </w:tc>
        <w:tc>
          <w:tcPr>
            <w:tcW w:type="dxa" w:w="1655"/>
            <w:vAlign w:val="top"/>
          </w:tcPr>
          <w:p>
            <w:pPr>
              <w:spacing w:after="40" w:before="0" w:line="259" w:lineRule="auto"/>
            </w:pPr>
            <w:r>
              <w:rPr>
                <w:rFonts w:ascii="Calibri" w:hAnsi="Calibri"/>
                <w:b w:val="0"/>
                <w:i w:val="0"/>
                <w:color w:val="212121"/>
                <w:sz w:val="19"/>
              </w:rPr>
              <w:t>Children with AOM</w:t>
            </w:r>
          </w:p>
        </w:tc>
        <w:tc>
          <w:tcPr>
            <w:tcW w:type="dxa" w:w="1512"/>
            <w:vAlign w:val="top"/>
          </w:tcPr>
          <w:p>
            <w:pPr>
              <w:spacing w:after="40" w:before="0" w:line="259" w:lineRule="auto"/>
            </w:pPr>
            <w:r>
              <w:rPr>
                <w:rFonts w:ascii="Calibri" w:hAnsi="Calibri"/>
                <w:b w:val="0"/>
                <w:i w:val="0"/>
                <w:color w:val="212121"/>
                <w:sz w:val="19"/>
              </w:rPr>
              <w:t>Resolves within ~7–10 days on treatment</w:t>
            </w:r>
          </w:p>
        </w:tc>
        <w:tc>
          <w:tcPr>
            <w:tcW w:type="dxa" w:w="1512"/>
            <w:vAlign w:val="top"/>
          </w:tcPr>
          <w:p>
            <w:pPr>
              <w:spacing w:after="40" w:before="0" w:line="259" w:lineRule="auto"/>
            </w:pPr>
            <w:r>
              <w:rPr>
                <w:rFonts w:ascii="Calibri" w:hAnsi="Calibri"/>
                <w:b w:val="0"/>
                <w:i w:val="0"/>
                <w:color w:val="212121"/>
                <w:sz w:val="19"/>
              </w:rPr>
              <w:t>Ear symptoms persist, worsen or recur &gt; 10–14 days (suspect mastoiditis)</w:t>
            </w:r>
          </w:p>
        </w:tc>
        <w:tc>
          <w:tcPr>
            <w:tcW w:type="dxa" w:w="1468"/>
            <w:vAlign w:val="top"/>
          </w:tcPr>
          <w:p>
            <w:pPr>
              <w:spacing w:after="60" w:line="259" w:lineRule="auto"/>
            </w:pPr>
            <w:r>
              <w:rPr>
                <w:rFonts w:ascii="Calibri" w:hAnsi="Calibri"/>
                <w:b w:val="0"/>
                <w:i w:val="0"/>
                <w:color w:val="212121"/>
                <w:sz w:val="19"/>
              </w:rPr>
              <w:t>Persistent AOM beyond the expected course is the key clinical trigger</w:t>
            </w:r>
          </w:p>
          <w:p>
            <w:pPr>
              <w:spacing w:after="40" w:line="252" w:lineRule="auto"/>
            </w:pPr>
            <w:hyperlink r:id="rId9">
              <w:r>
                <w:rPr>
                  <w:rFonts w:ascii="Calibri" w:hAnsi="Calibri" w:cs="Calibri"/>
                  <w:sz w:val="18"/>
                  <w:color w:val="1155CC"/>
                  <w:u w:val="single"/>
                </w:rPr>
                <w:t xml:space="preserve">https://www.ncbi.nlm.nih.gov/books/NBK560877/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Postauricular findings (tenderness, swelling, protruding pinna)</w:t>
            </w:r>
          </w:p>
        </w:tc>
        <w:tc>
          <w:tcPr>
            <w:tcW w:type="dxa" w:w="1655"/>
            <w:vAlign w:val="top"/>
          </w:tcPr>
          <w:p>
            <w:pPr>
              <w:spacing w:after="40" w:before="0" w:line="259" w:lineRule="auto"/>
            </w:pPr>
            <w:r>
              <w:rPr>
                <w:rFonts w:ascii="Calibri" w:hAnsi="Calibri"/>
                <w:b w:val="0"/>
                <w:i w:val="0"/>
                <w:color w:val="212121"/>
                <w:sz w:val="19"/>
              </w:rPr>
              <w:t>Suspected mastoiditis</w:t>
            </w:r>
          </w:p>
        </w:tc>
        <w:tc>
          <w:tcPr>
            <w:tcW w:type="dxa" w:w="1512"/>
            <w:vAlign w:val="top"/>
          </w:tcPr>
          <w:p>
            <w:pPr>
              <w:spacing w:after="40" w:before="0" w:line="259" w:lineRule="auto"/>
            </w:pPr>
            <w:r>
              <w:rPr>
                <w:rFonts w:ascii="Calibri" w:hAnsi="Calibri"/>
                <w:b w:val="0"/>
                <w:i w:val="0"/>
                <w:color w:val="212121"/>
                <w:sz w:val="19"/>
              </w:rPr>
              <w:t>Absent; normal postauricular sulcus</w:t>
            </w:r>
          </w:p>
        </w:tc>
        <w:tc>
          <w:tcPr>
            <w:tcW w:type="dxa" w:w="1512"/>
            <w:vAlign w:val="top"/>
          </w:tcPr>
          <w:p>
            <w:pPr>
              <w:spacing w:after="40" w:before="0" w:line="259" w:lineRule="auto"/>
            </w:pPr>
            <w:r>
              <w:rPr>
                <w:rFonts w:ascii="Calibri" w:hAnsi="Calibri"/>
                <w:b w:val="0"/>
                <w:i w:val="0"/>
                <w:color w:val="212121"/>
                <w:sz w:val="19"/>
              </w:rPr>
              <w:t>Erythema, tenderness, fluctuant swelling; pinna pushed forward/down/out</w:t>
            </w:r>
          </w:p>
        </w:tc>
        <w:tc>
          <w:tcPr>
            <w:tcW w:type="dxa" w:w="1468"/>
            <w:vAlign w:val="top"/>
          </w:tcPr>
          <w:p>
            <w:pPr>
              <w:spacing w:after="60" w:line="259" w:lineRule="auto"/>
            </w:pPr>
            <w:r>
              <w:rPr>
                <w:rFonts w:ascii="Calibri" w:hAnsi="Calibri"/>
                <w:b w:val="0"/>
                <w:i w:val="0"/>
                <w:color w:val="212121"/>
                <w:sz w:val="19"/>
              </w:rPr>
              <w:t>Cardinal clinical sign of mastoid involvement</w:t>
            </w:r>
          </w:p>
          <w:p>
            <w:pPr>
              <w:spacing w:after="40" w:line="252" w:lineRule="auto"/>
            </w:pPr>
            <w:hyperlink r:id="rId18">
              <w:r>
                <w:rPr>
                  <w:rFonts w:ascii="Calibri" w:hAnsi="Calibri" w:cs="Calibri"/>
                  <w:sz w:val="18"/>
                  <w:color w:val="1155CC"/>
                  <w:u w:val="single"/>
                </w:rPr>
                <w:t xml:space="preserve">https://www.msdmanuals.com/professional/ear-nose-and-throat-disorders/middle-ear-and-tympanic-membrane-disorders/mastoiditis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Inflammatory markers (WBC, ESR, CRP)</w:t>
            </w:r>
          </w:p>
        </w:tc>
        <w:tc>
          <w:tcPr>
            <w:tcW w:type="dxa" w:w="1655"/>
            <w:vAlign w:val="top"/>
          </w:tcPr>
          <w:p>
            <w:pPr>
              <w:spacing w:after="40" w:before="0" w:line="259" w:lineRule="auto"/>
            </w:pPr>
            <w:r>
              <w:rPr>
                <w:rFonts w:ascii="Calibri" w:hAnsi="Calibri"/>
                <w:b w:val="0"/>
                <w:i w:val="0"/>
                <w:color w:val="212121"/>
                <w:sz w:val="19"/>
              </w:rPr>
              <w:t>Acute mastoiditis</w:t>
            </w:r>
          </w:p>
        </w:tc>
        <w:tc>
          <w:tcPr>
            <w:tcW w:type="dxa" w:w="1512"/>
            <w:vAlign w:val="top"/>
          </w:tcPr>
          <w:p>
            <w:pPr>
              <w:spacing w:after="40" w:before="0" w:line="259" w:lineRule="auto"/>
            </w:pPr>
            <w:r>
              <w:rPr>
                <w:rFonts w:ascii="Calibri" w:hAnsi="Calibri"/>
                <w:b w:val="0"/>
                <w:i w:val="0"/>
                <w:color w:val="212121"/>
                <w:sz w:val="19"/>
              </w:rPr>
              <w:t>Normal counts and markers</w:t>
            </w:r>
          </w:p>
        </w:tc>
        <w:tc>
          <w:tcPr>
            <w:tcW w:type="dxa" w:w="1512"/>
            <w:vAlign w:val="top"/>
          </w:tcPr>
          <w:p>
            <w:pPr>
              <w:spacing w:after="40" w:before="0" w:line="259" w:lineRule="auto"/>
            </w:pPr>
            <w:r>
              <w:rPr>
                <w:rFonts w:ascii="Calibri" w:hAnsi="Calibri"/>
                <w:b w:val="0"/>
                <w:i w:val="0"/>
                <w:color w:val="212121"/>
                <w:sz w:val="19"/>
              </w:rPr>
              <w:t>Leucocytosis with neutrophilia; raised ESR/CRP</w:t>
            </w:r>
          </w:p>
        </w:tc>
        <w:tc>
          <w:tcPr>
            <w:tcW w:type="dxa" w:w="1468"/>
            <w:vAlign w:val="top"/>
          </w:tcPr>
          <w:p>
            <w:pPr>
              <w:spacing w:after="60" w:line="259" w:lineRule="auto"/>
            </w:pPr>
            <w:r>
              <w:rPr>
                <w:rFonts w:ascii="Calibri" w:hAnsi="Calibri"/>
                <w:b w:val="0"/>
                <w:i w:val="0"/>
                <w:color w:val="212121"/>
                <w:sz w:val="19"/>
              </w:rPr>
              <w:t>Support diagnosis and flag a developing complication</w:t>
            </w:r>
          </w:p>
          <w:p>
            <w:pPr>
              <w:spacing w:after="40" w:line="252" w:lineRule="auto"/>
            </w:pPr>
            <w:hyperlink r:id="rId9">
              <w:r>
                <w:rPr>
                  <w:rFonts w:ascii="Calibri" w:hAnsi="Calibri" w:cs="Calibri"/>
                  <w:sz w:val="18"/>
                  <w:color w:val="1155CC"/>
                  <w:u w:val="single"/>
                </w:rPr>
                <w:t xml:space="preserve">https://www.ncbi.nlm.nih.gov/books/NBK560877/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HRCT mastoid pneumatisation/coalescence</w:t>
            </w:r>
          </w:p>
        </w:tc>
        <w:tc>
          <w:tcPr>
            <w:tcW w:type="dxa" w:w="1655"/>
            <w:vAlign w:val="top"/>
          </w:tcPr>
          <w:p>
            <w:pPr>
              <w:spacing w:after="40" w:before="0" w:line="259" w:lineRule="auto"/>
            </w:pPr>
            <w:r>
              <w:rPr>
                <w:rFonts w:ascii="Calibri" w:hAnsi="Calibri"/>
                <w:b w:val="0"/>
                <w:i w:val="0"/>
                <w:color w:val="212121"/>
                <w:sz w:val="19"/>
              </w:rPr>
              <w:t>Suspected/complicated mastoiditis</w:t>
            </w:r>
          </w:p>
        </w:tc>
        <w:tc>
          <w:tcPr>
            <w:tcW w:type="dxa" w:w="1512"/>
            <w:vAlign w:val="top"/>
          </w:tcPr>
          <w:p>
            <w:pPr>
              <w:spacing w:after="40" w:before="0" w:line="259" w:lineRule="auto"/>
            </w:pPr>
            <w:r>
              <w:rPr>
                <w:rFonts w:ascii="Calibri" w:hAnsi="Calibri"/>
                <w:b w:val="0"/>
                <w:i w:val="0"/>
                <w:color w:val="212121"/>
                <w:sz w:val="19"/>
              </w:rPr>
              <w:t>Well-pneumatised, aerated mastoid; intact septa</w:t>
            </w:r>
          </w:p>
        </w:tc>
        <w:tc>
          <w:tcPr>
            <w:tcW w:type="dxa" w:w="1512"/>
            <w:vAlign w:val="top"/>
          </w:tcPr>
          <w:p>
            <w:pPr>
              <w:spacing w:after="40" w:before="0" w:line="259" w:lineRule="auto"/>
            </w:pPr>
            <w:r>
              <w:rPr>
                <w:rFonts w:ascii="Calibri" w:hAnsi="Calibri"/>
                <w:b w:val="0"/>
                <w:i w:val="0"/>
                <w:color w:val="212121"/>
                <w:sz w:val="19"/>
              </w:rPr>
              <w:t>Opacified air cells, septal erosion (coalescence), cortical/sigmoid-plate erosion</w:t>
            </w:r>
          </w:p>
        </w:tc>
        <w:tc>
          <w:tcPr>
            <w:tcW w:type="dxa" w:w="1468"/>
            <w:vAlign w:val="top"/>
          </w:tcPr>
          <w:p>
            <w:pPr>
              <w:spacing w:after="60" w:line="259" w:lineRule="auto"/>
            </w:pPr>
            <w:r>
              <w:rPr>
                <w:rFonts w:ascii="Calibri" w:hAnsi="Calibri"/>
                <w:b w:val="0"/>
                <w:i w:val="0"/>
                <w:color w:val="212121"/>
                <w:sz w:val="19"/>
              </w:rPr>
              <w:t>CT is the imaging test of choice</w:t>
            </w:r>
          </w:p>
          <w:p>
            <w:pPr>
              <w:spacing w:after="40" w:line="252" w:lineRule="auto"/>
            </w:pPr>
            <w:hyperlink r:id="rId18">
              <w:r>
                <w:rPr>
                  <w:rFonts w:ascii="Calibri" w:hAnsi="Calibri" w:cs="Calibri"/>
                  <w:sz w:val="18"/>
                  <w:color w:val="1155CC"/>
                  <w:u w:val="single"/>
                </w:rPr>
                <w:t xml:space="preserve">https://www.msdmanuals.com/professional/ear-nose-and-throat-disorders/middle-ear-and-tympanic-membrane-disorders/mastoiditis</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Dry-ear precaution during bathing/swimming</w:t>
            </w:r>
          </w:p>
        </w:tc>
        <w:tc>
          <w:tcPr>
            <w:tcW w:type="dxa" w:w="1655"/>
            <w:vAlign w:val="top"/>
          </w:tcPr>
          <w:p>
            <w:pPr>
              <w:spacing w:after="40" w:before="0" w:line="259" w:lineRule="auto"/>
            </w:pPr>
            <w:r>
              <w:rPr>
                <w:rFonts w:ascii="Calibri" w:hAnsi="Calibri"/>
                <w:b w:val="0"/>
                <w:i w:val="0"/>
                <w:color w:val="212121"/>
                <w:sz w:val="19"/>
              </w:rPr>
              <w:t>Patients with a perforated/discharging ear</w:t>
            </w:r>
          </w:p>
        </w:tc>
        <w:tc>
          <w:tcPr>
            <w:tcW w:type="dxa" w:w="1512"/>
            <w:vAlign w:val="top"/>
          </w:tcPr>
          <w:p>
            <w:pPr>
              <w:spacing w:after="40" w:before="0" w:line="259" w:lineRule="auto"/>
            </w:pPr>
            <w:r>
              <w:rPr>
                <w:rFonts w:ascii="Calibri" w:hAnsi="Calibri"/>
                <w:b w:val="0"/>
                <w:i w:val="0"/>
                <w:color w:val="212121"/>
                <w:sz w:val="19"/>
              </w:rPr>
              <w:t>Ear kept dry (cotton with petroleum jelly / ear-plug; no swimming while discharging)</w:t>
            </w:r>
          </w:p>
        </w:tc>
        <w:tc>
          <w:tcPr>
            <w:tcW w:type="dxa" w:w="1512"/>
            <w:vAlign w:val="top"/>
          </w:tcPr>
          <w:p>
            <w:pPr>
              <w:spacing w:after="40" w:before="0" w:line="259" w:lineRule="auto"/>
            </w:pPr>
            <w:r>
              <w:rPr>
                <w:rFonts w:ascii="Calibri" w:hAnsi="Calibri"/>
                <w:b w:val="0"/>
                <w:i w:val="0"/>
                <w:color w:val="212121"/>
                <w:sz w:val="19"/>
              </w:rPr>
              <w:t>Water entry through perforation; unprotected swimming/diving</w:t>
            </w:r>
          </w:p>
        </w:tc>
        <w:tc>
          <w:tcPr>
            <w:tcW w:type="dxa" w:w="1468"/>
            <w:vAlign w:val="top"/>
          </w:tcPr>
          <w:p>
            <w:pPr>
              <w:spacing w:after="60" w:line="259" w:lineRule="auto"/>
            </w:pPr>
            <w:r>
              <w:rPr>
                <w:rFonts w:ascii="Calibri" w:hAnsi="Calibri"/>
                <w:b w:val="0"/>
                <w:i w:val="0"/>
                <w:color w:val="212121"/>
                <w:sz w:val="19"/>
              </w:rPr>
              <w:t>Water entry reactivates discharge, classically with Pseudomonas</w:t>
            </w:r>
          </w:p>
          <w:p>
            <w:pPr>
              <w:spacing w:after="40" w:line="252" w:lineRule="auto"/>
            </w:pPr>
            <w:hyperlink r:id="rId14">
              <w:r>
                <w:rPr>
                  <w:rFonts w:ascii="Calibri" w:hAnsi="Calibri" w:cs="Calibri"/>
                  <w:sz w:val="18"/>
                  <w:color w:val="1155CC"/>
                  <w:u w:val="single"/>
                </w:rPr>
                <w:t xml:space="preserve">https://pubmed.ncbi.nlm.nih.gov/23120410/</w:t>
              </w:r>
            </w:hyperlink>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tobacco-smoke exposure</w:t>
            </w:r>
          </w:p>
        </w:tc>
        <w:tc>
          <w:tcPr>
            <w:tcW w:type="dxa" w:w="1655"/>
            <w:vAlign w:val="top"/>
          </w:tcPr>
          <w:p>
            <w:pPr>
              <w:spacing w:after="40" w:before="0" w:line="259" w:lineRule="auto"/>
            </w:pPr>
            <w:r>
              <w:rPr>
                <w:rFonts w:ascii="Calibri" w:hAnsi="Calibri"/>
                <w:b w:val="0"/>
                <w:i w:val="0"/>
                <w:color w:val="212121"/>
                <w:sz w:val="19"/>
              </w:rPr>
              <w:t>Children &amp; adults</w:t>
            </w:r>
          </w:p>
        </w:tc>
        <w:tc>
          <w:tcPr>
            <w:tcW w:type="dxa" w:w="1512"/>
            <w:vAlign w:val="top"/>
          </w:tcPr>
          <w:p>
            <w:pPr>
              <w:spacing w:after="40" w:before="0" w:line="259" w:lineRule="auto"/>
            </w:pPr>
            <w:r>
              <w:rPr>
                <w:rFonts w:ascii="Calibri" w:hAnsi="Calibri"/>
                <w:b w:val="0"/>
                <w:i w:val="0"/>
                <w:color w:val="212121"/>
                <w:sz w:val="19"/>
              </w:rPr>
              <w:t>Zero (smoke-free home)</w:t>
            </w:r>
          </w:p>
        </w:tc>
        <w:tc>
          <w:tcPr>
            <w:tcW w:type="dxa" w:w="1512"/>
            <w:vAlign w:val="top"/>
          </w:tcPr>
          <w:p>
            <w:pPr>
              <w:spacing w:after="40" w:before="0" w:line="259" w:lineRule="auto"/>
            </w:pPr>
            <w:r>
              <w:rPr>
                <w:rFonts w:ascii="Calibri" w:hAnsi="Calibri"/>
                <w:b w:val="0"/>
                <w:i w:val="0"/>
                <w:color w:val="212121"/>
                <w:sz w:val="19"/>
              </w:rPr>
              <w:t>Any household smoker / passive exposure</w:t>
            </w:r>
          </w:p>
        </w:tc>
        <w:tc>
          <w:tcPr>
            <w:tcW w:type="dxa" w:w="1468"/>
            <w:vAlign w:val="top"/>
          </w:tcPr>
          <w:p>
            <w:pPr>
              <w:spacing w:after="60" w:line="259" w:lineRule="auto"/>
            </w:pPr>
            <w:r>
              <w:rPr>
                <w:rFonts w:ascii="Calibri" w:hAnsi="Calibri"/>
                <w:b w:val="0"/>
                <w:i w:val="0"/>
                <w:color w:val="212121"/>
                <w:sz w:val="19"/>
              </w:rPr>
              <w:t>Passive smoke raises otitis-media risk (OR ~1.51)</w:t>
            </w:r>
          </w:p>
          <w:p>
            <w:pPr>
              <w:spacing w:after="40" w:line="252" w:lineRule="auto"/>
            </w:pPr>
            <w:hyperlink r:id="rId16">
              <w:r>
                <w:rPr>
                  <w:rFonts w:ascii="Calibri" w:hAnsi="Calibri" w:cs="Calibri"/>
                  <w:sz w:val="18"/>
                  <w:color w:val="1155CC"/>
                  <w:u w:val="single"/>
                </w:rPr>
                <w:t xml:space="preserve">https://pubmed.ncbi.nlm.nih.gov/15105407/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Indoor biomass (solid-fuel) cooking smoke</w:t>
            </w:r>
          </w:p>
        </w:tc>
        <w:tc>
          <w:tcPr>
            <w:tcW w:type="dxa" w:w="1655"/>
            <w:vAlign w:val="top"/>
          </w:tcPr>
          <w:p>
            <w:pPr>
              <w:spacing w:after="40" w:before="0" w:line="259" w:lineRule="auto"/>
            </w:pPr>
            <w:r>
              <w:rPr>
                <w:rFonts w:ascii="Calibri" w:hAnsi="Calibri"/>
                <w:b w:val="0"/>
                <w:i w:val="0"/>
                <w:color w:val="212121"/>
                <w:sz w:val="19"/>
              </w:rPr>
              <w:t>Rural/low-income households</w:t>
            </w:r>
          </w:p>
        </w:tc>
        <w:tc>
          <w:tcPr>
            <w:tcW w:type="dxa" w:w="1512"/>
            <w:vAlign w:val="top"/>
          </w:tcPr>
          <w:p>
            <w:pPr>
              <w:spacing w:after="40" w:before="0" w:line="259" w:lineRule="auto"/>
            </w:pPr>
            <w:r>
              <w:rPr>
                <w:rFonts w:ascii="Calibri" w:hAnsi="Calibri"/>
                <w:b w:val="0"/>
                <w:i w:val="0"/>
                <w:color w:val="212121"/>
                <w:sz w:val="19"/>
              </w:rPr>
              <w:t>Clean fuel / chimney stove / ventilated kitchen</w:t>
            </w:r>
          </w:p>
        </w:tc>
        <w:tc>
          <w:tcPr>
            <w:tcW w:type="dxa" w:w="1512"/>
            <w:vAlign w:val="top"/>
          </w:tcPr>
          <w:p>
            <w:pPr>
              <w:spacing w:after="40" w:before="0" w:line="259" w:lineRule="auto"/>
            </w:pPr>
            <w:r>
              <w:rPr>
                <w:rFonts w:ascii="Calibri" w:hAnsi="Calibri"/>
                <w:b w:val="0"/>
                <w:i w:val="0"/>
                <w:color w:val="212121"/>
                <w:sz w:val="19"/>
              </w:rPr>
              <w:t>Unvented wood or charcoal cooking smoke</w:t>
            </w:r>
          </w:p>
        </w:tc>
        <w:tc>
          <w:tcPr>
            <w:tcW w:type="dxa" w:w="1468"/>
            <w:vAlign w:val="top"/>
          </w:tcPr>
          <w:p>
            <w:pPr>
              <w:spacing w:after="60" w:line="259" w:lineRule="auto"/>
            </w:pPr>
            <w:r>
              <w:rPr>
                <w:rFonts w:ascii="Calibri" w:hAnsi="Calibri"/>
                <w:b w:val="0"/>
                <w:i w:val="0"/>
                <w:color w:val="212121"/>
                <w:sz w:val="19"/>
              </w:rPr>
              <w:t>Wood-smoke OR ~1.85, charcoal ~1.50 for otitis media</w:t>
            </w:r>
          </w:p>
          <w:p>
            <w:pPr>
              <w:spacing w:after="40" w:line="252" w:lineRule="auto"/>
            </w:pPr>
            <w:hyperlink r:id="rId16">
              <w:r>
                <w:rPr>
                  <w:rFonts w:ascii="Calibri" w:hAnsi="Calibri" w:cs="Calibri"/>
                  <w:sz w:val="18"/>
                  <w:color w:val="1155CC"/>
                  <w:u w:val="single"/>
                </w:rPr>
                <w:t xml:space="preserve">https://pubmed.ncbi.nlm.nih.gov/15105407/</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Ear-cleaning practice</w:t>
            </w:r>
          </w:p>
        </w:tc>
        <w:tc>
          <w:tcPr>
            <w:tcW w:type="dxa" w:w="1655"/>
            <w:vAlign w:val="top"/>
          </w:tcPr>
          <w:p>
            <w:pPr>
              <w:spacing w:after="40" w:before="0" w:line="259" w:lineRule="auto"/>
            </w:pPr>
            <w:r>
              <w:rPr>
                <w:rFonts w:ascii="Calibri" w:hAnsi="Calibri"/>
                <w:b w:val="0"/>
                <w:i w:val="0"/>
                <w:color w:val="212121"/>
                <w:sz w:val="19"/>
              </w:rPr>
              <w:t>Children &amp; adults</w:t>
            </w:r>
          </w:p>
        </w:tc>
        <w:tc>
          <w:tcPr>
            <w:tcW w:type="dxa" w:w="1512"/>
            <w:vAlign w:val="top"/>
          </w:tcPr>
          <w:p>
            <w:pPr>
              <w:spacing w:after="40" w:before="0" w:line="259" w:lineRule="auto"/>
            </w:pPr>
            <w:r>
              <w:rPr>
                <w:rFonts w:ascii="Calibri" w:hAnsi="Calibri"/>
                <w:b w:val="0"/>
                <w:i w:val="0"/>
                <w:color w:val="212121"/>
                <w:sz w:val="19"/>
              </w:rPr>
              <w:t>No insertion of buds/hairpins/oils; clinician-led cleaning</w:t>
            </w:r>
          </w:p>
        </w:tc>
        <w:tc>
          <w:tcPr>
            <w:tcW w:type="dxa" w:w="1512"/>
            <w:vAlign w:val="top"/>
          </w:tcPr>
          <w:p>
            <w:pPr>
              <w:spacing w:after="40" w:before="0" w:line="259" w:lineRule="auto"/>
            </w:pPr>
            <w:r>
              <w:rPr>
                <w:rFonts w:ascii="Calibri" w:hAnsi="Calibri"/>
                <w:b w:val="0"/>
                <w:i w:val="0"/>
                <w:color w:val="212121"/>
                <w:sz w:val="19"/>
              </w:rPr>
              <w:t>Self-instrumentation or traditional drops</w:t>
            </w:r>
          </w:p>
        </w:tc>
        <w:tc>
          <w:tcPr>
            <w:tcW w:type="dxa" w:w="1468"/>
            <w:vAlign w:val="top"/>
          </w:tcPr>
          <w:p>
            <w:pPr>
              <w:spacing w:after="60" w:line="259" w:lineRule="auto"/>
            </w:pPr>
            <w:r>
              <w:rPr>
                <w:rFonts w:ascii="Calibri" w:hAnsi="Calibri"/>
                <w:b w:val="0"/>
                <w:i w:val="0"/>
                <w:color w:val="212121"/>
                <w:sz w:val="19"/>
              </w:rPr>
              <w:t>Ear-cleaning history is an independent predictor of chronic ear disease (7.4%)</w:t>
            </w:r>
          </w:p>
          <w:p>
            <w:pPr>
              <w:spacing w:after="40" w:line="252" w:lineRule="auto"/>
            </w:pPr>
            <w:hyperlink r:id="rId15">
              <w:r>
                <w:rPr>
                  <w:rFonts w:ascii="Calibri" w:hAnsi="Calibri" w:cs="Calibri"/>
                  <w:sz w:val="18"/>
                  <w:color w:val="1155CC"/>
                  <w:u w:val="single"/>
                </w:rPr>
                <w:t xml:space="preserve">https://pubmed.ncbi.nlm.nih.gov/31750215/</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Exclusive breastfeeding duration</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 6 months exclusive</w:t>
            </w:r>
          </w:p>
        </w:tc>
        <w:tc>
          <w:tcPr>
            <w:tcW w:type="dxa" w:w="1512"/>
            <w:vAlign w:val="top"/>
          </w:tcPr>
          <w:p>
            <w:pPr>
              <w:spacing w:after="40" w:before="0" w:line="259" w:lineRule="auto"/>
            </w:pPr>
            <w:r>
              <w:rPr>
                <w:rFonts w:ascii="Calibri" w:hAnsi="Calibri"/>
                <w:b w:val="0"/>
                <w:i w:val="0"/>
                <w:color w:val="212121"/>
                <w:sz w:val="19"/>
              </w:rPr>
              <w:t>&lt; 4 months / not breastfed</w:t>
            </w:r>
          </w:p>
        </w:tc>
        <w:tc>
          <w:tcPr>
            <w:tcW w:type="dxa" w:w="1468"/>
            <w:vAlign w:val="top"/>
          </w:tcPr>
          <w:p>
            <w:pPr>
              <w:spacing w:after="60" w:line="259" w:lineRule="auto"/>
            </w:pPr>
            <w:r>
              <w:rPr>
                <w:rFonts w:ascii="Calibri" w:hAnsi="Calibri"/>
                <w:b w:val="0"/>
                <w:i w:val="0"/>
                <w:color w:val="212121"/>
                <w:sz w:val="19"/>
              </w:rPr>
              <w:t>Short breastfeeding OR ~1.47 for otitis media</w:t>
            </w:r>
          </w:p>
          <w:p>
            <w:pPr>
              <w:spacing w:after="40" w:line="252" w:lineRule="auto"/>
            </w:pPr>
            <w:hyperlink r:id="rId16">
              <w:r>
                <w:rPr>
                  <w:rFonts w:ascii="Calibri" w:hAnsi="Calibri" w:cs="Calibri"/>
                  <w:sz w:val="18"/>
                  <w:color w:val="1155CC"/>
                  <w:u w:val="single"/>
                </w:rPr>
                <w:t xml:space="preserve">https://pubmed.ncbi.nlm.nih.gov/15105407/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Nutritional status (weight/height-for-age)</w:t>
            </w:r>
          </w:p>
        </w:tc>
        <w:tc>
          <w:tcPr>
            <w:tcW w:type="dxa" w:w="1655"/>
            <w:vAlign w:val="top"/>
          </w:tcPr>
          <w:p>
            <w:pPr>
              <w:spacing w:after="40" w:before="0" w:line="259" w:lineRule="auto"/>
            </w:pPr>
            <w:r>
              <w:rPr>
                <w:rFonts w:ascii="Calibri" w:hAnsi="Calibri"/>
                <w:b w:val="0"/>
                <w:i w:val="0"/>
                <w:color w:val="212121"/>
                <w:sz w:val="19"/>
              </w:rPr>
              <w:t>Children</w:t>
            </w:r>
          </w:p>
        </w:tc>
        <w:tc>
          <w:tcPr>
            <w:tcW w:type="dxa" w:w="1512"/>
            <w:vAlign w:val="top"/>
          </w:tcPr>
          <w:p>
            <w:pPr>
              <w:spacing w:after="40" w:before="0" w:line="259" w:lineRule="auto"/>
            </w:pPr>
            <w:r>
              <w:rPr>
                <w:rFonts w:ascii="Calibri" w:hAnsi="Calibri"/>
                <w:b w:val="0"/>
                <w:i w:val="0"/>
                <w:color w:val="212121"/>
                <w:sz w:val="19"/>
              </w:rPr>
              <w:t>Normal for age (no stunting/wasting)</w:t>
            </w:r>
          </w:p>
        </w:tc>
        <w:tc>
          <w:tcPr>
            <w:tcW w:type="dxa" w:w="1512"/>
            <w:vAlign w:val="top"/>
          </w:tcPr>
          <w:p>
            <w:pPr>
              <w:spacing w:after="40" w:before="0" w:line="259" w:lineRule="auto"/>
            </w:pPr>
            <w:r>
              <w:rPr>
                <w:rFonts w:ascii="Calibri" w:hAnsi="Calibri"/>
                <w:b w:val="0"/>
                <w:i w:val="0"/>
                <w:color w:val="212121"/>
                <w:sz w:val="19"/>
              </w:rPr>
              <w:t>Underweight / stunted / micronutrient-deficient</w:t>
            </w:r>
          </w:p>
        </w:tc>
        <w:tc>
          <w:tcPr>
            <w:tcW w:type="dxa" w:w="1468"/>
            <w:vAlign w:val="top"/>
          </w:tcPr>
          <w:p>
            <w:pPr>
              <w:spacing w:after="60" w:line="259" w:lineRule="auto"/>
            </w:pPr>
            <w:r>
              <w:rPr>
                <w:rFonts w:ascii="Calibri" w:hAnsi="Calibri"/>
                <w:b w:val="0"/>
                <w:i w:val="0"/>
                <w:color w:val="212121"/>
                <w:sz w:val="19"/>
              </w:rPr>
              <w:t>Malnutrition impairs mucosal immunity and prolongs disease</w:t>
            </w:r>
          </w:p>
          <w:p>
            <w:pPr>
              <w:spacing w:after="40" w:line="252" w:lineRule="auto"/>
            </w:pPr>
            <w:hyperlink r:id="rId13">
              <w:r>
                <w:rPr>
                  <w:rFonts w:ascii="Calibri" w:hAnsi="Calibri" w:cs="Calibri"/>
                  <w:sz w:val="18"/>
                  <w:color w:val="1155CC"/>
                  <w:u w:val="single"/>
                </w:rPr>
                <w:t xml:space="preserve">https://pubmed.ncbi.nlm.nih.gov/36742467/</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Household overcrowding (persons per room)</w:t>
            </w:r>
          </w:p>
        </w:tc>
        <w:tc>
          <w:tcPr>
            <w:tcW w:type="dxa" w:w="1655"/>
            <w:vAlign w:val="top"/>
          </w:tcPr>
          <w:p>
            <w:pPr>
              <w:spacing w:after="40" w:before="0" w:line="259" w:lineRule="auto"/>
            </w:pPr>
            <w:r>
              <w:rPr>
                <w:rFonts w:ascii="Calibri" w:hAnsi="Calibri"/>
                <w:b w:val="0"/>
                <w:i w:val="0"/>
                <w:color w:val="212121"/>
                <w:sz w:val="19"/>
              </w:rPr>
              <w:t>Low-income households</w:t>
            </w:r>
          </w:p>
        </w:tc>
        <w:tc>
          <w:tcPr>
            <w:tcW w:type="dxa" w:w="1512"/>
            <w:vAlign w:val="top"/>
          </w:tcPr>
          <w:p>
            <w:pPr>
              <w:spacing w:after="40" w:before="0" w:line="259" w:lineRule="auto"/>
            </w:pPr>
            <w:r>
              <w:rPr>
                <w:rFonts w:ascii="Calibri" w:hAnsi="Calibri"/>
                <w:b w:val="0"/>
                <w:i w:val="0"/>
                <w:color w:val="212121"/>
                <w:sz w:val="19"/>
              </w:rPr>
              <w:t>&lt; 2 persons/room</w:t>
            </w:r>
          </w:p>
        </w:tc>
        <w:tc>
          <w:tcPr>
            <w:tcW w:type="dxa" w:w="1512"/>
            <w:vAlign w:val="top"/>
          </w:tcPr>
          <w:p>
            <w:pPr>
              <w:spacing w:after="40" w:before="0" w:line="259" w:lineRule="auto"/>
            </w:pPr>
            <w:r>
              <w:rPr>
                <w:rFonts w:ascii="Calibri" w:hAnsi="Calibri"/>
                <w:b w:val="0"/>
                <w:i w:val="0"/>
                <w:color w:val="212121"/>
                <w:sz w:val="19"/>
              </w:rPr>
              <w:t>≥ 3 persons/room (overcrowding)</w:t>
            </w:r>
          </w:p>
        </w:tc>
        <w:tc>
          <w:tcPr>
            <w:tcW w:type="dxa" w:w="1468"/>
            <w:vAlign w:val="top"/>
          </w:tcPr>
          <w:p>
            <w:pPr>
              <w:spacing w:after="60" w:line="259" w:lineRule="auto"/>
            </w:pPr>
            <w:r>
              <w:rPr>
                <w:rFonts w:ascii="Calibri" w:hAnsi="Calibri"/>
                <w:b w:val="0"/>
                <w:i w:val="0"/>
                <w:color w:val="212121"/>
                <w:sz w:val="19"/>
              </w:rPr>
              <w:t>Overcrowding in 61% of children with chronic ear disease; OR ~1.49</w:t>
            </w:r>
          </w:p>
          <w:p>
            <w:pPr>
              <w:spacing w:after="40" w:line="252" w:lineRule="auto"/>
            </w:pPr>
            <w:hyperlink r:id="rId15">
              <w:r>
                <w:rPr>
                  <w:rFonts w:ascii="Calibri" w:hAnsi="Calibri" w:cs="Calibri"/>
                  <w:sz w:val="18"/>
                  <w:color w:val="1155CC"/>
                  <w:u w:val="single"/>
                </w:rPr>
                <w:t xml:space="preserve">https://pubmed.ncbi.nlm.nih.gov/31750215/</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Pure-tone average / hearing threshold</w:t>
            </w:r>
          </w:p>
        </w:tc>
        <w:tc>
          <w:tcPr>
            <w:tcW w:type="dxa" w:w="1655"/>
            <w:vAlign w:val="top"/>
          </w:tcPr>
          <w:p>
            <w:pPr>
              <w:spacing w:after="40" w:before="0" w:line="259" w:lineRule="auto"/>
            </w:pPr>
            <w:r>
              <w:rPr>
                <w:rFonts w:ascii="Calibri" w:hAnsi="Calibri"/>
                <w:b w:val="0"/>
                <w:i w:val="0"/>
                <w:color w:val="212121"/>
                <w:sz w:val="19"/>
              </w:rPr>
              <w:t>Patients with ear disease</w:t>
            </w:r>
          </w:p>
        </w:tc>
        <w:tc>
          <w:tcPr>
            <w:tcW w:type="dxa" w:w="1512"/>
            <w:vAlign w:val="top"/>
          </w:tcPr>
          <w:p>
            <w:pPr>
              <w:spacing w:after="40" w:before="0" w:line="259" w:lineRule="auto"/>
            </w:pPr>
            <w:r>
              <w:rPr>
                <w:rFonts w:ascii="Calibri" w:hAnsi="Calibri"/>
                <w:b w:val="0"/>
                <w:i w:val="0"/>
                <w:color w:val="212121"/>
                <w:sz w:val="19"/>
              </w:rPr>
              <w:t>≤ 25 dB HL</w:t>
            </w:r>
          </w:p>
        </w:tc>
        <w:tc>
          <w:tcPr>
            <w:tcW w:type="dxa" w:w="1512"/>
            <w:vAlign w:val="top"/>
          </w:tcPr>
          <w:p>
            <w:pPr>
              <w:spacing w:after="40" w:before="0" w:line="259" w:lineRule="auto"/>
            </w:pPr>
            <w:r>
              <w:rPr>
                <w:rFonts w:ascii="Calibri" w:hAnsi="Calibri"/>
                <w:b w:val="0"/>
                <w:i w:val="0"/>
                <w:color w:val="212121"/>
                <w:sz w:val="19"/>
              </w:rPr>
              <w:t>&gt; 25–40 dB HL (conductive/mixed loss)</w:t>
            </w:r>
          </w:p>
        </w:tc>
        <w:tc>
          <w:tcPr>
            <w:tcW w:type="dxa" w:w="1468"/>
            <w:vAlign w:val="top"/>
          </w:tcPr>
          <w:p>
            <w:pPr>
              <w:spacing w:after="60" w:line="259" w:lineRule="auto"/>
            </w:pPr>
            <w:r>
              <w:rPr>
                <w:rFonts w:ascii="Calibri" w:hAnsi="Calibri"/>
                <w:b w:val="0"/>
                <w:i w:val="0"/>
                <w:color w:val="212121"/>
                <w:sz w:val="19"/>
              </w:rPr>
              <w:t>SNHL in up to 71.4% when discharge exceeds 5 years</w:t>
            </w:r>
          </w:p>
          <w:p>
            <w:pPr>
              <w:spacing w:after="40" w:line="252" w:lineRule="auto"/>
            </w:pPr>
            <w:hyperlink r:id="rId11">
              <w:r>
                <w:rPr>
                  <w:rFonts w:ascii="Calibri" w:hAnsi="Calibri" w:cs="Calibri"/>
                  <w:sz w:val="18"/>
                  <w:color w:val="1155CC"/>
                  <w:u w:val="single"/>
                </w:rPr>
                <w:t xml:space="preserve">https://pubmed.ncbi.nlm.nih.gov/32219073/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Mastoid air-cell opacification, septal/cortical erosion, coalescence, subperiosteal collection</w:t>
            </w:r>
          </w:p>
        </w:tc>
        <w:tc>
          <w:tcPr>
            <w:tcW w:type="dxa" w:w="892"/>
            <w:vAlign w:val="top"/>
          </w:tcPr>
          <w:p>
            <w:pPr>
              <w:spacing w:after="40" w:before="0" w:line="259" w:lineRule="auto"/>
            </w:pPr>
            <w:r>
              <w:rPr>
                <w:rFonts w:ascii="Calibri" w:hAnsi="Calibri"/>
                <w:b w:val="0"/>
                <w:i w:val="0"/>
                <w:color w:val="212121"/>
                <w:sz w:val="16"/>
              </w:rPr>
              <w:t>HRCT temporal bone</w:t>
            </w:r>
          </w:p>
        </w:tc>
        <w:tc>
          <w:tcPr>
            <w:tcW w:type="dxa" w:w="950"/>
            <w:vAlign w:val="top"/>
          </w:tcPr>
          <w:p>
            <w:pPr>
              <w:spacing w:after="40" w:before="0" w:line="259" w:lineRule="auto"/>
            </w:pPr>
            <w:r>
              <w:rPr>
                <w:rFonts w:ascii="Calibri" w:hAnsi="Calibri"/>
                <w:b w:val="0"/>
                <w:i w:val="0"/>
                <w:color w:val="212121"/>
                <w:sz w:val="16"/>
              </w:rPr>
              <w:t>Well-pneumatised, aerated mastoid with intact bony septa</w:t>
            </w:r>
          </w:p>
        </w:tc>
        <w:tc>
          <w:tcPr>
            <w:tcW w:type="dxa" w:w="950"/>
            <w:vAlign w:val="top"/>
          </w:tcPr>
          <w:p>
            <w:pPr>
              <w:spacing w:after="40" w:before="0" w:line="259" w:lineRule="auto"/>
            </w:pPr>
            <w:r>
              <w:rPr>
                <w:rFonts w:ascii="Calibri" w:hAnsi="Calibri"/>
                <w:b w:val="0"/>
                <w:i w:val="0"/>
                <w:color w:val="212121"/>
                <w:sz w:val="16"/>
              </w:rPr>
              <w:t>Opacified air cells, loss/erosion of septa (coalescence), cortical or sigmoid-plate erosion, abscess</w:t>
            </w:r>
          </w:p>
        </w:tc>
        <w:tc>
          <w:tcPr>
            <w:tcW w:type="dxa" w:w="1036"/>
            <w:vAlign w:val="top"/>
          </w:tcPr>
          <w:p>
            <w:pPr>
              <w:spacing w:after="40" w:before="0" w:line="259" w:lineRule="auto"/>
            </w:pPr>
            <w:r>
              <w:rPr>
                <w:rFonts w:ascii="Calibri" w:hAnsi="Calibri"/>
                <w:b w:val="0"/>
                <w:i w:val="0"/>
                <w:color w:val="212121"/>
                <w:sz w:val="16"/>
              </w:rPr>
              <w:t>Confirms mastoiditis, stages coalescence and maps complications and surgical anatomy</w:t>
            </w:r>
          </w:p>
        </w:tc>
        <w:tc>
          <w:tcPr>
            <w:tcW w:type="dxa" w:w="1036"/>
            <w:vAlign w:val="top"/>
          </w:tcPr>
          <w:p>
            <w:pPr>
              <w:spacing w:after="40" w:before="0" w:line="259" w:lineRule="auto"/>
            </w:pPr>
            <w:r>
              <w:rPr>
                <w:rFonts w:ascii="Calibri" w:hAnsi="Calibri"/>
                <w:b w:val="0"/>
                <w:i w:val="0"/>
                <w:color w:val="212121"/>
                <w:sz w:val="16"/>
              </w:rPr>
              <w:t>Suspected acute/coalescent or complicated mastoiditis, surgical planning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(imaging of choice)</w:t>
            </w:r>
          </w:p>
        </w:tc>
        <w:tc>
          <w:tcPr>
            <w:tcW w:type="dxa" w:w="720"/>
            <w:vAlign w:val="top"/>
          </w:tcPr>
          <w:p>
            <w:pPr>
              <w:spacing w:after="40" w:before="0" w:line="259" w:lineRule="auto"/>
            </w:pPr>
            <w:r>
              <w:rPr>
                <w:rFonts w:ascii="Calibri" w:hAnsi="Calibri"/>
                <w:b w:val="0"/>
                <w:i w:val="0"/>
                <w:color w:val="212121"/>
                <w:sz w:val="16"/>
              </w:rPr>
              <w:t>Mucosal clouding alone can occur with simple otitis media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Intracranial spread, sigmoid/lateral-sinus thrombosis, abscess</w:t>
            </w:r>
          </w:p>
        </w:tc>
        <w:tc>
          <w:tcPr>
            <w:tcW w:type="dxa" w:w="892"/>
            <w:vAlign w:val="top"/>
          </w:tcPr>
          <w:p>
            <w:pPr>
              <w:spacing w:after="40" w:before="0" w:line="259" w:lineRule="auto"/>
            </w:pPr>
            <w:r>
              <w:rPr>
                <w:rFonts w:ascii="Calibri" w:hAnsi="Calibri"/>
                <w:b w:val="0"/>
                <w:i w:val="0"/>
                <w:color w:val="212121"/>
                <w:sz w:val="16"/>
              </w:rPr>
              <w:t>Contrast MRI + MR venography</w:t>
            </w:r>
          </w:p>
        </w:tc>
        <w:tc>
          <w:tcPr>
            <w:tcW w:type="dxa" w:w="950"/>
            <w:vAlign w:val="top"/>
          </w:tcPr>
          <w:p>
            <w:pPr>
              <w:spacing w:after="40" w:before="0" w:line="259" w:lineRule="auto"/>
            </w:pPr>
            <w:r>
              <w:rPr>
                <w:rFonts w:ascii="Calibri" w:hAnsi="Calibri"/>
                <w:b w:val="0"/>
                <w:i w:val="0"/>
                <w:color w:val="212121"/>
                <w:sz w:val="16"/>
              </w:rPr>
              <w:t>No dural, venous or brain involvement; patent sinuses</w:t>
            </w:r>
          </w:p>
        </w:tc>
        <w:tc>
          <w:tcPr>
            <w:tcW w:type="dxa" w:w="950"/>
            <w:vAlign w:val="top"/>
          </w:tcPr>
          <w:p>
            <w:pPr>
              <w:spacing w:after="40" w:before="0" w:line="259" w:lineRule="auto"/>
            </w:pPr>
            <w:r>
              <w:rPr>
                <w:rFonts w:ascii="Calibri" w:hAnsi="Calibri"/>
                <w:b w:val="0"/>
                <w:i w:val="0"/>
                <w:color w:val="212121"/>
                <w:sz w:val="16"/>
              </w:rPr>
              <w:t>Sinus thrombosis, extradural/subdural or intracerebral abscess, meningeal enhancement</w:t>
            </w:r>
          </w:p>
        </w:tc>
        <w:tc>
          <w:tcPr>
            <w:tcW w:type="dxa" w:w="1036"/>
            <w:vAlign w:val="top"/>
          </w:tcPr>
          <w:p>
            <w:pPr>
              <w:spacing w:after="40" w:before="0" w:line="259" w:lineRule="auto"/>
            </w:pPr>
            <w:r>
              <w:rPr>
                <w:rFonts w:ascii="Calibri" w:hAnsi="Calibri"/>
                <w:b w:val="0"/>
                <w:i w:val="0"/>
                <w:color w:val="212121"/>
                <w:sz w:val="16"/>
              </w:rPr>
              <w:t>Detects and characterises intracranial and venous complications not fully seen on CT</w:t>
            </w:r>
          </w:p>
        </w:tc>
        <w:tc>
          <w:tcPr>
            <w:tcW w:type="dxa" w:w="1036"/>
            <w:vAlign w:val="top"/>
          </w:tcPr>
          <w:p>
            <w:pPr>
              <w:spacing w:after="40" w:before="0" w:line="259" w:lineRule="auto"/>
            </w:pPr>
            <w:r>
              <w:rPr>
                <w:rFonts w:ascii="Calibri" w:hAnsi="Calibri"/>
                <w:b w:val="0"/>
                <w:i w:val="0"/>
                <w:color w:val="212121"/>
                <w:sz w:val="16"/>
              </w:rPr>
              <w:t>Mastoiditis with red-flag neurology, suspected sinus thrombosis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(complications)</w:t>
            </w:r>
          </w:p>
        </w:tc>
        <w:tc>
          <w:tcPr>
            <w:tcW w:type="dxa" w:w="720"/>
            <w:vAlign w:val="top"/>
          </w:tcPr>
          <w:p>
            <w:pPr>
              <w:spacing w:after="40" w:before="0" w:line="259" w:lineRule="auto"/>
            </w:pPr>
            <w:r>
              <w:rPr>
                <w:rFonts w:ascii="Calibri" w:hAnsi="Calibri"/>
                <w:b w:val="0"/>
                <w:i w:val="0"/>
                <w:color w:val="212121"/>
                <w:sz w:val="16"/>
              </w:rPr>
              <w:t>Add when headache, seizures, focal signs or drowsiness appear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Ear-swab / pus culture &amp; antibiotic sensitivity</w:t>
            </w:r>
          </w:p>
        </w:tc>
        <w:tc>
          <w:tcPr>
            <w:tcW w:type="dxa" w:w="892"/>
            <w:vAlign w:val="top"/>
          </w:tcPr>
          <w:p>
            <w:pPr>
              <w:spacing w:after="40" w:before="0" w:line="259" w:lineRule="auto"/>
            </w:pPr>
            <w:r>
              <w:rPr>
                <w:rFonts w:ascii="Calibri" w:hAnsi="Calibri"/>
                <w:b w:val="0"/>
                <w:i w:val="0"/>
                <w:color w:val="212121"/>
                <w:sz w:val="16"/>
              </w:rPr>
              <w:t>Aural / intra-operative pus C/S</w:t>
            </w:r>
          </w:p>
        </w:tc>
        <w:tc>
          <w:tcPr>
            <w:tcW w:type="dxa" w:w="950"/>
            <w:vAlign w:val="top"/>
          </w:tcPr>
          <w:p>
            <w:pPr>
              <w:spacing w:after="40" w:before="0" w:line="259" w:lineRule="auto"/>
            </w:pPr>
            <w:r>
              <w:rPr>
                <w:rFonts w:ascii="Calibri" w:hAnsi="Calibri"/>
                <w:b w:val="0"/>
                <w:i w:val="0"/>
                <w:color w:val="212121"/>
                <w:sz w:val="16"/>
              </w:rPr>
              <w:t>No pathogenic growth / sterile</w:t>
            </w:r>
          </w:p>
        </w:tc>
        <w:tc>
          <w:tcPr>
            <w:tcW w:type="dxa" w:w="950"/>
            <w:vAlign w:val="top"/>
          </w:tcPr>
          <w:p>
            <w:pPr>
              <w:spacing w:after="40" w:before="0" w:line="259" w:lineRule="auto"/>
            </w:pPr>
            <w:r>
              <w:rPr>
                <w:rFonts w:ascii="Calibri" w:hAnsi="Calibri"/>
                <w:b w:val="0"/>
                <w:i w:val="0"/>
                <w:color w:val="212121"/>
                <w:sz w:val="16"/>
              </w:rPr>
              <w:t>Growth of S. pneumoniae, S. pyogenes, S. aureus, H. influenzae, Pseudomonas or anaerobes</w:t>
            </w:r>
          </w:p>
        </w:tc>
        <w:tc>
          <w:tcPr>
            <w:tcW w:type="dxa" w:w="1036"/>
            <w:vAlign w:val="top"/>
          </w:tcPr>
          <w:p>
            <w:pPr>
              <w:spacing w:after="40" w:before="0" w:line="259" w:lineRule="auto"/>
            </w:pPr>
            <w:r>
              <w:rPr>
                <w:rFonts w:ascii="Calibri" w:hAnsi="Calibri"/>
                <w:b w:val="0"/>
                <w:i w:val="0"/>
                <w:color w:val="212121"/>
                <w:sz w:val="16"/>
              </w:rPr>
              <w:t>Identifies the organism and guides targeted antibiotic therapy in an era of resistance</w:t>
            </w:r>
          </w:p>
        </w:tc>
        <w:tc>
          <w:tcPr>
            <w:tcW w:type="dxa" w:w="1036"/>
            <w:vAlign w:val="top"/>
          </w:tcPr>
          <w:p>
            <w:pPr>
              <w:spacing w:after="40" w:before="0" w:line="259" w:lineRule="auto"/>
            </w:pPr>
            <w:r>
              <w:rPr>
                <w:rFonts w:ascii="Calibri" w:hAnsi="Calibri"/>
                <w:b w:val="0"/>
                <w:i w:val="0"/>
                <w:color w:val="212121"/>
                <w:sz w:val="16"/>
              </w:rPr>
              <w:t>Discharging or surgically-drained mastoiditis, refractory cases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Diagnostic / therapeutic</w:t>
            </w:r>
          </w:p>
        </w:tc>
        <w:tc>
          <w:tcPr>
            <w:tcW w:type="dxa" w:w="720"/>
            <w:vAlign w:val="top"/>
          </w:tcPr>
          <w:p>
            <w:pPr>
              <w:spacing w:after="40" w:before="0" w:line="259" w:lineRule="auto"/>
            </w:pPr>
            <w:r>
              <w:rPr>
                <w:rFonts w:ascii="Calibri" w:hAnsi="Calibri"/>
                <w:b w:val="0"/>
                <w:i w:val="0"/>
                <w:color w:val="212121"/>
                <w:sz w:val="16"/>
              </w:rPr>
              <w:t>Pseudomonas and S. aureus dominate chronic CSOM-related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Total/differential count, ESR, CRP</w:t>
            </w:r>
          </w:p>
        </w:tc>
        <w:tc>
          <w:tcPr>
            <w:tcW w:type="dxa" w:w="892"/>
            <w:vAlign w:val="top"/>
          </w:tcPr>
          <w:p>
            <w:pPr>
              <w:spacing w:after="40" w:before="0" w:line="259" w:lineRule="auto"/>
            </w:pPr>
            <w:r>
              <w:rPr>
                <w:rFonts w:ascii="Calibri" w:hAnsi="Calibri"/>
                <w:b w:val="0"/>
                <w:i w:val="0"/>
                <w:color w:val="212121"/>
                <w:sz w:val="16"/>
              </w:rPr>
              <w:t>CBC &amp; inflammatory markers</w:t>
            </w:r>
          </w:p>
        </w:tc>
        <w:tc>
          <w:tcPr>
            <w:tcW w:type="dxa" w:w="950"/>
            <w:vAlign w:val="top"/>
          </w:tcPr>
          <w:p>
            <w:pPr>
              <w:spacing w:after="40" w:before="0" w:line="259" w:lineRule="auto"/>
            </w:pPr>
            <w:r>
              <w:rPr>
                <w:rFonts w:ascii="Calibri" w:hAnsi="Calibri"/>
                <w:b w:val="0"/>
                <w:i w:val="0"/>
                <w:color w:val="212121"/>
                <w:sz w:val="16"/>
              </w:rPr>
              <w:t>Normal counts and markers</w:t>
            </w:r>
          </w:p>
        </w:tc>
        <w:tc>
          <w:tcPr>
            <w:tcW w:type="dxa" w:w="950"/>
            <w:vAlign w:val="top"/>
          </w:tcPr>
          <w:p>
            <w:pPr>
              <w:spacing w:after="40" w:before="0" w:line="259" w:lineRule="auto"/>
            </w:pPr>
            <w:r>
              <w:rPr>
                <w:rFonts w:ascii="Calibri" w:hAnsi="Calibri"/>
                <w:b w:val="0"/>
                <w:i w:val="0"/>
                <w:color w:val="212121"/>
                <w:sz w:val="16"/>
              </w:rPr>
              <w:t>Leucocytosis with neutrophilia; raised ESR and CRP</w:t>
            </w:r>
          </w:p>
        </w:tc>
        <w:tc>
          <w:tcPr>
            <w:tcW w:type="dxa" w:w="1036"/>
            <w:vAlign w:val="top"/>
          </w:tcPr>
          <w:p>
            <w:pPr>
              <w:spacing w:after="40" w:before="0" w:line="259" w:lineRule="auto"/>
            </w:pPr>
            <w:r>
              <w:rPr>
                <w:rFonts w:ascii="Calibri" w:hAnsi="Calibri"/>
                <w:b w:val="0"/>
                <w:i w:val="0"/>
                <w:color w:val="212121"/>
                <w:sz w:val="16"/>
              </w:rPr>
              <w:t>Supports the diagnosis and flags acute exacerbation or a developing complication</w:t>
            </w:r>
          </w:p>
        </w:tc>
        <w:tc>
          <w:tcPr>
            <w:tcW w:type="dxa" w:w="1036"/>
            <w:vAlign w:val="top"/>
          </w:tcPr>
          <w:p>
            <w:pPr>
              <w:spacing w:after="40" w:before="0" w:line="259" w:lineRule="auto"/>
            </w:pPr>
            <w:r>
              <w:rPr>
                <w:rFonts w:ascii="Calibri" w:hAnsi="Calibri"/>
                <w:b w:val="0"/>
                <w:i w:val="0"/>
                <w:color w:val="212121"/>
                <w:sz w:val="16"/>
              </w:rPr>
              <w:t>Acutely unwell or complicated mastoiditis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interpret with the clinical and imaging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Otologic / audiology</w:t>
            </w:r>
          </w:p>
        </w:tc>
        <w:tc>
          <w:tcPr>
            <w:tcW w:type="dxa" w:w="1036"/>
            <w:vAlign w:val="top"/>
          </w:tcPr>
          <w:p>
            <w:pPr>
              <w:spacing w:after="40" w:before="0" w:line="259" w:lineRule="auto"/>
            </w:pPr>
            <w:r>
              <w:rPr>
                <w:rFonts w:ascii="Calibri" w:hAnsi="Calibri"/>
                <w:b w:val="0"/>
                <w:i w:val="0"/>
                <w:color w:val="212121"/>
                <w:sz w:val="16"/>
              </w:rPr>
              <w:t>Air–bone gap &amp; pure-tone average</w:t>
            </w:r>
          </w:p>
        </w:tc>
        <w:tc>
          <w:tcPr>
            <w:tcW w:type="dxa" w:w="892"/>
            <w:vAlign w:val="top"/>
          </w:tcPr>
          <w:p>
            <w:pPr>
              <w:spacing w:after="40" w:before="0" w:line="259" w:lineRule="auto"/>
            </w:pPr>
            <w:r>
              <w:rPr>
                <w:rFonts w:ascii="Calibri" w:hAnsi="Calibri"/>
                <w:b w:val="0"/>
                <w:i w:val="0"/>
                <w:color w:val="212121"/>
                <w:sz w:val="16"/>
              </w:rPr>
              <w:t>Pure-tone audiometry (PTA)</w:t>
            </w:r>
          </w:p>
        </w:tc>
        <w:tc>
          <w:tcPr>
            <w:tcW w:type="dxa" w:w="950"/>
            <w:vAlign w:val="top"/>
          </w:tcPr>
          <w:p>
            <w:pPr>
              <w:spacing w:after="40" w:before="0" w:line="259" w:lineRule="auto"/>
            </w:pPr>
            <w:r>
              <w:rPr>
                <w:rFonts w:ascii="Calibri" w:hAnsi="Calibri"/>
                <w:b w:val="0"/>
                <w:i w:val="0"/>
                <w:color w:val="212121"/>
                <w:sz w:val="16"/>
              </w:rPr>
              <w:t>≤ 25 dB HL, no significant air–bone gap</w:t>
            </w:r>
          </w:p>
        </w:tc>
        <w:tc>
          <w:tcPr>
            <w:tcW w:type="dxa" w:w="950"/>
            <w:vAlign w:val="top"/>
          </w:tcPr>
          <w:p>
            <w:pPr>
              <w:spacing w:after="40" w:before="0" w:line="259" w:lineRule="auto"/>
            </w:pPr>
            <w:r>
              <w:rPr>
                <w:rFonts w:ascii="Calibri" w:hAnsi="Calibri"/>
                <w:b w:val="0"/>
                <w:i w:val="0"/>
                <w:color w:val="212121"/>
                <w:sz w:val="16"/>
              </w:rPr>
              <w:t>Conductive loss (air–bone gap) or mixed/sensorineural loss</w:t>
            </w:r>
          </w:p>
        </w:tc>
        <w:tc>
          <w:tcPr>
            <w:tcW w:type="dxa" w:w="1036"/>
            <w:vAlign w:val="top"/>
          </w:tcPr>
          <w:p>
            <w:pPr>
              <w:spacing w:after="40" w:before="0" w:line="259" w:lineRule="auto"/>
            </w:pPr>
            <w:r>
              <w:rPr>
                <w:rFonts w:ascii="Calibri" w:hAnsi="Calibri"/>
                <w:b w:val="0"/>
                <w:i w:val="0"/>
                <w:color w:val="212121"/>
                <w:sz w:val="16"/>
              </w:rPr>
              <w:t>Quantifies hearing loss and detects a sensorineural component in long-standing disease</w:t>
            </w:r>
          </w:p>
        </w:tc>
        <w:tc>
          <w:tcPr>
            <w:tcW w:type="dxa" w:w="1036"/>
            <w:vAlign w:val="top"/>
          </w:tcPr>
          <w:p>
            <w:pPr>
              <w:spacing w:after="40" w:before="0" w:line="259" w:lineRule="auto"/>
            </w:pPr>
            <w:r>
              <w:rPr>
                <w:rFonts w:ascii="Calibri" w:hAnsi="Calibri"/>
                <w:b w:val="0"/>
                <w:i w:val="0"/>
                <w:color w:val="212121"/>
                <w:sz w:val="16"/>
              </w:rPr>
              <w:t>All patients, pre-operative assessment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SNHL in up to 71.4% when discharge exceeds 5 years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 pathology</w:t>
            </w:r>
          </w:p>
        </w:tc>
        <w:tc>
          <w:tcPr>
            <w:tcW w:type="dxa" w:w="1036"/>
            <w:vAlign w:val="top"/>
          </w:tcPr>
          <w:p>
            <w:pPr>
              <w:spacing w:after="40" w:before="0" w:line="259" w:lineRule="auto"/>
            </w:pPr>
            <w:r>
              <w:rPr>
                <w:rFonts w:ascii="Calibri" w:hAnsi="Calibri"/>
                <w:b w:val="0"/>
                <w:i w:val="0"/>
                <w:color w:val="212121"/>
                <w:sz w:val="16"/>
              </w:rPr>
              <w:t>Lumbar puncture / histopathology when indicated</w:t>
            </w:r>
          </w:p>
        </w:tc>
        <w:tc>
          <w:tcPr>
            <w:tcW w:type="dxa" w:w="892"/>
            <w:vAlign w:val="top"/>
          </w:tcPr>
          <w:p>
            <w:pPr>
              <w:spacing w:after="40" w:before="0" w:line="259" w:lineRule="auto"/>
            </w:pPr>
            <w:r>
              <w:rPr>
                <w:rFonts w:ascii="Calibri" w:hAnsi="Calibri"/>
                <w:b w:val="0"/>
                <w:i w:val="0"/>
                <w:color w:val="212121"/>
                <w:sz w:val="16"/>
              </w:rPr>
              <w:t>CSF analysis; tissue histology</w:t>
            </w:r>
          </w:p>
        </w:tc>
        <w:tc>
          <w:tcPr>
            <w:tcW w:type="dxa" w:w="950"/>
            <w:vAlign w:val="top"/>
          </w:tcPr>
          <w:p>
            <w:pPr>
              <w:spacing w:after="40" w:before="0" w:line="259" w:lineRule="auto"/>
            </w:pPr>
            <w:r>
              <w:rPr>
                <w:rFonts w:ascii="Calibri" w:hAnsi="Calibri"/>
                <w:b w:val="0"/>
                <w:i w:val="0"/>
                <w:color w:val="212121"/>
                <w:sz w:val="16"/>
              </w:rPr>
              <w:t>Normal CSF; benign inflammatory tissue</w:t>
            </w:r>
          </w:p>
        </w:tc>
        <w:tc>
          <w:tcPr>
            <w:tcW w:type="dxa" w:w="950"/>
            <w:vAlign w:val="top"/>
          </w:tcPr>
          <w:p>
            <w:pPr>
              <w:spacing w:after="40" w:before="0" w:line="259" w:lineRule="auto"/>
            </w:pPr>
            <w:r>
              <w:rPr>
                <w:rFonts w:ascii="Calibri" w:hAnsi="Calibri"/>
                <w:b w:val="0"/>
                <w:i w:val="0"/>
                <w:color w:val="212121"/>
                <w:sz w:val="16"/>
              </w:rPr>
              <w:t>CSF pleocytosis with raised protein/low glucose (meningitis); cholesteatoma/granulation on histology</w:t>
            </w:r>
          </w:p>
        </w:tc>
        <w:tc>
          <w:tcPr>
            <w:tcW w:type="dxa" w:w="1036"/>
            <w:vAlign w:val="top"/>
          </w:tcPr>
          <w:p>
            <w:pPr>
              <w:spacing w:after="40" w:before="0" w:line="259" w:lineRule="auto"/>
            </w:pPr>
            <w:r>
              <w:rPr>
                <w:rFonts w:ascii="Calibri" w:hAnsi="Calibri"/>
                <w:b w:val="0"/>
                <w:i w:val="0"/>
                <w:color w:val="212121"/>
                <w:sz w:val="16"/>
              </w:rPr>
              <w:t>Confirms meningitis (with imaging clearance) and characterises excised mastoid tissue</w:t>
            </w:r>
          </w:p>
        </w:tc>
        <w:tc>
          <w:tcPr>
            <w:tcW w:type="dxa" w:w="1036"/>
            <w:vAlign w:val="top"/>
          </w:tcPr>
          <w:p>
            <w:pPr>
              <w:spacing w:after="40" w:before="0" w:line="259" w:lineRule="auto"/>
            </w:pPr>
            <w:r>
              <w:rPr>
                <w:rFonts w:ascii="Calibri" w:hAnsi="Calibri"/>
                <w:b w:val="0"/>
                <w:i w:val="0"/>
                <w:color w:val="212121"/>
                <w:sz w:val="16"/>
              </w:rPr>
              <w:t>Suspected meningitis, operative specimens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(selected)</w:t>
            </w:r>
          </w:p>
        </w:tc>
        <w:tc>
          <w:tcPr>
            <w:tcW w:type="dxa" w:w="720"/>
            <w:vAlign w:val="top"/>
          </w:tcPr>
          <w:p>
            <w:pPr>
              <w:spacing w:after="40" w:before="0" w:line="259" w:lineRule="auto"/>
            </w:pPr>
            <w:r>
              <w:rPr>
                <w:rFonts w:ascii="Calibri" w:hAnsi="Calibri"/>
                <w:b w:val="0"/>
                <w:i w:val="0"/>
                <w:color w:val="212121"/>
                <w:sz w:val="16"/>
              </w:rPr>
              <w:t>Do not perform LP before excluding a mass/raised ICP on imaging</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Earache, ear discharge, postauricular pain/swelling and fever after otitis media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Postauricular pain and swelling with fever following an ear infection</w:t>
            </w:r>
          </w:p>
        </w:tc>
        <w:tc>
          <w:tcPr>
            <w:tcW w:type="dxa" w:w="1036"/>
            <w:vAlign w:val="top"/>
          </w:tcPr>
          <w:p>
            <w:pPr>
              <w:spacing w:after="40" w:before="0" w:line="259" w:lineRule="auto"/>
            </w:pPr>
            <w:r>
              <w:rPr>
                <w:rFonts w:ascii="Calibri" w:hAnsi="Calibri"/>
                <w:b w:val="0"/>
                <w:i w:val="0"/>
                <w:color w:val="212121"/>
                <w:sz w:val="16"/>
              </w:rPr>
              <w:t>Cardinal presentation of mastoiditis complicating otitis media</w:t>
            </w:r>
          </w:p>
        </w:tc>
        <w:tc>
          <w:tcPr>
            <w:tcW w:type="dxa" w:w="1036"/>
            <w:vAlign w:val="top"/>
          </w:tcPr>
          <w:p>
            <w:pPr>
              <w:spacing w:after="40" w:before="0" w:line="259" w:lineRule="auto"/>
            </w:pPr>
            <w:r>
              <w:rPr>
                <w:rFonts w:ascii="Calibri" w:hAnsi="Calibri"/>
                <w:b w:val="0"/>
                <w:i w:val="0"/>
                <w:color w:val="212121"/>
                <w:sz w:val="16"/>
              </w:rPr>
              <w:t>Any patient with earache and postauricular signs</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a preceding or ongoing ear infection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Course &amp; prior treatment</w:t>
            </w:r>
          </w:p>
        </w:tc>
        <w:tc>
          <w:tcPr>
            <w:tcW w:type="dxa" w:w="979"/>
            <w:vAlign w:val="top"/>
          </w:tcPr>
          <w:p>
            <w:pPr>
              <w:spacing w:after="40" w:before="0" w:line="259" w:lineRule="auto"/>
            </w:pPr>
            <w:r>
              <w:rPr>
                <w:rFonts w:ascii="Calibri" w:hAnsi="Calibri"/>
                <w:b w:val="0"/>
                <w:i w:val="0"/>
                <w:color w:val="212121"/>
                <w:sz w:val="16"/>
              </w:rPr>
              <w:t>Symptoms persisting/recurring beyond expected AOM course; partial antibiotic treatment</w:t>
            </w:r>
          </w:p>
        </w:tc>
        <w:tc>
          <w:tcPr>
            <w:tcW w:type="dxa" w:w="950"/>
            <w:vAlign w:val="top"/>
          </w:tcPr>
          <w:p>
            <w:pPr>
              <w:spacing w:after="40" w:before="0" w:line="259" w:lineRule="auto"/>
            </w:pPr>
            <w:r>
              <w:rPr>
                <w:rFonts w:ascii="Calibri" w:hAnsi="Calibri"/>
                <w:b w:val="0"/>
                <w:i w:val="0"/>
                <w:color w:val="212121"/>
                <w:sz w:val="16"/>
              </w:rPr>
              <w:t>AOM resolved within ~7–10 days</w:t>
            </w:r>
          </w:p>
        </w:tc>
        <w:tc>
          <w:tcPr>
            <w:tcW w:type="dxa" w:w="950"/>
            <w:vAlign w:val="top"/>
          </w:tcPr>
          <w:p>
            <w:pPr>
              <w:spacing w:after="40" w:before="0" w:line="259" w:lineRule="auto"/>
            </w:pPr>
            <w:r>
              <w:rPr>
                <w:rFonts w:ascii="Calibri" w:hAnsi="Calibri"/>
                <w:b w:val="0"/>
                <w:i w:val="0"/>
                <w:color w:val="212121"/>
                <w:sz w:val="16"/>
              </w:rPr>
              <w:t>Persistent/worsening or masked course after partial treatment</w:t>
            </w:r>
          </w:p>
        </w:tc>
        <w:tc>
          <w:tcPr>
            <w:tcW w:type="dxa" w:w="1036"/>
            <w:vAlign w:val="top"/>
          </w:tcPr>
          <w:p>
            <w:pPr>
              <w:spacing w:after="40" w:before="0" w:line="259" w:lineRule="auto"/>
            </w:pPr>
            <w:r>
              <w:rPr>
                <w:rFonts w:ascii="Calibri" w:hAnsi="Calibri"/>
                <w:b w:val="0"/>
                <w:i w:val="0"/>
                <w:color w:val="212121"/>
                <w:sz w:val="16"/>
              </w:rPr>
              <w:t>Prolonged or ‘masked’ course points to mastoid involvement</w:t>
            </w:r>
          </w:p>
        </w:tc>
        <w:tc>
          <w:tcPr>
            <w:tcW w:type="dxa" w:w="1036"/>
            <w:vAlign w:val="top"/>
          </w:tcPr>
          <w:p>
            <w:pPr>
              <w:spacing w:after="40" w:before="0" w:line="259" w:lineRule="auto"/>
            </w:pPr>
            <w:r>
              <w:rPr>
                <w:rFonts w:ascii="Calibri" w:hAnsi="Calibri"/>
                <w:b w:val="0"/>
                <w:i w:val="0"/>
                <w:color w:val="212121"/>
                <w:sz w:val="16"/>
              </w:rPr>
              <w:t>Children with recurrent/partially-treated AOM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Incomplete antibiotics can suppress ear signs while mastoiditis smoulders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Warning symptoms</w:t>
            </w:r>
          </w:p>
        </w:tc>
        <w:tc>
          <w:tcPr>
            <w:tcW w:type="dxa" w:w="979"/>
            <w:vAlign w:val="top"/>
          </w:tcPr>
          <w:p>
            <w:pPr>
              <w:spacing w:after="40" w:before="0" w:line="259" w:lineRule="auto"/>
            </w:pPr>
            <w:r>
              <w:rPr>
                <w:rFonts w:ascii="Calibri" w:hAnsi="Calibri"/>
                <w:b w:val="0"/>
                <w:i w:val="0"/>
                <w:color w:val="212121"/>
                <w:sz w:val="16"/>
              </w:rPr>
              <w:t>Vertigo, facial weakness, severe headache, neck stiffness, drowsiness, diplopia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Herald intratemporal or intracranial complications and mandate urgent imaging and admission</w:t>
            </w:r>
          </w:p>
        </w:tc>
        <w:tc>
          <w:tcPr>
            <w:tcW w:type="dxa" w:w="1036"/>
            <w:vAlign w:val="top"/>
          </w:tcPr>
          <w:p>
            <w:pPr>
              <w:spacing w:after="40" w:before="0" w:line="259" w:lineRule="auto"/>
            </w:pPr>
            <w:r>
              <w:rPr>
                <w:rFonts w:ascii="Calibri" w:hAnsi="Calibri"/>
                <w:b w:val="0"/>
                <w:i w:val="0"/>
                <w:color w:val="212121"/>
                <w:sz w:val="16"/>
              </w:rPr>
              <w:t>Mastoiditis with red-flag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 triage</w:t>
            </w:r>
          </w:p>
        </w:tc>
        <w:tc>
          <w:tcPr>
            <w:tcW w:type="dxa" w:w="720"/>
            <w:vAlign w:val="top"/>
          </w:tcPr>
          <w:p>
            <w:pPr>
              <w:spacing w:after="40" w:before="0" w:line="259" w:lineRule="auto"/>
            </w:pPr>
            <w:r>
              <w:rPr>
                <w:rFonts w:ascii="Calibri" w:hAnsi="Calibri"/>
                <w:b w:val="0"/>
                <w:i w:val="0"/>
                <w:color w:val="212121"/>
                <w:sz w:val="16"/>
              </w:rPr>
              <w:t>Intracranial complications occur in ~6–23% of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 &amp; palpation</w:t>
            </w:r>
          </w:p>
        </w:tc>
        <w:tc>
          <w:tcPr>
            <w:tcW w:type="dxa" w:w="950"/>
            <w:vAlign w:val="top"/>
          </w:tcPr>
          <w:p>
            <w:pPr>
              <w:spacing w:after="40" w:before="0" w:line="259" w:lineRule="auto"/>
            </w:pPr>
            <w:r>
              <w:rPr>
                <w:rFonts w:ascii="Calibri" w:hAnsi="Calibri"/>
                <w:b w:val="0"/>
                <w:i w:val="0"/>
                <w:color w:val="212121"/>
                <w:sz w:val="16"/>
              </w:rPr>
              <w:t>Postauricular examination</w:t>
            </w:r>
          </w:p>
        </w:tc>
        <w:tc>
          <w:tcPr>
            <w:tcW w:type="dxa" w:w="979"/>
            <w:vAlign w:val="top"/>
          </w:tcPr>
          <w:p>
            <w:pPr>
              <w:spacing w:after="40" w:before="0" w:line="259" w:lineRule="auto"/>
            </w:pPr>
            <w:r>
              <w:rPr>
                <w:rFonts w:ascii="Calibri" w:hAnsi="Calibri"/>
                <w:b w:val="0"/>
                <w:i w:val="0"/>
                <w:color w:val="212121"/>
                <w:sz w:val="16"/>
              </w:rPr>
              <w:t>Erythema, tenderness, warmth, fluctuance; auricle protrusion; loss of postauricular sulcus</w:t>
            </w:r>
          </w:p>
        </w:tc>
        <w:tc>
          <w:tcPr>
            <w:tcW w:type="dxa" w:w="950"/>
            <w:vAlign w:val="top"/>
          </w:tcPr>
          <w:p>
            <w:pPr>
              <w:spacing w:after="40" w:before="0" w:line="259" w:lineRule="auto"/>
            </w:pPr>
            <w:r>
              <w:rPr>
                <w:rFonts w:ascii="Calibri" w:hAnsi="Calibri"/>
                <w:b w:val="0"/>
                <w:i w:val="0"/>
                <w:color w:val="212121"/>
                <w:sz w:val="16"/>
              </w:rPr>
              <w:t>Normal, non-tender postauricular region</w:t>
            </w:r>
          </w:p>
        </w:tc>
        <w:tc>
          <w:tcPr>
            <w:tcW w:type="dxa" w:w="950"/>
            <w:vAlign w:val="top"/>
          </w:tcPr>
          <w:p>
            <w:pPr>
              <w:spacing w:after="40" w:before="0" w:line="259" w:lineRule="auto"/>
            </w:pPr>
            <w:r>
              <w:rPr>
                <w:rFonts w:ascii="Calibri" w:hAnsi="Calibri"/>
                <w:b w:val="0"/>
                <w:i w:val="0"/>
                <w:color w:val="212121"/>
                <w:sz w:val="16"/>
              </w:rPr>
              <w:t>Swelling pushing the pinna forward/down/out; fluctuant abscess</w:t>
            </w:r>
          </w:p>
        </w:tc>
        <w:tc>
          <w:tcPr>
            <w:tcW w:type="dxa" w:w="1036"/>
            <w:vAlign w:val="top"/>
          </w:tcPr>
          <w:p>
            <w:pPr>
              <w:spacing w:after="40" w:before="0" w:line="259" w:lineRule="auto"/>
            </w:pPr>
            <w:r>
              <w:rPr>
                <w:rFonts w:ascii="Calibri" w:hAnsi="Calibri"/>
                <w:b w:val="0"/>
                <w:i w:val="0"/>
                <w:color w:val="212121"/>
                <w:sz w:val="16"/>
              </w:rPr>
              <w:t>Confirms mastoid inflammation and a subperiosteal abscess</w:t>
            </w:r>
          </w:p>
        </w:tc>
        <w:tc>
          <w:tcPr>
            <w:tcW w:type="dxa" w:w="1036"/>
            <w:vAlign w:val="top"/>
          </w:tcPr>
          <w:p>
            <w:pPr>
              <w:spacing w:after="40" w:before="0" w:line="259" w:lineRule="auto"/>
            </w:pPr>
            <w:r>
              <w:rPr>
                <w:rFonts w:ascii="Calibri" w:hAnsi="Calibri"/>
                <w:b w:val="0"/>
                <w:i w:val="0"/>
                <w:color w:val="212121"/>
                <w:sz w:val="16"/>
              </w:rPr>
              <w:t>All suspected mastoiditis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 (key)</w:t>
            </w:r>
          </w:p>
        </w:tc>
        <w:tc>
          <w:tcPr>
            <w:tcW w:type="dxa" w:w="720"/>
            <w:vAlign w:val="top"/>
          </w:tcPr>
          <w:p>
            <w:pPr>
              <w:spacing w:after="40" w:before="0" w:line="259" w:lineRule="auto"/>
            </w:pPr>
            <w:r>
              <w:rPr>
                <w:rFonts w:ascii="Calibri" w:hAnsi="Calibri"/>
                <w:b w:val="0"/>
                <w:i w:val="0"/>
                <w:color w:val="212121"/>
                <w:sz w:val="16"/>
              </w:rPr>
              <w:t>Compare both sides; a fluctuant swelling indicates subperiosteal abscess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Otoscopy / otomicroscopy</w:t>
            </w:r>
          </w:p>
        </w:tc>
        <w:tc>
          <w:tcPr>
            <w:tcW w:type="dxa" w:w="950"/>
            <w:vAlign w:val="top"/>
          </w:tcPr>
          <w:p>
            <w:pPr>
              <w:spacing w:after="40" w:before="0" w:line="259" w:lineRule="auto"/>
            </w:pPr>
            <w:r>
              <w:rPr>
                <w:rFonts w:ascii="Calibri" w:hAnsi="Calibri"/>
                <w:b w:val="0"/>
                <w:i w:val="0"/>
                <w:color w:val="212121"/>
                <w:sz w:val="16"/>
              </w:rPr>
              <w:t>Ear-canal &amp; drum inspection</w:t>
            </w:r>
          </w:p>
        </w:tc>
        <w:tc>
          <w:tcPr>
            <w:tcW w:type="dxa" w:w="979"/>
            <w:vAlign w:val="top"/>
          </w:tcPr>
          <w:p>
            <w:pPr>
              <w:spacing w:after="40" w:before="0" w:line="259" w:lineRule="auto"/>
            </w:pPr>
            <w:r>
              <w:rPr>
                <w:rFonts w:ascii="Calibri" w:hAnsi="Calibri"/>
                <w:b w:val="0"/>
                <w:i w:val="0"/>
                <w:color w:val="212121"/>
                <w:sz w:val="16"/>
              </w:rPr>
              <w:t>Middle-ear infection, sagging posterosuperior canal wall, perforation/discharge, cholesteatoma</w:t>
            </w:r>
          </w:p>
        </w:tc>
        <w:tc>
          <w:tcPr>
            <w:tcW w:type="dxa" w:w="950"/>
            <w:vAlign w:val="top"/>
          </w:tcPr>
          <w:p>
            <w:pPr>
              <w:spacing w:after="40" w:before="0" w:line="259" w:lineRule="auto"/>
            </w:pPr>
            <w:r>
              <w:rPr>
                <w:rFonts w:ascii="Calibri" w:hAnsi="Calibri"/>
                <w:b w:val="0"/>
                <w:i w:val="0"/>
                <w:color w:val="212121"/>
                <w:sz w:val="16"/>
              </w:rPr>
              <w:t>Intact, mobile drum; no discharge</w:t>
            </w:r>
          </w:p>
        </w:tc>
        <w:tc>
          <w:tcPr>
            <w:tcW w:type="dxa" w:w="950"/>
            <w:vAlign w:val="top"/>
          </w:tcPr>
          <w:p>
            <w:pPr>
              <w:spacing w:after="40" w:before="0" w:line="259" w:lineRule="auto"/>
            </w:pPr>
            <w:r>
              <w:rPr>
                <w:rFonts w:ascii="Calibri" w:hAnsi="Calibri"/>
                <w:b w:val="0"/>
                <w:i w:val="0"/>
                <w:color w:val="212121"/>
                <w:sz w:val="16"/>
              </w:rPr>
              <w:t>Bulging or perforated discharging drum; sagging meatal wall; attic debris</w:t>
            </w:r>
          </w:p>
        </w:tc>
        <w:tc>
          <w:tcPr>
            <w:tcW w:type="dxa" w:w="1036"/>
            <w:vAlign w:val="top"/>
          </w:tcPr>
          <w:p>
            <w:pPr>
              <w:spacing w:after="40" w:before="0" w:line="259" w:lineRule="auto"/>
            </w:pPr>
            <w:r>
              <w:rPr>
                <w:rFonts w:ascii="Calibri" w:hAnsi="Calibri"/>
                <w:b w:val="0"/>
                <w:i w:val="0"/>
                <w:color w:val="212121"/>
                <w:sz w:val="16"/>
              </w:rPr>
              <w:t>Establishes the underlying otitis media and sagging wall of mastoid spread</w:t>
            </w:r>
          </w:p>
        </w:tc>
        <w:tc>
          <w:tcPr>
            <w:tcW w:type="dxa" w:w="1036"/>
            <w:vAlign w:val="top"/>
          </w:tcPr>
          <w:p>
            <w:pPr>
              <w:spacing w:after="40" w:before="0" w:line="259" w:lineRule="auto"/>
            </w:pPr>
            <w:r>
              <w:rPr>
                <w:rFonts w:ascii="Calibri" w:hAnsi="Calibri"/>
                <w:b w:val="0"/>
                <w:i w:val="0"/>
                <w:color w:val="212121"/>
                <w:sz w:val="16"/>
              </w:rPr>
              <w:t>All suspected mastoiditis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Aural toilet/otomicroscopy improves visualisation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Focused examination</w:t>
            </w:r>
          </w:p>
        </w:tc>
        <w:tc>
          <w:tcPr>
            <w:tcW w:type="dxa" w:w="950"/>
            <w:vAlign w:val="top"/>
          </w:tcPr>
          <w:p>
            <w:pPr>
              <w:spacing w:after="40" w:before="0" w:line="259" w:lineRule="auto"/>
            </w:pPr>
            <w:r>
              <w:rPr>
                <w:rFonts w:ascii="Calibri" w:hAnsi="Calibri"/>
                <w:b w:val="0"/>
                <w:i w:val="0"/>
                <w:color w:val="212121"/>
                <w:sz w:val="16"/>
              </w:rPr>
              <w:t>Cranial-nerve, fistula &amp; neck exam</w:t>
            </w:r>
          </w:p>
        </w:tc>
        <w:tc>
          <w:tcPr>
            <w:tcW w:type="dxa" w:w="979"/>
            <w:vAlign w:val="top"/>
          </w:tcPr>
          <w:p>
            <w:pPr>
              <w:spacing w:after="40" w:before="0" w:line="259" w:lineRule="auto"/>
            </w:pPr>
            <w:r>
              <w:rPr>
                <w:rFonts w:ascii="Calibri" w:hAnsi="Calibri"/>
                <w:b w:val="0"/>
                <w:i w:val="0"/>
                <w:color w:val="212121"/>
                <w:sz w:val="16"/>
              </w:rPr>
              <w:t>Facial-nerve function, fistula sign, neck swelling (Bezold), meningism, fundoscopy</w:t>
            </w:r>
          </w:p>
        </w:tc>
        <w:tc>
          <w:tcPr>
            <w:tcW w:type="dxa" w:w="950"/>
            <w:vAlign w:val="top"/>
          </w:tcPr>
          <w:p>
            <w:pPr>
              <w:spacing w:after="40" w:before="0" w:line="259" w:lineRule="auto"/>
            </w:pPr>
            <w:r>
              <w:rPr>
                <w:rFonts w:ascii="Calibri" w:hAnsi="Calibri"/>
                <w:b w:val="0"/>
                <w:i w:val="0"/>
                <w:color w:val="212121"/>
                <w:sz w:val="16"/>
              </w:rPr>
              <w:t>Symmetrical face, negative fistula test, supple neck, normal fundi</w:t>
            </w:r>
          </w:p>
        </w:tc>
        <w:tc>
          <w:tcPr>
            <w:tcW w:type="dxa" w:w="950"/>
            <w:vAlign w:val="top"/>
          </w:tcPr>
          <w:p>
            <w:pPr>
              <w:spacing w:after="40" w:before="0" w:line="259" w:lineRule="auto"/>
            </w:pPr>
            <w:r>
              <w:rPr>
                <w:rFonts w:ascii="Calibri" w:hAnsi="Calibri"/>
                <w:b w:val="0"/>
                <w:i w:val="0"/>
                <w:color w:val="212121"/>
                <w:sz w:val="16"/>
              </w:rPr>
              <w:t>Facial palsy, positive fistula test, neck (Bezold) abscess, neck stiffness, papilloedema</w:t>
            </w:r>
          </w:p>
        </w:tc>
        <w:tc>
          <w:tcPr>
            <w:tcW w:type="dxa" w:w="1036"/>
            <w:vAlign w:val="top"/>
          </w:tcPr>
          <w:p>
            <w:pPr>
              <w:spacing w:after="40" w:before="0" w:line="259" w:lineRule="auto"/>
            </w:pPr>
            <w:r>
              <w:rPr>
                <w:rFonts w:ascii="Calibri" w:hAnsi="Calibri"/>
                <w:b w:val="0"/>
                <w:i w:val="0"/>
                <w:color w:val="212121"/>
                <w:sz w:val="16"/>
              </w:rPr>
              <w:t>Detects intratemporal and intracranial spread and labyrinthine fistula</w:t>
            </w:r>
          </w:p>
        </w:tc>
        <w:tc>
          <w:tcPr>
            <w:tcW w:type="dxa" w:w="1036"/>
            <w:vAlign w:val="top"/>
          </w:tcPr>
          <w:p>
            <w:pPr>
              <w:spacing w:after="40" w:before="0" w:line="259" w:lineRule="auto"/>
            </w:pPr>
            <w:r>
              <w:rPr>
                <w:rFonts w:ascii="Calibri" w:hAnsi="Calibri"/>
                <w:b w:val="0"/>
                <w:i w:val="0"/>
                <w:color w:val="212121"/>
                <w:sz w:val="16"/>
              </w:rPr>
              <w:t>Complicated mastoiditis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Facial palsy or vertigo in a discharging ear is never ignored</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Ear pain (otalgia)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Deep, throbbing pain in and around the ear, often worse than the preceding otitis media.</w:t>
            </w:r>
          </w:p>
        </w:tc>
      </w:tr>
      <w:tr>
        <w:trPr>
          <w:cantSplit/>
        </w:trPr>
        <w:tc>
          <w:tcPr>
            <w:tcW w:type="dxa" w:w="2304"/>
            <w:vAlign w:val="top"/>
          </w:tcPr>
          <w:p>
            <w:pPr>
              <w:spacing w:after="40" w:before="0" w:line="259" w:lineRule="auto"/>
            </w:pPr>
            <w:r>
              <w:rPr>
                <w:rFonts w:ascii="Calibri" w:hAnsi="Calibri"/>
                <w:b/>
                <w:i w:val="0"/>
                <w:color w:val="212121"/>
                <w:sz w:val="19"/>
              </w:rPr>
              <w:t>Pain/tenderness behind the ear (postauricular)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Localised pain and tenderness over the mastoid process — a hallmark symptom.</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or recurrent fever during or after an episode of otitis media.</w:t>
            </w:r>
          </w:p>
        </w:tc>
      </w:tr>
      <w:tr>
        <w:trPr>
          <w:cantSplit/>
        </w:trPr>
        <w:tc>
          <w:tcPr>
            <w:tcW w:type="dxa" w:w="2304"/>
            <w:vAlign w:val="top"/>
          </w:tcPr>
          <w:p>
            <w:pPr>
              <w:spacing w:after="40" w:before="0" w:line="259" w:lineRule="auto"/>
            </w:pPr>
            <w:r>
              <w:rPr>
                <w:rFonts w:ascii="Calibri" w:hAnsi="Calibri"/>
                <w:b/>
                <w:i w:val="0"/>
                <w:color w:val="212121"/>
                <w:sz w:val="19"/>
              </w:rPr>
              <w:t>Ear discharge (otorrhoea)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Purulent discharge from an associated perforated or infected middle ear.</w:t>
            </w:r>
          </w:p>
        </w:tc>
      </w:tr>
      <w:tr>
        <w:trPr>
          <w:cantSplit/>
        </w:trPr>
        <w:tc>
          <w:tcPr>
            <w:tcW w:type="dxa" w:w="2304"/>
            <w:vAlign w:val="top"/>
          </w:tcPr>
          <w:p>
            <w:pPr>
              <w:spacing w:after="40" w:before="0" w:line="259" w:lineRule="auto"/>
            </w:pPr>
            <w:r>
              <w:rPr>
                <w:rFonts w:ascii="Calibri" w:hAnsi="Calibri"/>
                <w:b/>
                <w:i w:val="0"/>
                <w:color w:val="212121"/>
                <w:sz w:val="19"/>
              </w:rPr>
              <w:t>Hearing loss in the affected ear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Usually conductive, from the underlying middle-ear infection and effusion.</w:t>
            </w:r>
          </w:p>
        </w:tc>
      </w:tr>
      <w:tr>
        <w:trPr>
          <w:cantSplit/>
        </w:trPr>
        <w:tc>
          <w:tcPr>
            <w:tcW w:type="dxa" w:w="2304"/>
            <w:vAlign w:val="top"/>
          </w:tcPr>
          <w:p>
            <w:pPr>
              <w:spacing w:after="40" w:before="0" w:line="259" w:lineRule="auto"/>
            </w:pPr>
            <w:r>
              <w:rPr>
                <w:rFonts w:ascii="Calibri" w:hAnsi="Calibri"/>
                <w:b/>
                <w:i w:val="0"/>
                <w:color w:val="212121"/>
                <w:sz w:val="19"/>
              </w:rPr>
              <w:t>Redness and swelling behind the ear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Postauricular inflammation that may push the ear outward and forward.</w:t>
            </w:r>
          </w:p>
        </w:tc>
      </w:tr>
      <w:tr>
        <w:trPr>
          <w:cantSplit/>
        </w:trPr>
        <w:tc>
          <w:tcPr>
            <w:tcW w:type="dxa" w:w="2304"/>
            <w:vAlign w:val="top"/>
          </w:tcPr>
          <w:p>
            <w:pPr>
              <w:spacing w:after="40" w:before="0" w:line="259" w:lineRule="auto"/>
            </w:pPr>
            <w:r>
              <w:rPr>
                <w:rFonts w:ascii="Calibri" w:hAnsi="Calibri"/>
                <w:b/>
                <w:i w:val="0"/>
                <w:color w:val="212121"/>
                <w:sz w:val="19"/>
              </w:rPr>
              <w:t>Irritability, poor feeding, lethargy (infants)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but important presentation in the under-2s who form the peak age group.</w:t>
            </w:r>
          </w:p>
        </w:tc>
      </w:tr>
      <w:tr>
        <w:trPr>
          <w:cantSplit/>
        </w:trPr>
        <w:tc>
          <w:tcPr>
            <w:tcW w:type="dxa" w:w="2304"/>
            <w:vAlign w:val="top"/>
          </w:tcPr>
          <w:p>
            <w:pPr>
              <w:spacing w:after="40" w:before="0" w:line="259" w:lineRule="auto"/>
            </w:pPr>
            <w:r>
              <w:rPr>
                <w:rFonts w:ascii="Calibri" w:hAnsi="Calibri"/>
                <w:b/>
                <w:i w:val="0"/>
                <w:color w:val="212121"/>
                <w:sz w:val="19"/>
              </w:rPr>
              <w:t>Malaise / tiredness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 unwellness accompanying the systemic infection.</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Persistent or severe headache raises concern for an intracranial complication.</w:t>
            </w:r>
          </w:p>
        </w:tc>
      </w:tr>
      <w:tr>
        <w:trPr>
          <w:cantSplit/>
        </w:trPr>
        <w:tc>
          <w:tcPr>
            <w:tcW w:type="dxa" w:w="2304"/>
            <w:vAlign w:val="top"/>
          </w:tcPr>
          <w:p>
            <w:pPr>
              <w:spacing w:after="40" w:before="0" w:line="259" w:lineRule="auto"/>
            </w:pPr>
            <w:r>
              <w:rPr>
                <w:rFonts w:ascii="Calibri" w:hAnsi="Calibri"/>
                <w:b/>
                <w:i w:val="0"/>
                <w:color w:val="212121"/>
                <w:sz w:val="19"/>
              </w:rPr>
              <w:t>Vertigo / imbalance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labyrinthine irritation or a labyrinthine fistula — a warning sign.</w:t>
            </w:r>
          </w:p>
        </w:tc>
      </w:tr>
      <w:tr>
        <w:trPr>
          <w:cantSplit/>
        </w:trPr>
        <w:tc>
          <w:tcPr>
            <w:tcW w:type="dxa" w:w="2304"/>
            <w:vAlign w:val="top"/>
          </w:tcPr>
          <w:p>
            <w:pPr>
              <w:spacing w:after="40" w:before="0" w:line="259" w:lineRule="auto"/>
            </w:pPr>
            <w:r>
              <w:rPr>
                <w:rFonts w:ascii="Calibri" w:hAnsi="Calibri"/>
                <w:b/>
                <w:i w:val="0"/>
                <w:color w:val="212121"/>
                <w:sz w:val="19"/>
              </w:rPr>
              <w:t>Facial asymmetry / weakness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Facial-nerve involvement by mastoid disease — a red-flag complication.</w:t>
            </w:r>
          </w:p>
        </w:tc>
      </w:tr>
      <w:tr>
        <w:trPr>
          <w:cantSplit/>
        </w:trPr>
        <w:tc>
          <w:tcPr>
            <w:tcW w:type="dxa" w:w="2304"/>
            <w:vAlign w:val="top"/>
          </w:tcPr>
          <w:p>
            <w:pPr>
              <w:spacing w:after="40" w:before="0" w:line="259" w:lineRule="auto"/>
            </w:pPr>
            <w:r>
              <w:rPr>
                <w:rFonts w:ascii="Calibri" w:hAnsi="Calibri"/>
                <w:b/>
                <w:i w:val="0"/>
                <w:color w:val="212121"/>
                <w:sz w:val="19"/>
              </w:rPr>
              <w:t>Neck stiffness, drowsiness or altered sensorium</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Signals meningitis or another intracranial complication — an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Postauricular erythema, tenderness, warmth and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Inflammation over the mastoid process — the defining external sign.</w:t>
            </w:r>
          </w:p>
        </w:tc>
      </w:tr>
      <w:tr>
        <w:trPr>
          <w:cantSplit/>
        </w:trPr>
        <w:tc>
          <w:tcPr>
            <w:tcW w:type="dxa" w:w="3456"/>
            <w:vAlign w:val="top"/>
          </w:tcPr>
          <w:p>
            <w:pPr>
              <w:spacing w:after="40" w:before="0" w:line="259" w:lineRule="auto"/>
            </w:pPr>
            <w:r>
              <w:rPr>
                <w:rFonts w:ascii="Calibri" w:hAnsi="Calibri"/>
                <w:b/>
                <w:i w:val="0"/>
                <w:color w:val="212121"/>
                <w:sz w:val="19"/>
              </w:rPr>
              <w:t>Protrusion of the auricle; loss of the postauricular sulcus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Swelling pushes the pinna forward, downward and outward and obliterates the crease behind the ear.</w:t>
            </w:r>
          </w:p>
        </w:tc>
      </w:tr>
      <w:tr>
        <w:trPr>
          <w:cantSplit/>
        </w:trPr>
        <w:tc>
          <w:tcPr>
            <w:tcW w:type="dxa" w:w="3456"/>
            <w:vAlign w:val="top"/>
          </w:tcPr>
          <w:p>
            <w:pPr>
              <w:spacing w:after="40" w:before="0" w:line="259" w:lineRule="auto"/>
            </w:pPr>
            <w:r>
              <w:rPr>
                <w:rFonts w:ascii="Calibri" w:hAnsi="Calibri"/>
                <w:b/>
                <w:i w:val="0"/>
                <w:color w:val="212121"/>
                <w:sz w:val="19"/>
              </w:rPr>
              <w:t>Sagging of the posterosuperior bony meatal wall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Otoscopic sign of coalescent mastoiditis with periosteal/subperiosteal spread.</w:t>
            </w:r>
          </w:p>
        </w:tc>
      </w:tr>
      <w:tr>
        <w:trPr>
          <w:cantSplit/>
        </w:trPr>
        <w:tc>
          <w:tcPr>
            <w:tcW w:type="dxa" w:w="3456"/>
            <w:vAlign w:val="top"/>
          </w:tcPr>
          <w:p>
            <w:pPr>
              <w:spacing w:after="40" w:before="0" w:line="259" w:lineRule="auto"/>
            </w:pPr>
            <w:r>
              <w:rPr>
                <w:rFonts w:ascii="Calibri" w:hAnsi="Calibri"/>
                <w:b/>
                <w:i w:val="0"/>
                <w:color w:val="212121"/>
                <w:sz w:val="19"/>
              </w:rPr>
              <w:t>Otoscopic middle-ear infection (bulging/perforated, discharging drum)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underlying acute or chronic otitis media that seeded the mastoid.</w:t>
            </w:r>
          </w:p>
        </w:tc>
      </w:tr>
      <w:tr>
        <w:trPr>
          <w:cantSplit/>
        </w:trPr>
        <w:tc>
          <w:tcPr>
            <w:tcW w:type="dxa" w:w="3456"/>
            <w:vAlign w:val="top"/>
          </w:tcPr>
          <w:p>
            <w:pPr>
              <w:spacing w:after="40" w:before="0" w:line="259" w:lineRule="auto"/>
            </w:pPr>
            <w:r>
              <w:rPr>
                <w:rFonts w:ascii="Calibri" w:hAnsi="Calibri"/>
                <w:b/>
                <w:i w:val="0"/>
                <w:color w:val="212121"/>
                <w:sz w:val="19"/>
              </w:rPr>
              <w:t>Conductive hearing loss on tuning-fork tests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Rinne negative and Weber lateralising to the affected ear.</w:t>
            </w:r>
          </w:p>
        </w:tc>
      </w:tr>
      <w:tr>
        <w:trPr>
          <w:cantSplit/>
        </w:trPr>
        <w:tc>
          <w:tcPr>
            <w:tcW w:type="dxa" w:w="3456"/>
            <w:vAlign w:val="top"/>
          </w:tcPr>
          <w:p>
            <w:pPr>
              <w:spacing w:after="40" w:before="0" w:line="259" w:lineRule="auto"/>
            </w:pPr>
            <w:r>
              <w:rPr>
                <w:rFonts w:ascii="Calibri" w:hAnsi="Calibri"/>
                <w:b/>
                <w:i w:val="0"/>
                <w:color w:val="212121"/>
                <w:sz w:val="19"/>
              </w:rPr>
              <w:t>Fever and systemic signs of infection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Tachycardia and pyrexia reflecting active suppuration.</w:t>
            </w:r>
          </w:p>
        </w:tc>
      </w:tr>
      <w:tr>
        <w:trPr>
          <w:cantSplit/>
        </w:trPr>
        <w:tc>
          <w:tcPr>
            <w:tcW w:type="dxa" w:w="3456"/>
            <w:vAlign w:val="top"/>
          </w:tcPr>
          <w:p>
            <w:pPr>
              <w:spacing w:after="40" w:before="0" w:line="259" w:lineRule="auto"/>
            </w:pPr>
            <w:r>
              <w:rPr>
                <w:rFonts w:ascii="Calibri" w:hAnsi="Calibri"/>
                <w:b/>
                <w:i w:val="0"/>
                <w:color w:val="212121"/>
                <w:sz w:val="19"/>
              </w:rPr>
              <w:t>Fluctuant postauricular (subperiosteal)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a mastoid (subperiosteal) abscess — the commonest extracranial complication.</w:t>
            </w:r>
          </w:p>
        </w:tc>
      </w:tr>
      <w:tr>
        <w:trPr>
          <w:cantSplit/>
        </w:trPr>
        <w:tc>
          <w:tcPr>
            <w:tcW w:type="dxa" w:w="3456"/>
            <w:vAlign w:val="top"/>
          </w:tcPr>
          <w:p>
            <w:pPr>
              <w:spacing w:after="40" w:before="0" w:line="259" w:lineRule="auto"/>
            </w:pPr>
            <w:r>
              <w:rPr>
                <w:rFonts w:ascii="Calibri" w:hAnsi="Calibri"/>
                <w:b/>
                <w:i w:val="0"/>
                <w:color w:val="212121"/>
                <w:sz w:val="19"/>
              </w:rPr>
              <w:t>Bezold abscess (neck swelling along sternocleidomastoid)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Pus tracking through the mastoid tip into the upper neck.</w:t>
            </w:r>
          </w:p>
        </w:tc>
      </w:tr>
      <w:tr>
        <w:trPr>
          <w:cantSplit/>
        </w:trPr>
        <w:tc>
          <w:tcPr>
            <w:tcW w:type="dxa" w:w="3456"/>
            <w:vAlign w:val="top"/>
          </w:tcPr>
          <w:p>
            <w:pPr>
              <w:spacing w:after="40" w:before="0" w:line="259" w:lineRule="auto"/>
            </w:pPr>
            <w:r>
              <w:rPr>
                <w:rFonts w:ascii="Calibri" w:hAnsi="Calibri"/>
                <w:b/>
                <w:i w:val="0"/>
                <w:color w:val="212121"/>
                <w:sz w:val="19"/>
              </w:rPr>
              <w:t>Facial-nerve palsy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House–Brackmann-graded weakness from facial-canal erosion/inflammation.</w:t>
            </w:r>
          </w:p>
        </w:tc>
      </w:tr>
      <w:tr>
        <w:trPr>
          <w:cantSplit/>
        </w:trPr>
        <w:tc>
          <w:tcPr>
            <w:tcW w:type="dxa" w:w="3456"/>
            <w:vAlign w:val="top"/>
          </w:tcPr>
          <w:p>
            <w:pPr>
              <w:spacing w:after="40" w:before="0" w:line="259" w:lineRule="auto"/>
            </w:pPr>
            <w:r>
              <w:rPr>
                <w:rFonts w:ascii="Calibri" w:hAnsi="Calibri"/>
                <w:b/>
                <w:i w:val="0"/>
                <w:color w:val="212121"/>
                <w:sz w:val="19"/>
              </w:rPr>
              <w:t>Positive fistula test / spontaneous nystagmus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Vertigo and nystagmus on tragal pressure indicate a labyrinthine (semicircular-canal) fistula.</w:t>
            </w:r>
          </w:p>
        </w:tc>
      </w:tr>
      <w:tr>
        <w:trPr>
          <w:cantSplit/>
        </w:trPr>
        <w:tc>
          <w:tcPr>
            <w:tcW w:type="dxa" w:w="3456"/>
            <w:vAlign w:val="top"/>
          </w:tcPr>
          <w:p>
            <w:pPr>
              <w:spacing w:after="40" w:before="0" w:line="259" w:lineRule="auto"/>
            </w:pPr>
            <w:r>
              <w:rPr>
                <w:rFonts w:ascii="Calibri" w:hAnsi="Calibri"/>
                <w:b/>
                <w:i w:val="0"/>
                <w:color w:val="212121"/>
                <w:sz w:val="19"/>
              </w:rPr>
              <w:t>Neck stiffness, papilloedema or focal neurology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Signals an intracranial complication (meningitis, abscess, sinus thrombosis) — an emergency.</w:t>
            </w:r>
          </w:p>
        </w:tc>
      </w:tr>
      <w:tr>
        <w:trPr>
          <w:cantSplit/>
        </w:trPr>
        <w:tc>
          <w:tcPr>
            <w:tcW w:type="dxa" w:w="3456"/>
            <w:vAlign w:val="top"/>
          </w:tcPr>
          <w:p>
            <w:pPr>
              <w:spacing w:after="40" w:before="0" w:line="259" w:lineRule="auto"/>
            </w:pPr>
            <w:r>
              <w:rPr>
                <w:rFonts w:ascii="Calibri" w:hAnsi="Calibri"/>
                <w:b/>
                <w:i w:val="0"/>
                <w:color w:val="212121"/>
                <w:sz w:val="19"/>
              </w:rPr>
              <w:t>Abducens palsy with deep retro-orbital pain (Gradenigo triad)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Petrous apicitis: otorrhoea, deep facial/retro-orbital pain and lateral-rectus palsy.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coalescent mastoiditis (destruction of the bony septa)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Subperiosteal (postauricular)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Conductive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Osteitis / osteomyelitis of the temporal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chronic or ‘masked’ mastoid infection</w:t>
            </w:r>
          </w:p>
        </w:tc>
        <w:tc>
          <w:tcPr>
            <w:tcW w:type="dxa" w:w="2980"/>
            <w:vAlign w:val="top"/>
          </w:tcPr>
          <w:p>
            <w:pPr>
              <w:spacing w:after="40" w:before="0" w:line="259" w:lineRule="auto"/>
            </w:pPr>
            <w:r>
              <w:rPr>
                <w:rFonts w:ascii="Calibri" w:hAnsi="Calibri"/>
                <w:b w:val="0"/>
                <w:i w:val="0"/>
                <w:color w:val="212121"/>
                <w:sz w:val="19"/>
              </w:rPr>
              <w:t>Direct, largely intratemporal consequences of the spreading mastoid air-cell infection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Bezold abscess (pus tracking into the neck along sternocleidomastoid)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Zygomatic / Citelli (postauricular deep)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Facial-nerve palsy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Labyrinthitis and labyrinthine (semicircular-canal) fistula with sensorineural loss and vertigo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Petrositis / petrous apicitis (Gradenigo syndrome)</w:t>
            </w:r>
          </w:p>
        </w:tc>
        <w:tc>
          <w:tcPr>
            <w:tcW w:type="dxa" w:w="2980"/>
            <w:vAlign w:val="top"/>
          </w:tcPr>
          <w:p>
            <w:pPr>
              <w:spacing w:after="40" w:before="0" w:line="259" w:lineRule="auto"/>
            </w:pPr>
            <w:r>
              <w:rPr>
                <w:rFonts w:ascii="Calibri" w:hAnsi="Calibri"/>
                <w:b w:val="0"/>
                <w:i w:val="0"/>
                <w:color w:val="212121"/>
                <w:sz w:val="19"/>
              </w:rPr>
              <w:t>Regional/extracranial spread beyond the mastoid; subperiosteal abscess was the commonest extracranial complication (~38.6%) in an Indian complicated-CSOM series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Extradural, subdural and intracerebral (temporal-lobe / cerebellar)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Sigmoid / lateral-sinus thrombophlebitis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Otitic hydrocephalus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deafness with speech, language, educational and occupational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intracranial sepsis</w:t>
            </w:r>
          </w:p>
        </w:tc>
        <w:tc>
          <w:tcPr>
            <w:tcW w:type="dxa" w:w="2980"/>
            <w:vAlign w:val="top"/>
          </w:tcPr>
          <w:p>
            <w:pPr>
              <w:spacing w:after="40" w:before="0" w:line="259" w:lineRule="auto"/>
            </w:pPr>
            <w:r>
              <w:rPr>
                <w:rFonts w:ascii="Calibri" w:hAnsi="Calibri"/>
                <w:b w:val="0"/>
                <w:i w:val="0"/>
                <w:color w:val="212121"/>
                <w:sz w:val="19"/>
              </w:rPr>
              <w:t>Irreversible, life-threatening intracranial and disabling outcomes; intracranial complications occur in about 6–23% of cases and mortality reaches ~10% in children with sequelae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Acute / chronic otitis media (the source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Mastoiditis is the direct intratemporal extension of middle-ear infection; treating the otitis media is central to preventing and resolving it.</w:t>
            </w:r>
          </w:p>
        </w:tc>
      </w:tr>
      <w:tr>
        <w:trPr>
          <w:cantSplit/>
        </w:trPr>
        <w:tc>
          <w:tcPr>
            <w:tcW w:type="dxa" w:w="2232"/>
            <w:vAlign w:val="top"/>
          </w:tcPr>
          <w:p>
            <w:pPr>
              <w:spacing w:after="40" w:before="0" w:line="259" w:lineRule="auto"/>
            </w:pPr>
            <w:r>
              <w:rPr>
                <w:rFonts w:ascii="Calibri" w:hAnsi="Calibri"/>
                <w:b/>
                <w:i w:val="0"/>
                <w:color w:val="212121"/>
                <w:sz w:val="19"/>
              </w:rPr>
              <w:t>Chronic suppurative otitis media / cholesteatoma (unsafe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Underlies most chronic mastoiditis in India; bone erosion and granulation sustain mastoid infection and drive complications.</w:t>
            </w:r>
          </w:p>
        </w:tc>
      </w:tr>
      <w:tr>
        <w:trPr>
          <w:cantSplit/>
        </w:trPr>
        <w:tc>
          <w:tcPr>
            <w:tcW w:type="dxa" w:w="2232"/>
            <w:vAlign w:val="top"/>
          </w:tcPr>
          <w:p>
            <w:pPr>
              <w:spacing w:after="40" w:before="0" w:line="259" w:lineRule="auto"/>
            </w:pPr>
            <w:r>
              <w:rPr>
                <w:rFonts w:ascii="Calibri" w:hAnsi="Calibri"/>
                <w:b/>
                <w:i w:val="0"/>
                <w:color w:val="212121"/>
                <w:sz w:val="19"/>
              </w:rPr>
              <w:t>Subperiosteal (postauricular) abscess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Pus erodes the mastoid cortex and collects under the periosteum, pushing the pinna forward; the commonest extracranial complication.</w:t>
            </w:r>
          </w:p>
          <w:p>
            <w:pPr>
              <w:spacing w:after="40" w:before="0" w:line="259" w:lineRule="auto"/>
            </w:pPr>
            <w:r>
              <w:rPr>
                <w:rFonts w:ascii="Calibri" w:hAnsi="Calibri"/>
                <w:b/>
                <w:i w:val="0"/>
                <w:color w:val="212121"/>
                <w:sz w:val="19"/>
              </w:rPr>
              <w:t>~38.6% of complicated cases</w:t>
            </w:r>
          </w:p>
        </w:tc>
      </w:tr>
      <w:tr>
        <w:trPr>
          <w:cantSplit/>
        </w:trPr>
        <w:tc>
          <w:tcPr>
            <w:tcW w:type="dxa" w:w="2232"/>
            <w:vAlign w:val="top"/>
          </w:tcPr>
          <w:p>
            <w:pPr>
              <w:spacing w:after="40" w:before="0" w:line="259" w:lineRule="auto"/>
            </w:pPr>
            <w:r>
              <w:rPr>
                <w:rFonts w:ascii="Calibri" w:hAnsi="Calibri"/>
                <w:b/>
                <w:i w:val="0"/>
                <w:color w:val="212121"/>
                <w:sz w:val="19"/>
              </w:rPr>
              <w:t>Meningitis / intracranial abscess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Intracranial spread through eroded bone or thrombophlebitis is the most feared outcome and the main cause of death.</w:t>
            </w:r>
          </w:p>
          <w:p>
            <w:pPr>
              <w:spacing w:after="40" w:before="0" w:line="259" w:lineRule="auto"/>
            </w:pPr>
            <w:r>
              <w:rPr>
                <w:rFonts w:ascii="Calibri" w:hAnsi="Calibri"/>
                <w:b/>
                <w:i w:val="0"/>
                <w:color w:val="212121"/>
                <w:sz w:val="19"/>
              </w:rPr>
              <w:t>~6–23% (intracranial complications)</w:t>
            </w:r>
          </w:p>
        </w:tc>
      </w:tr>
      <w:tr>
        <w:trPr>
          <w:cantSplit/>
        </w:trPr>
        <w:tc>
          <w:tcPr>
            <w:tcW w:type="dxa" w:w="2232"/>
            <w:vAlign w:val="top"/>
          </w:tcPr>
          <w:p>
            <w:pPr>
              <w:spacing w:after="40" w:before="0" w:line="259" w:lineRule="auto"/>
            </w:pPr>
            <w:r>
              <w:rPr>
                <w:rFonts w:ascii="Calibri" w:hAnsi="Calibri"/>
                <w:b/>
                <w:i w:val="0"/>
                <w:color w:val="212121"/>
                <w:sz w:val="19"/>
              </w:rPr>
              <w:t>Sigmoid (lateral) sinus thrombophlebitis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Infective thrombosis of the adjacent venous sinus, presenting with spiking fever and sometimes raised intracranial pressure.</w:t>
            </w:r>
          </w:p>
        </w:tc>
      </w:tr>
      <w:tr>
        <w:trPr>
          <w:cantSplit/>
        </w:trPr>
        <w:tc>
          <w:tcPr>
            <w:tcW w:type="dxa" w:w="2232"/>
            <w:vAlign w:val="top"/>
          </w:tcPr>
          <w:p>
            <w:pPr>
              <w:spacing w:after="40" w:before="0" w:line="259" w:lineRule="auto"/>
            </w:pPr>
            <w:r>
              <w:rPr>
                <w:rFonts w:ascii="Calibri" w:hAnsi="Calibri"/>
                <w:b/>
                <w:i w:val="0"/>
                <w:color w:val="212121"/>
                <w:sz w:val="19"/>
              </w:rPr>
              <w:t>Facial-nerve palsy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Erosion/inflammation of the facial canal produces lower-motor-neuron facial weakness on the affected side.</w:t>
            </w:r>
          </w:p>
        </w:tc>
      </w:tr>
      <w:tr>
        <w:trPr>
          <w:cantSplit/>
        </w:trPr>
        <w:tc>
          <w:tcPr>
            <w:tcW w:type="dxa" w:w="2232"/>
            <w:vAlign w:val="top"/>
          </w:tcPr>
          <w:p>
            <w:pPr>
              <w:spacing w:after="40" w:before="0" w:line="259" w:lineRule="auto"/>
            </w:pPr>
            <w:r>
              <w:rPr>
                <w:rFonts w:ascii="Calibri" w:hAnsi="Calibri"/>
                <w:b/>
                <w:i w:val="0"/>
                <w:color w:val="212121"/>
                <w:sz w:val="19"/>
              </w:rPr>
              <w:t>Labyrinthitis / sensorineural hearing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Inner-ear involvement causes vertigo and a sensorineural component that adds to the conductive loss of the underlying otitis media.</w:t>
            </w:r>
          </w:p>
        </w:tc>
      </w:tr>
      <w:tr>
        <w:trPr>
          <w:cantSplit/>
        </w:trPr>
        <w:tc>
          <w:tcPr>
            <w:tcW w:type="dxa" w:w="2232"/>
            <w:vAlign w:val="top"/>
          </w:tcPr>
          <w:p>
            <w:pPr>
              <w:spacing w:after="40" w:before="0" w:line="259" w:lineRule="auto"/>
            </w:pPr>
            <w:r>
              <w:rPr>
                <w:rFonts w:ascii="Calibri" w:hAnsi="Calibri"/>
                <w:b/>
                <w:i w:val="0"/>
                <w:color w:val="212121"/>
                <w:sz w:val="19"/>
              </w:rPr>
              <w:t>Diabetes mellitus / immunocompromise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Coexistence predisposes to severe, resistant and skull-base (necrotising) infection and alters antibiotic choice, monitoring and prognosis.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every episode of acute otitis media and upper-respiratory infection promptly and completely, and finish the full antibiotic course, to stop spread to the mastoid.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ENT care for pain, swelling, redness or tenderness behind the ear, or for fever that persists or returns after an ear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stop antibiotics early once an ear infection improves, as partial treatment can ‘mask’ a smouldering mastoiditis.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danger signs — severe headache, drowsiness, neck stiffness, facial weakness, vertigo or double vision — and attend the emergency department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discharging or perforated ear strictly dry, and never insert cotton buds, hairpins or oils into the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chronic/‘unsafe’ ear disease and cholesteatoma need surgery, not just drops, to prevent mastoid and intracranial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or chronic ear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urban-slum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and school-health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Accept prompt hospital admission and intravenous antibiotics when mastoiditis is diagnosed.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Agree to timely cortical mastoidectomy/abscess drainage when advised for coalescent disease, abscess or a complication.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intravenous and oral antibiotics and attend all follow-up and audiometry appointments.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CSOM-related disease, accept definitive tympanomastoid surgery to remove cholesteatoma and prevent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mastoiditis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candidates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CSOM/cholesteatoma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and good nutrition to support immunity and resistance to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swimming, diving and head-under-water activities while an ear is discharging or perforated.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well-fitted moulded ear protection for water activities once cleared by an ENT surgeon.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forceful nose-blowing and high-pressure activities during an upper-respiratory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&amp; young adults with ear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Swimmers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 discharging ear</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Breastfeed exclusively for the first 6 months and continue thereafter, feeding the baby held upright rather than lying flat.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 balanced diet adequate in protein, vitamin A, zinc and iron to support mucosal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undernutrition in children as part of preventing recurrent ear infection and its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bottle-propping and supine feeding, which reflux milk toward the Eustachian tube.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&amp;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rest during the acute illness and recovery to support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and use prescribed analgesia so that ear and mastoid pain do not disrupt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blockage and allergic rhinitis before bedtime to improve Eustachian-tube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during acute mastoiditis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nasal allergy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car completely smoke-free — eliminate all passive tobacco-smoke exposure for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from wood/charcoal (biomass) cooking to clean fuel (LPG) or use a ventilated chimney stove.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kitchen ventilation to cut indoor smoke exposure in solid-fuel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tobacco-cessation support to household members who smoke.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smoking/biomass homes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solid-fuel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to avoid immune impairment and neglected ear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particularly where diabetes or immunocompromise coexists.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let intoxication delay attention to danger signs of a spreading ear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ear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Diabetic/immunocompromised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around emergency surgery and admission with clear counselling for patients and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hearing rehabilitation and communication support where hearing loss persists after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affected children for learning and language difficulties and arrange educational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that prompt, complete treatment usually restores hearing and prevents serious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Families/caregivers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during the acute febrile illness and avoid strenuous activity until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mastoidectomy, avoid water entry, diving, air travel and heavy exertion until cleared by the surgeon.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protecting the operated ear from water and trauma.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during acute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Post-mastoidectomy patients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60877/" TargetMode="External"/><Relationship Id="rId10" Type="http://schemas.openxmlformats.org/officeDocument/2006/relationships/hyperlink" Target="https://pubmed.ncbi.nlm.nih.gov/17666139/" TargetMode="External"/><Relationship Id="rId11" Type="http://schemas.openxmlformats.org/officeDocument/2006/relationships/hyperlink" Target="https://pubmed.ncbi.nlm.nih.gov/32219073/" TargetMode="External"/><Relationship Id="rId12" Type="http://schemas.openxmlformats.org/officeDocument/2006/relationships/hyperlink" Target="https://pubmed.ncbi.nlm.nih.gov/25465454/" TargetMode="External"/><Relationship Id="rId13" Type="http://schemas.openxmlformats.org/officeDocument/2006/relationships/hyperlink" Target="https://pubmed.ncbi.nlm.nih.gov/36742467/" TargetMode="External"/><Relationship Id="rId14" Type="http://schemas.openxmlformats.org/officeDocument/2006/relationships/hyperlink" Target="https://pubmed.ncbi.nlm.nih.gov/23120410/" TargetMode="External"/><Relationship Id="rId15" Type="http://schemas.openxmlformats.org/officeDocument/2006/relationships/hyperlink" Target="https://pubmed.ncbi.nlm.nih.gov/31750215/" TargetMode="External"/><Relationship Id="rId16" Type="http://schemas.openxmlformats.org/officeDocument/2006/relationships/hyperlink" Target="https://pubmed.ncbi.nlm.nih.gov/15105407/" TargetMode="External"/><Relationship Id="rId17" Type="http://schemas.openxmlformats.org/officeDocument/2006/relationships/hyperlink" Target="https://pubmed.ncbi.nlm.nih.gov/25513869/" TargetMode="External"/><Relationship Id="rId18" Type="http://schemas.openxmlformats.org/officeDocument/2006/relationships/hyperlink" Target="https://www.msdmanuals.com/professional/ear-nose-and-throat-disorders/middle-ear-and-tympanic-membrane-disorders/mastoidi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