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Adenoid Hypertrophy</w:t>
      </w:r>
    </w:p>
    <w:p>
      <w:pPr>
        <w:spacing w:before="0" w:after="160"/>
      </w:pPr>
      <w:r>
        <w:rPr>
          <w:rFonts w:ascii="Calibri" w:hAnsi="Calibri"/>
          <w:b/>
          <w:i w:val="0"/>
          <w:color w:val="212121"/>
          <w:sz w:val="22"/>
        </w:rPr>
        <w:t xml:space="preserve">AKA </w:t>
      </w:r>
      <w:r>
        <w:rPr>
          <w:rFonts w:ascii="Calibri" w:hAnsi="Calibri"/>
          <w:b w:val="0"/>
          <w:i w:val="0"/>
          <w:color w:val="212121"/>
          <w:sz w:val="22"/>
        </w:rPr>
        <w:t>i.e., Enlarged adenoids, Adenoid enlargement, Adenoidal hypertrophy, Nasopharyngeal tonsil hypertrophy, Chronic adenoiditis (when infected), Adenoid facies (the chronic clinical picture)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Adenoid hypertrophy is enlargement of the adenoids (the nasopharyngeal tonsil), a mass of lymphoid tissue in the roof and posterior wall of the nasopharynx that forms part of Waldeyer's ring. The adenoid enlarges physiologically as an immune response to inhaled and ingested antigens, peaking at about 3-7 years of age and regressing through adolescence; when it becomes large enough to obstruct the posterior nasal airway and the Eustachian-tube openings, it produces chronic nasal obstruction, mouth breathing, snoring, otitis media with effusion and, in more severe cases, obstructive sleep apnoea and the characteristic 'adenoid facies'. It is one of the commonest paediatric ENT problems and, in India, an important and often under-recognised cause of childhood sleep-disordered breathing, hearing loss and school under-performance. In adults, unlike children, new or persistent adenoidal enlargement is unusual and must be distinguished from neoplasia or immunodeficiency-related hyperplasia.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Adenoid hypertrophy is one of the commonest disorders of childhood: representative paediatric samples report a prevalence of about 34%, rising to roughly 42-70% among children attending ENT clinics. In India the burden is concentrated in young children with chronic nasal and upper-airway symptoms - in an Indian series of children with persistent rhinorrhoea (mean age 6.8 years) 97% had grade 2-4 adenoid enlargement on endoscopy, and adenoidal obstruction is a leading contributor to paediatric otitis media with effusion and obstructive sleep-disordered breathing. Because the adenoid normally enlarges from infancy, peaks around 3-7 years and involutes through adolescence, symptomatic hypertrophy predominates in the preschool and early-school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Adenoid hypertrophy is largely a clinical diagnosis in a child with chronic nasal obstruction, mouth breathing and snoring, confirmed by direct visualisation and supported by imaging, sleep and audiological assessment. It is suggested and confirmed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classic history of long-standing bilateral nasal obstruction, mouth breathing, snoring, a hyponasal ('blocked-nose') voice and rhinorrhoea, often with recurrent ear or sinus infection and disturbed sleep;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flexible nasopharyngoscopy - the office gold standard - directly visualising the adenoid mass and grading the percentage of choanal (posterior nasal) obstruction (endoscopic grades I-IV: &lt;40%, 41-70%, 71-90% and complete obstruction);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lateral soft-tissue radiograph of the nasopharynx giving the adenoid-nasopharyngeal (A/N) ratio (Fujioka: &lt;=0.5 normal/small, 0.5-0.7 moderate, &gt;0.7 large/significant);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otoscopy and tympanometry to detect associated otitis media with effusion (a type B or C tympanogram), with pure-tone/impedance audiometry to quantify conductive hearing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overnight polysomnography (or nocturnal pulse oximetry where sleep studies are unavailable) when obstructive sleep apnoea is suspected - an apnoea-hypopnoea index (AHI) &gt;=1 event/hour is abnormal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adults, or in atypical/unilateral or rapidly enlarging cases, endoscopic assessment with biopsy to exclude nasopharyngeal carcinoma or lymphoma, and evaluation for HIV/immunodeficiency-related lymphoid hyperplasia.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Adenoid hypertrophy is classified by its size/grade, its underlying cause, and the dominant clinical syndrome it produces:</w:t>
      </w:r>
    </w:p>
    <w:p>
      <w:pPr>
        <w:spacing w:before="0" w:after="80"/>
      </w:pPr>
      <w:r>
        <w:rPr>
          <w:rFonts w:ascii="Calibri" w:hAnsi="Calibri"/>
          <w:b w:val="0"/>
          <w:i w:val="0"/>
          <w:color w:val="212121"/>
          <w:sz w:val="21"/>
        </w:rPr>
        <w:t>(1) By size/grade - endoscopic grading of choanal obstruction (grades I-IV) and the radiographic adenoid-nasopharyngeal (A/N) ratio (Fujioka grades I-III), which stage the degree of nasopharyngeal airway narrowing and guide the decision to operate;</w:t>
      </w:r>
    </w:p>
    <w:p>
      <w:pPr>
        <w:spacing w:before="0" w:after="80"/>
      </w:pPr>
      <w:r>
        <w:rPr>
          <w:rFonts w:ascii="Calibri" w:hAnsi="Calibri"/>
          <w:b w:val="0"/>
          <w:i w:val="0"/>
          <w:color w:val="212121"/>
          <w:sz w:val="21"/>
        </w:rPr>
        <w:t>(2) By aetiology - physiological lymphoid hyperplasia (an age-related immune response peaking at 3-7 years), infective/chronic adenoiditis (recurrent viral and bacterial infection, often with biofilms), and allergic/inflammatory hypertrophy (atopy, allergic rhinitis, gastro-oesophageal reflux and environmental irritants such as tobacco and biomass smoke);</w:t>
      </w:r>
    </w:p>
    <w:p>
      <w:pPr>
        <w:spacing w:before="0" w:after="80"/>
      </w:pPr>
      <w:r>
        <w:rPr>
          <w:rFonts w:ascii="Calibri" w:hAnsi="Calibri"/>
          <w:b w:val="0"/>
          <w:i w:val="0"/>
          <w:color w:val="212121"/>
          <w:sz w:val="21"/>
        </w:rPr>
        <w:t>(3) By clinical syndrome - an obstructive pattern (mouth breathing, snoring, obstructive sleep apnoea and adenoid facies), a Eustachian-tube pattern (otitis media with effusion, recurrent acute otitis media and conductive hearing loss), and a mixed adenotonsillar pattern when the palatine tonsils are also enlarged;</w:t>
      </w:r>
    </w:p>
    <w:p>
      <w:pPr>
        <w:spacing w:before="0" w:after="80"/>
      </w:pPr>
      <w:r>
        <w:rPr>
          <w:rFonts w:ascii="Calibri" w:hAnsi="Calibri"/>
          <w:b w:val="0"/>
          <w:i w:val="0"/>
          <w:color w:val="212121"/>
          <w:sz w:val="21"/>
        </w:rPr>
        <w:t>(4) By chronicity/sequelae - acute-on-chronic adenoiditis versus long-standing hypertrophy that has produced fixed dentofacial changes ('adenoid facies'); in adults, pathological enlargement that must be distinguished from neoplasia.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Physiological lymphoid hyperplasia: the nasopharyngeal tonsil is part of Waldeyer's ring and enlarges as a normal immune response to inhaled and ingested antigens, peaking between about 3 and 7 years of age before involuting through adolescence.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Recurrent and chronic infection: repeated viral upper-respiratory infections and bacterial colonisation/biofilms (Streptococcus pneumoniae, Haemophilus influenzae, Staphylococcus aureus, group A streptococcus and anaerobes) drive persistent inflammatory enlargement (chronic adenoiditis).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Allergy and atopy: allergic rhinitis and atopic inflammation promote adenoidal hyperplasia, and skin-prick positivity is high in symptomatic children.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Gastro-oesophageal / laryngopharyngeal reflux: acid and pepsin reaching the nasopharynx irritate the lymphoid tissue and are associated with adenoid hypertrophy, particularly in younger children.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irritants: exposure to tobacco smoke, biomass-fuel (wood/charcoal) smoke and ambient air pollution inflames the nasopharyngeal mucosa and increases recurrent infection - a highly relevant exposure in Indian households using solid fuels.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anatomical and (in adults) other factors: craniofacial anomalies such as cleft palate and Down syndrome predispose from infancy, while in adults immunodeficiency/HIV or neoplasm (lymphoma, nasopharyngeal carcinoma) must be excluded.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Preschool &amp; young children (peak 3-7 years)</w:t>
            </w:r>
          </w:p>
        </w:tc>
        <w:tc>
          <w:tcPr>
            <w:tcW w:type="dxa" w:w="4276"/>
            <w:vAlign w:val="top"/>
          </w:tcPr>
          <w:p>
            <w:pPr>
              <w:spacing w:after="60" w:line="259" w:lineRule="auto"/>
            </w:pPr>
            <w:r>
              <w:rPr>
                <w:rFonts w:ascii="Calibri" w:hAnsi="Calibri"/>
                <w:b w:val="0"/>
                <w:i w:val="0"/>
                <w:color w:val="212121"/>
                <w:sz w:val="19"/>
              </w:rPr>
              <w:t>The adenoid follows a physiological growth curve, enlarging fastest in the preschool years when antigen exposure is high and the nasopharynx is still small, so relative airway obstruction and symptoms peak at about 3-7 years of age.</w:t>
            </w:r>
          </w:p>
          <w:p>
            <w:pPr>
              <w:spacing w:after="40" w:before="60" w:line="259" w:lineRule="auto"/>
            </w:pPr>
            <w:r>
              <w:rPr>
                <w:rFonts w:ascii="Calibri" w:hAnsi="Calibri"/>
                <w:b w:val="0"/>
                <w:i w:val="0"/>
                <w:color w:val="212121"/>
                <w:sz w:val="19"/>
              </w:rPr>
              <w:t>Adenoid size typically reaches its maximum by around 6-7 years of age, and representative paediatric samples report an overall prevalence of about 34.46%.</w:t>
            </w:r>
          </w:p>
          <w:p>
            <w:pPr>
              <w:spacing w:after="40" w:line="252" w:lineRule="auto"/>
            </w:pPr>
            <w:hyperlink r:id="rId9">
              <w:r>
                <w:rPr>
                  <w:rFonts w:ascii="Calibri" w:hAnsi="Calibri" w:cs="Calibri"/>
                  <w:sz w:val="18"/>
                  <w:color w:val="1155CC"/>
                  <w:u w:val="single"/>
                </w:rPr>
                <w:t xml:space="preserve">ncbi.nlm.nih.gov - StatPearls: Adenoid Hypertrophy</w:t>
              </w:r>
            </w:hyperlink>
          </w:p>
          <w:p>
            <w:pPr>
              <w:spacing w:before="60" w:after="40"/>
            </w:pPr>
            <w:r>
              <w:rPr>
                <w:rFonts w:ascii="Calibri" w:hAnsi="Calibri"/>
                <w:b w:val="0"/>
                <w:i w:val="0"/>
                <w:color w:val="5A5A5A"/>
                <w:sz w:val="18"/>
              </w:rPr>
              <w:t>#adenoids  #preschool  #lymphoidhyperplasia  #peakage  #Indiachildren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children with persistent symptoms</w:t>
            </w:r>
          </w:p>
        </w:tc>
        <w:tc>
          <w:tcPr>
            <w:tcW w:type="dxa" w:w="4276"/>
            <w:vAlign w:val="top"/>
          </w:tcPr>
          <w:p>
            <w:pPr>
              <w:spacing w:after="60" w:line="259" w:lineRule="auto"/>
            </w:pPr>
            <w:r>
              <w:rPr>
                <w:rFonts w:ascii="Calibri" w:hAnsi="Calibri"/>
                <w:b w:val="0"/>
                <w:i w:val="0"/>
                <w:color w:val="212121"/>
                <w:sz w:val="19"/>
              </w:rPr>
              <w:t>In a subset the adenoid fails to regress on schedule or is kept enlarged by recurrent infection and allergy, so obstruction, snoring and effusion persist into the school years and can impair sleep, hearing and learning.</w:t>
            </w:r>
          </w:p>
          <w:p>
            <w:pPr>
              <w:spacing w:after="40" w:before="60" w:line="259" w:lineRule="auto"/>
            </w:pPr>
            <w:r>
              <w:rPr>
                <w:rFonts w:ascii="Calibri" w:hAnsi="Calibri"/>
                <w:b w:val="0"/>
                <w:i w:val="0"/>
                <w:color w:val="212121"/>
                <w:sz w:val="19"/>
              </w:rPr>
              <w:t>In an Indian series of children with persistent rhinorrhoea (mean age 6.8 years), 58% were older than 5 years and 97% had grade 2-4 adenoid enlargement on endoscopy.</w:t>
            </w:r>
          </w:p>
          <w:p>
            <w:pPr>
              <w:spacing w:after="40" w:line="252" w:lineRule="auto"/>
            </w:pPr>
            <w:hyperlink r:id="rId10">
              <w:r>
                <w:rPr>
                  <w:rFonts w:ascii="Calibri" w:hAnsi="Calibri" w:cs="Calibri"/>
                  <w:sz w:val="18"/>
                  <w:color w:val="1155CC"/>
                  <w:u w:val="single"/>
                </w:rPr>
                <w:t xml:space="preserve">pmc.ncbi.nlm.nih.gov/PMC4298585 - adenoid hypertrophy in Indian children</w:t>
              </w:r>
            </w:hyperlink>
          </w:p>
          <w:p>
            <w:pPr>
              <w:spacing w:before="60" w:after="40"/>
            </w:pPr>
            <w:r>
              <w:rPr>
                <w:rFonts w:ascii="Calibri" w:hAnsi="Calibri"/>
                <w:b w:val="0"/>
                <w:i w:val="0"/>
                <w:color w:val="5A5A5A"/>
                <w:sz w:val="18"/>
              </w:rPr>
              <w:t>#schoolage  #persistent  #snoring  #learning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(exclude neoplasm)</w:t>
            </w:r>
          </w:p>
        </w:tc>
        <w:tc>
          <w:tcPr>
            <w:tcW w:type="dxa" w:w="4276"/>
            <w:vAlign w:val="top"/>
          </w:tcPr>
          <w:p>
            <w:pPr>
              <w:spacing w:after="60" w:line="259" w:lineRule="auto"/>
            </w:pPr>
            <w:r>
              <w:rPr>
                <w:rFonts w:ascii="Calibri" w:hAnsi="Calibri"/>
                <w:b w:val="0"/>
                <w:i w:val="0"/>
                <w:color w:val="212121"/>
                <w:sz w:val="19"/>
              </w:rPr>
              <w:t>Adenoids normally involute, so a persistently enlarged or newly enlarging adenoid in an adult is unusual and warrants exclusion of immunodeficiency/HIV-related hyperplasia, lymphoma or nasopharyngeal carcinoma by endoscopy and biopsy.</w:t>
            </w:r>
          </w:p>
          <w:p>
            <w:pPr>
              <w:spacing w:after="40" w:before="60" w:line="259" w:lineRule="auto"/>
            </w:pPr>
            <w:r>
              <w:rPr>
                <w:rFonts w:ascii="Calibri" w:hAnsi="Calibri"/>
                <w:b w:val="0"/>
                <w:i w:val="0"/>
                <w:color w:val="212121"/>
                <w:sz w:val="19"/>
              </w:rPr>
              <w:t>In adults, non-infectious causes of adenoid enlargement include HIV, lymphoma and nasopharyngeal malignancy, unlike the benign lymphoid hyperplasia of childhood.</w:t>
            </w:r>
          </w:p>
          <w:p>
            <w:pPr>
              <w:spacing w:after="40" w:line="252" w:lineRule="auto"/>
            </w:pPr>
            <w:hyperlink r:id="rId9">
              <w:r>
                <w:rPr>
                  <w:rFonts w:ascii="Calibri" w:hAnsi="Calibri" w:cs="Calibri"/>
                  <w:sz w:val="18"/>
                  <w:color w:val="1155CC"/>
                  <w:u w:val="single"/>
                </w:rPr>
                <w:t xml:space="preserve">ncbi.nlm.nih.gov - StatPearls: Adenoid Hypertrophy</w:t>
              </w:r>
            </w:hyperlink>
          </w:p>
          <w:p>
            <w:pPr>
              <w:spacing w:before="60" w:after="40"/>
            </w:pPr>
            <w:r>
              <w:rPr>
                <w:rFonts w:ascii="Calibri" w:hAnsi="Calibri"/>
                <w:b w:val="0"/>
                <w:i w:val="0"/>
                <w:color w:val="5A5A5A"/>
                <w:sz w:val="18"/>
              </w:rPr>
              <w:t>#adults  #neoplasm  #HIV  #biopsy  #redflag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Boys are over-represented in clinical series of symptomatic adenoid hypertrophy, mirroring the general male predominance of childhood upper-airway and middle-ear disease.</w:t>
            </w:r>
          </w:p>
          <w:p>
            <w:pPr>
              <w:spacing w:after="40" w:before="60" w:line="259" w:lineRule="auto"/>
            </w:pPr>
            <w:r>
              <w:rPr>
                <w:rFonts w:ascii="Calibri" w:hAnsi="Calibri"/>
                <w:b w:val="0"/>
                <w:i w:val="0"/>
                <w:color w:val="212121"/>
                <w:sz w:val="19"/>
              </w:rPr>
              <w:t>66% of children in an Indian persistent-rhinorrhoea series were boys, and a male predominance (about 61%) is likewise seen in Indian series of adenoid hypertrophy with otitis media with effusion.</w:t>
            </w:r>
          </w:p>
          <w:p>
            <w:pPr>
              <w:spacing w:after="40" w:line="252" w:lineRule="auto"/>
            </w:pPr>
            <w:hyperlink r:id="rId10">
              <w:r>
                <w:rPr>
                  <w:rFonts w:ascii="Calibri" w:hAnsi="Calibri" w:cs="Calibri"/>
                  <w:sz w:val="18"/>
                  <w:color w:val="1155CC"/>
                  <w:u w:val="single"/>
                </w:rPr>
                <w:t xml:space="preserve">pmc.ncbi.nlm.nih.gov/PMC4298585 - sex distribution</w:t>
              </w:r>
            </w:hyperlink>
          </w:p>
          <w:p>
            <w:pPr>
              <w:spacing w:before="60" w:after="40"/>
            </w:pPr>
            <w:r>
              <w:rPr>
                <w:rFonts w:ascii="Calibri" w:hAnsi="Calibri"/>
                <w:b w:val="0"/>
                <w:i w:val="0"/>
                <w:color w:val="5A5A5A"/>
                <w:sz w:val="18"/>
              </w:rPr>
              <w:t>#male  #boys  #children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Crowded, low-income households</w:t>
            </w:r>
          </w:p>
        </w:tc>
        <w:tc>
          <w:tcPr>
            <w:tcW w:type="dxa" w:w="4276"/>
            <w:vAlign w:val="top"/>
          </w:tcPr>
          <w:p>
            <w:pPr>
              <w:spacing w:after="60" w:line="259" w:lineRule="auto"/>
            </w:pPr>
            <w:r>
              <w:rPr>
                <w:rFonts w:ascii="Calibri" w:hAnsi="Calibri"/>
                <w:b w:val="0"/>
                <w:i w:val="0"/>
                <w:color w:val="212121"/>
                <w:sz w:val="19"/>
              </w:rPr>
              <w:t>Overcrowding, indoor smoke and frequent respiratory infections increase the antigenic and infective load on the adenoid, while limited access to ENT care delays diagnosis and allows complications such as effusion and sleep apnoea to become established.</w:t>
            </w:r>
          </w:p>
          <w:p>
            <w:pPr>
              <w:spacing w:after="40" w:before="60" w:line="259" w:lineRule="auto"/>
            </w:pPr>
            <w:r>
              <w:rPr>
                <w:rFonts w:ascii="Calibri" w:hAnsi="Calibri"/>
                <w:b w:val="0"/>
                <w:i w:val="0"/>
                <w:color w:val="212121"/>
                <w:sz w:val="19"/>
              </w:rPr>
              <w:t>Recurrent upper-respiratory infection and crowding are recognised drivers of chronic adenoidal enlargement, and are common in low-income Indian households (general clinical statement).</w:t>
            </w:r>
          </w:p>
          <w:p>
            <w:pPr>
              <w:spacing w:before="60" w:after="40"/>
            </w:pPr>
            <w:r>
              <w:rPr>
                <w:rFonts w:ascii="Calibri" w:hAnsi="Calibri"/>
                <w:b w:val="0"/>
                <w:i w:val="0"/>
                <w:color w:val="5A5A5A"/>
                <w:sz w:val="18"/>
              </w:rPr>
              <w:t>#overcrowding  #recurrentURI  #lowincome  #access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 &amp; air quality</w:t>
            </w:r>
          </w:p>
        </w:tc>
        <w:tc>
          <w:tcPr>
            <w:tcW w:type="dxa" w:w="2160"/>
            <w:vAlign w:val="top"/>
          </w:tcPr>
          <w:p>
            <w:pPr>
              <w:spacing w:after="40" w:before="0" w:line="259" w:lineRule="auto"/>
            </w:pPr>
            <w:r>
              <w:rPr>
                <w:rFonts w:ascii="Calibri" w:hAnsi="Calibri"/>
                <w:b w:val="0"/>
                <w:i w:val="0"/>
                <w:color w:val="212121"/>
                <w:sz w:val="19"/>
              </w:rPr>
              <w:t>Urban-polluted cities &amp; biomass-using rural homes</w:t>
            </w:r>
          </w:p>
        </w:tc>
        <w:tc>
          <w:tcPr>
            <w:tcW w:type="dxa" w:w="4276"/>
            <w:vAlign w:val="top"/>
          </w:tcPr>
          <w:p>
            <w:pPr>
              <w:spacing w:after="60" w:line="259" w:lineRule="auto"/>
            </w:pPr>
            <w:r>
              <w:rPr>
                <w:rFonts w:ascii="Calibri" w:hAnsi="Calibri"/>
                <w:b w:val="0"/>
                <w:i w:val="0"/>
                <w:color w:val="212121"/>
                <w:sz w:val="19"/>
              </w:rPr>
              <w:t>Ambient air pollution in Indian cities and biomass-fuel (wood/charcoal) smoke in rural kitchens chronically irritate the nasopharyngeal mucosa, promoting adenoidal inflammation and recurrent infection.</w:t>
            </w:r>
          </w:p>
          <w:p>
            <w:pPr>
              <w:spacing w:after="40" w:before="60" w:line="259" w:lineRule="auto"/>
            </w:pPr>
            <w:r>
              <w:rPr>
                <w:rFonts w:ascii="Calibri" w:hAnsi="Calibri"/>
                <w:b w:val="0"/>
                <w:i w:val="0"/>
                <w:color w:val="212121"/>
                <w:sz w:val="19"/>
              </w:rPr>
              <w:t>Cigarette-smoke exposure is a recognised non-infectious cause of adenoid hypertrophy; comparable irritant exposure occurs with biomass and ambient air pollution.</w:t>
            </w:r>
          </w:p>
          <w:p>
            <w:pPr>
              <w:spacing w:after="40" w:line="252" w:lineRule="auto"/>
            </w:pPr>
            <w:hyperlink r:id="rId9">
              <w:r>
                <w:rPr>
                  <w:rFonts w:ascii="Calibri" w:hAnsi="Calibri" w:cs="Calibri"/>
                  <w:sz w:val="18"/>
                  <w:color w:val="1155CC"/>
                  <w:u w:val="single"/>
                </w:rPr>
                <w:t xml:space="preserve">ncbi.nlm.nih.gov - StatPearls: Adenoid Hypertrophy</w:t>
              </w:r>
            </w:hyperlink>
          </w:p>
          <w:p>
            <w:pPr>
              <w:spacing w:before="60" w:after="40"/>
            </w:pPr>
            <w:r>
              <w:rPr>
                <w:rFonts w:ascii="Calibri" w:hAnsi="Calibri"/>
                <w:b w:val="0"/>
                <w:i w:val="0"/>
                <w:color w:val="5A5A5A"/>
                <w:sz w:val="18"/>
              </w:rPr>
              <w:t>#airpollution  #biomass  #urban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&amp; season</w:t>
            </w:r>
          </w:p>
        </w:tc>
        <w:tc>
          <w:tcPr>
            <w:tcW w:type="dxa" w:w="2160"/>
            <w:vAlign w:val="top"/>
          </w:tcPr>
          <w:p>
            <w:pPr>
              <w:spacing w:after="40" w:before="0" w:line="259" w:lineRule="auto"/>
            </w:pPr>
            <w:r>
              <w:rPr>
                <w:rFonts w:ascii="Calibri" w:hAnsi="Calibri"/>
                <w:b w:val="0"/>
                <w:i w:val="0"/>
                <w:color w:val="212121"/>
                <w:sz w:val="19"/>
              </w:rPr>
              <w:t>Winter &amp; upper-respiratory-infection season</w:t>
            </w:r>
          </w:p>
        </w:tc>
        <w:tc>
          <w:tcPr>
            <w:tcW w:type="dxa" w:w="4276"/>
            <w:vAlign w:val="top"/>
          </w:tcPr>
          <w:p>
            <w:pPr>
              <w:spacing w:after="60" w:line="259" w:lineRule="auto"/>
            </w:pPr>
            <w:r>
              <w:rPr>
                <w:rFonts w:ascii="Calibri" w:hAnsi="Calibri"/>
                <w:b w:val="0"/>
                <w:i w:val="0"/>
                <w:color w:val="212121"/>
                <w:sz w:val="19"/>
              </w:rPr>
              <w:t>Cooler months and monsoon-associated indoor crowding raise viral upper-respiratory transmission, provoking recurrent adenoiditis and symptomatic enlargement that fluctuates with the season.</w:t>
            </w:r>
          </w:p>
          <w:p>
            <w:pPr>
              <w:spacing w:after="40" w:before="60" w:line="259" w:lineRule="auto"/>
            </w:pPr>
            <w:r>
              <w:rPr>
                <w:rFonts w:ascii="Calibri" w:hAnsi="Calibri"/>
                <w:b w:val="0"/>
                <w:i w:val="0"/>
                <w:color w:val="212121"/>
                <w:sz w:val="19"/>
              </w:rPr>
              <w:t>Recurrent viral upper-respiratory infection is a principal cause of chronic adenoidal enlargement, clustering during colder and crowded periods (general clinical statement).</w:t>
            </w:r>
          </w:p>
          <w:p>
            <w:pPr>
              <w:spacing w:before="60" w:after="40"/>
            </w:pPr>
            <w:r>
              <w:rPr>
                <w:rFonts w:ascii="Calibri" w:hAnsi="Calibri"/>
                <w:b w:val="0"/>
                <w:i w:val="0"/>
                <w:color w:val="5A5A5A"/>
                <w:sz w:val="18"/>
              </w:rPr>
              <w:t>#winter  #URIseason  #viral  #seasonal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Passive smoking</w:t>
            </w:r>
          </w:p>
        </w:tc>
        <w:tc>
          <w:tcPr>
            <w:tcW w:type="dxa" w:w="2160"/>
            <w:vAlign w:val="top"/>
          </w:tcPr>
          <w:p>
            <w:pPr>
              <w:spacing w:after="40" w:before="0" w:line="259" w:lineRule="auto"/>
            </w:pPr>
            <w:r>
              <w:rPr>
                <w:rFonts w:ascii="Calibri" w:hAnsi="Calibri"/>
                <w:b w:val="0"/>
                <w:i w:val="0"/>
                <w:color w:val="212121"/>
                <w:sz w:val="19"/>
              </w:rPr>
              <w:t>Children in smoking households</w:t>
            </w:r>
          </w:p>
        </w:tc>
        <w:tc>
          <w:tcPr>
            <w:tcW w:type="dxa" w:w="4276"/>
            <w:vAlign w:val="top"/>
          </w:tcPr>
          <w:p>
            <w:pPr>
              <w:spacing w:after="60" w:line="259" w:lineRule="auto"/>
            </w:pPr>
            <w:r>
              <w:rPr>
                <w:rFonts w:ascii="Calibri" w:hAnsi="Calibri"/>
                <w:b w:val="0"/>
                <w:i w:val="0"/>
                <w:color w:val="212121"/>
                <w:sz w:val="19"/>
              </w:rPr>
              <w:t>Environmental tobacco smoke irritates and inflames the nasopharyngeal lymphoid tissue and increases recurrent infection, promoting adenoidal hypertrophy and its complications.</w:t>
            </w:r>
          </w:p>
          <w:p>
            <w:pPr>
              <w:spacing w:after="40" w:before="60" w:line="259" w:lineRule="auto"/>
            </w:pPr>
            <w:r>
              <w:rPr>
                <w:rFonts w:ascii="Calibri" w:hAnsi="Calibri"/>
                <w:b w:val="0"/>
                <w:i w:val="0"/>
                <w:color w:val="212121"/>
                <w:sz w:val="19"/>
              </w:rPr>
              <w:t>Cigarette-smoke exposure is listed among the recognised non-infectious causes of adenoid hypertrophy.</w:t>
            </w:r>
          </w:p>
          <w:p>
            <w:pPr>
              <w:spacing w:after="40" w:line="252" w:lineRule="auto"/>
            </w:pPr>
            <w:hyperlink r:id="rId9">
              <w:r>
                <w:rPr>
                  <w:rFonts w:ascii="Calibri" w:hAnsi="Calibri" w:cs="Calibri"/>
                  <w:sz w:val="18"/>
                  <w:color w:val="1155CC"/>
                  <w:u w:val="single"/>
                </w:rPr>
                <w:t xml:space="preserve">ncbi.nlm.nih.gov - StatPearls: Adenoid Hypertrophy</w:t>
              </w:r>
            </w:hyperlink>
          </w:p>
          <w:p>
            <w:pPr>
              <w:spacing w:before="60" w:after="40"/>
            </w:pPr>
            <w:r>
              <w:rPr>
                <w:rFonts w:ascii="Calibri" w:hAnsi="Calibri"/>
                <w:b w:val="0"/>
                <w:i w:val="0"/>
                <w:color w:val="5A5A5A"/>
                <w:sz w:val="18"/>
              </w:rPr>
              <w:t>#passivesmoking  #ETS  #smokefreehome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Indoor air pollution</w:t>
            </w:r>
          </w:p>
        </w:tc>
        <w:tc>
          <w:tcPr>
            <w:tcW w:type="dxa" w:w="2160"/>
            <w:vAlign w:val="top"/>
          </w:tcPr>
          <w:p>
            <w:pPr>
              <w:spacing w:after="40" w:before="0" w:line="259" w:lineRule="auto"/>
            </w:pPr>
            <w:r>
              <w:rPr>
                <w:rFonts w:ascii="Calibri" w:hAnsi="Calibri"/>
                <w:b w:val="0"/>
                <w:i w:val="0"/>
                <w:color w:val="212121"/>
                <w:sz w:val="19"/>
              </w:rPr>
              <w:t>Biomass-fuel kitchens</w:t>
            </w:r>
          </w:p>
        </w:tc>
        <w:tc>
          <w:tcPr>
            <w:tcW w:type="dxa" w:w="4276"/>
            <w:vAlign w:val="top"/>
          </w:tcPr>
          <w:p>
            <w:pPr>
              <w:spacing w:after="60" w:line="259" w:lineRule="auto"/>
            </w:pPr>
            <w:r>
              <w:rPr>
                <w:rFonts w:ascii="Calibri" w:hAnsi="Calibri"/>
                <w:b w:val="0"/>
                <w:i w:val="0"/>
                <w:color w:val="212121"/>
                <w:sz w:val="19"/>
              </w:rPr>
              <w:t>Wood and charcoal cooking smoke in poorly-ventilated homes chronically irritates the upper airway - a highly relevant exposure in rural and urban-slum India that sustains adenoidal inflammation.</w:t>
            </w:r>
          </w:p>
          <w:p>
            <w:pPr>
              <w:spacing w:after="40" w:before="60" w:line="259" w:lineRule="auto"/>
            </w:pPr>
            <w:r>
              <w:rPr>
                <w:rFonts w:ascii="Calibri" w:hAnsi="Calibri"/>
                <w:b w:val="0"/>
                <w:i w:val="0"/>
                <w:color w:val="212121"/>
                <w:sz w:val="19"/>
              </w:rPr>
              <w:t>Chronic irritant smoke exposure inflames the nasopharyngeal mucosa and promotes recurrent infection and adenoidal enlargement (general clinical statement).</w:t>
            </w:r>
          </w:p>
          <w:p>
            <w:pPr>
              <w:spacing w:before="60" w:after="40"/>
            </w:pPr>
            <w:r>
              <w:rPr>
                <w:rFonts w:ascii="Calibri" w:hAnsi="Calibri"/>
                <w:b w:val="0"/>
                <w:i w:val="0"/>
                <w:color w:val="5A5A5A"/>
                <w:sz w:val="18"/>
              </w:rPr>
              <w:t>#biomass  #chulha  #indoorair  #ventilation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Daycare &amp; crowding</w:t>
            </w:r>
          </w:p>
        </w:tc>
        <w:tc>
          <w:tcPr>
            <w:tcW w:type="dxa" w:w="2160"/>
            <w:vAlign w:val="top"/>
          </w:tcPr>
          <w:p>
            <w:pPr>
              <w:spacing w:after="40" w:before="0" w:line="259" w:lineRule="auto"/>
            </w:pPr>
            <w:r>
              <w:rPr>
                <w:rFonts w:ascii="Calibri" w:hAnsi="Calibri"/>
                <w:b w:val="0"/>
                <w:i w:val="0"/>
                <w:color w:val="212121"/>
                <w:sz w:val="19"/>
              </w:rPr>
              <w:t>Children in daycare / large families</w:t>
            </w:r>
          </w:p>
        </w:tc>
        <w:tc>
          <w:tcPr>
            <w:tcW w:type="dxa" w:w="4276"/>
            <w:vAlign w:val="top"/>
          </w:tcPr>
          <w:p>
            <w:pPr>
              <w:spacing w:after="60" w:line="259" w:lineRule="auto"/>
            </w:pPr>
            <w:r>
              <w:rPr>
                <w:rFonts w:ascii="Calibri" w:hAnsi="Calibri"/>
                <w:b w:val="0"/>
                <w:i w:val="0"/>
                <w:color w:val="212121"/>
                <w:sz w:val="19"/>
              </w:rPr>
              <w:t>Attending daycare or living in a large, crowded household multiplies exposure to respiratory viruses that repeatedly stimulate the adenoid and drive recurrent adenoiditis.</w:t>
            </w:r>
          </w:p>
          <w:p>
            <w:pPr>
              <w:spacing w:after="40" w:before="60" w:line="259" w:lineRule="auto"/>
            </w:pPr>
            <w:r>
              <w:rPr>
                <w:rFonts w:ascii="Calibri" w:hAnsi="Calibri"/>
                <w:b w:val="0"/>
                <w:i w:val="0"/>
                <w:color w:val="212121"/>
                <w:sz w:val="19"/>
              </w:rPr>
              <w:t>Repeated viral upper-respiratory infection, amplified by daycare and crowding, is a key driver of chronic adenoidal enlargement (general clinical statement).</w:t>
            </w:r>
          </w:p>
          <w:p>
            <w:pPr>
              <w:spacing w:before="60" w:after="40"/>
            </w:pPr>
            <w:r>
              <w:rPr>
                <w:rFonts w:ascii="Calibri" w:hAnsi="Calibri"/>
                <w:b w:val="0"/>
                <w:i w:val="0"/>
                <w:color w:val="5A5A5A"/>
                <w:sz w:val="18"/>
              </w:rPr>
              <w:t>#daycare  #crowding  #viralexposure  #recurrentURI</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Short/absent breastfeeding; supine bottle-feeding</w:t>
            </w:r>
          </w:p>
        </w:tc>
        <w:tc>
          <w:tcPr>
            <w:tcW w:type="dxa" w:w="4276"/>
            <w:vAlign w:val="top"/>
          </w:tcPr>
          <w:p>
            <w:pPr>
              <w:spacing w:after="60" w:line="259" w:lineRule="auto"/>
            </w:pPr>
            <w:r>
              <w:rPr>
                <w:rFonts w:ascii="Calibri" w:hAnsi="Calibri"/>
                <w:b w:val="0"/>
                <w:i w:val="0"/>
                <w:color w:val="212121"/>
                <w:sz w:val="19"/>
              </w:rPr>
              <w:t>Breast milk provides secretory IgA and passive immunity against respiratory and otopathogenic organisms; short or absent breastfeeding and supine bottle-feeding raise upper-respiratory and middle-ear infection that drive adenoidal and Eustachian-tube disease.</w:t>
            </w:r>
          </w:p>
          <w:p>
            <w:pPr>
              <w:spacing w:after="40" w:before="60" w:line="259" w:lineRule="auto"/>
            </w:pPr>
            <w:r>
              <w:rPr>
                <w:rFonts w:ascii="Calibri" w:hAnsi="Calibri"/>
                <w:b w:val="0"/>
                <w:i w:val="0"/>
                <w:color w:val="212121"/>
                <w:sz w:val="19"/>
              </w:rPr>
              <w:t>Reduced breastfeeding and supine feeding increase early respiratory and middle-ear infection, contributing to adenoidal and Eustachian-tube disease (general clinical statement).</w:t>
            </w:r>
          </w:p>
          <w:p>
            <w:pPr>
              <w:spacing w:before="60" w:after="40"/>
            </w:pPr>
            <w:r>
              <w:rPr>
                <w:rFonts w:ascii="Calibri" w:hAnsi="Calibri"/>
                <w:b w:val="0"/>
                <w:i w:val="0"/>
                <w:color w:val="5A5A5A"/>
                <w:sz w:val="18"/>
              </w:rPr>
              <w:t>#breastfeeding  #IgA  #bottlefeeding  #supinefeeding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Reflux-provoking diet</w:t>
            </w:r>
          </w:p>
        </w:tc>
        <w:tc>
          <w:tcPr>
            <w:tcW w:type="dxa" w:w="2160"/>
            <w:vAlign w:val="top"/>
          </w:tcPr>
          <w:p>
            <w:pPr>
              <w:spacing w:after="40" w:before="0" w:line="259" w:lineRule="auto"/>
            </w:pPr>
            <w:r>
              <w:rPr>
                <w:rFonts w:ascii="Calibri" w:hAnsi="Calibri"/>
                <w:b w:val="0"/>
                <w:i w:val="0"/>
                <w:color w:val="212121"/>
                <w:sz w:val="19"/>
              </w:rPr>
              <w:t>Late-night, spicy/fatty eating; obesity-linked GERD</w:t>
            </w:r>
          </w:p>
        </w:tc>
        <w:tc>
          <w:tcPr>
            <w:tcW w:type="dxa" w:w="4276"/>
            <w:vAlign w:val="top"/>
          </w:tcPr>
          <w:p>
            <w:pPr>
              <w:spacing w:after="60" w:line="259" w:lineRule="auto"/>
            </w:pPr>
            <w:r>
              <w:rPr>
                <w:rFonts w:ascii="Calibri" w:hAnsi="Calibri"/>
                <w:b w:val="0"/>
                <w:i w:val="0"/>
                <w:color w:val="212121"/>
                <w:sz w:val="19"/>
              </w:rPr>
              <w:t>Gastro-oesophageal and laryngopharyngeal reflux exposes the nasopharynx to acid and pepsin, irritating adenoid tissue; reflux-provoking eating patterns are therefore linked to adenoidal enlargement, especially in younger children.</w:t>
            </w:r>
          </w:p>
          <w:p>
            <w:pPr>
              <w:spacing w:after="40" w:before="60" w:line="259" w:lineRule="auto"/>
            </w:pPr>
            <w:r>
              <w:rPr>
                <w:rFonts w:ascii="Calibri" w:hAnsi="Calibri"/>
                <w:b w:val="0"/>
                <w:i w:val="0"/>
                <w:color w:val="212121"/>
                <w:sz w:val="19"/>
              </w:rPr>
              <w:t>Gastro-oesophageal reflux is a recognised non-infectious cause of adenoid hypertrophy.</w:t>
            </w:r>
          </w:p>
          <w:p>
            <w:pPr>
              <w:spacing w:after="40" w:line="252" w:lineRule="auto"/>
            </w:pPr>
            <w:hyperlink r:id="rId9">
              <w:r>
                <w:rPr>
                  <w:rFonts w:ascii="Calibri" w:hAnsi="Calibri" w:cs="Calibri"/>
                  <w:sz w:val="18"/>
                  <w:color w:val="1155CC"/>
                  <w:u w:val="single"/>
                </w:rPr>
                <w:t xml:space="preserve">ncbi.nlm.nih.gov - StatPearls: Adenoid Hypertrophy</w:t>
              </w:r>
            </w:hyperlink>
          </w:p>
          <w:p>
            <w:pPr>
              <w:spacing w:before="60" w:after="40"/>
            </w:pPr>
            <w:r>
              <w:rPr>
                <w:rFonts w:ascii="Calibri" w:hAnsi="Calibri"/>
                <w:b w:val="0"/>
                <w:i w:val="0"/>
                <w:color w:val="5A5A5A"/>
                <w:sz w:val="18"/>
              </w:rPr>
              <w:t>#GERD  #LPR  #reflux  #latenighteating</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&amp; atopy</w:t>
            </w:r>
          </w:p>
        </w:tc>
        <w:tc>
          <w:tcPr>
            <w:tcW w:type="dxa" w:w="2160"/>
            <w:vAlign w:val="top"/>
          </w:tcPr>
          <w:p>
            <w:pPr>
              <w:spacing w:after="40" w:before="0" w:line="259" w:lineRule="auto"/>
            </w:pPr>
            <w:r>
              <w:rPr>
                <w:rFonts w:ascii="Calibri" w:hAnsi="Calibri"/>
                <w:b w:val="0"/>
                <w:i w:val="0"/>
                <w:color w:val="212121"/>
                <w:sz w:val="19"/>
              </w:rPr>
              <w:t>Atopic families / allergic rhinitis</w:t>
            </w:r>
          </w:p>
        </w:tc>
        <w:tc>
          <w:tcPr>
            <w:tcW w:type="dxa" w:w="4276"/>
            <w:vAlign w:val="top"/>
          </w:tcPr>
          <w:p>
            <w:pPr>
              <w:spacing w:after="60" w:line="259" w:lineRule="auto"/>
            </w:pPr>
            <w:r>
              <w:rPr>
                <w:rFonts w:ascii="Calibri" w:hAnsi="Calibri"/>
                <w:b w:val="0"/>
                <w:i w:val="0"/>
                <w:color w:val="212121"/>
                <w:sz w:val="19"/>
              </w:rPr>
              <w:t>Inherited atopy predisposes to allergic rhinitis and adenoidal hyperplasia; allergic children have larger, more symptomatic adenoids that respond partly to anti-allergic therapy.</w:t>
            </w:r>
          </w:p>
          <w:p>
            <w:pPr>
              <w:spacing w:after="40" w:before="60" w:line="259" w:lineRule="auto"/>
            </w:pPr>
            <w:r>
              <w:rPr>
                <w:rFonts w:ascii="Calibri" w:hAnsi="Calibri"/>
                <w:b w:val="0"/>
                <w:i w:val="0"/>
                <w:color w:val="212121"/>
                <w:sz w:val="19"/>
              </w:rPr>
              <w:t>Skin-prick tests were positive in 65.2% of young patients with adenoid-hypertrophy symptoms, and allergic rhinitis affects 20-40% of children worldwide.</w:t>
            </w:r>
          </w:p>
          <w:p>
            <w:pPr>
              <w:spacing w:after="40" w:line="252" w:lineRule="auto"/>
            </w:pPr>
            <w:hyperlink r:id="rId11">
              <w:r>
                <w:rPr>
                  <w:rFonts w:ascii="Calibri" w:hAnsi="Calibri" w:cs="Calibri"/>
                  <w:sz w:val="18"/>
                  <w:color w:val="1155CC"/>
                  <w:u w:val="single"/>
                </w:rPr>
                <w:t xml:space="preserve">frontiersin.org - 150th anniversary of adenoid investigations</w:t>
              </w:r>
            </w:hyperlink>
          </w:p>
          <w:p>
            <w:pPr>
              <w:spacing w:before="60" w:after="40"/>
            </w:pPr>
            <w:r>
              <w:rPr>
                <w:rFonts w:ascii="Calibri" w:hAnsi="Calibri"/>
                <w:b w:val="0"/>
                <w:i w:val="0"/>
                <w:color w:val="5A5A5A"/>
                <w:sz w:val="18"/>
              </w:rPr>
              <w:t>#atopy  #allergicrhinitis  #familyhistory  #IgE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Craniofacial anomalies</w:t>
            </w:r>
          </w:p>
        </w:tc>
        <w:tc>
          <w:tcPr>
            <w:tcW w:type="dxa" w:w="2160"/>
            <w:vAlign w:val="top"/>
          </w:tcPr>
          <w:p>
            <w:pPr>
              <w:spacing w:after="40" w:before="0" w:line="259" w:lineRule="auto"/>
            </w:pPr>
            <w:r>
              <w:rPr>
                <w:rFonts w:ascii="Calibri" w:hAnsi="Calibri"/>
                <w:b w:val="0"/>
                <w:i w:val="0"/>
                <w:color w:val="212121"/>
                <w:sz w:val="19"/>
              </w:rPr>
              <w:t>Cleft palate, Down syndrome</w:t>
            </w:r>
          </w:p>
        </w:tc>
        <w:tc>
          <w:tcPr>
            <w:tcW w:type="dxa" w:w="4276"/>
            <w:vAlign w:val="top"/>
          </w:tcPr>
          <w:p>
            <w:pPr>
              <w:spacing w:after="60" w:line="259" w:lineRule="auto"/>
            </w:pPr>
            <w:r>
              <w:rPr>
                <w:rFonts w:ascii="Calibri" w:hAnsi="Calibri"/>
                <w:b w:val="0"/>
                <w:i w:val="0"/>
                <w:color w:val="212121"/>
                <w:sz w:val="19"/>
              </w:rPr>
              <w:t>Craniofacial structure and immune differences in cleft palate and Down syndrome cause chronic nasopharyngeal and Eustachian-tube dysfunction with adenoidal disease and middle-ear effusion from infancy, and alter the risks and technique of adenoidectomy.</w:t>
            </w:r>
          </w:p>
          <w:p>
            <w:pPr>
              <w:spacing w:after="40" w:before="60" w:line="259" w:lineRule="auto"/>
            </w:pPr>
            <w:r>
              <w:rPr>
                <w:rFonts w:ascii="Calibri" w:hAnsi="Calibri"/>
                <w:b w:val="0"/>
                <w:i w:val="0"/>
                <w:color w:val="212121"/>
                <w:sz w:val="19"/>
              </w:rPr>
              <w:t>Submucous cleft palate and velopharyngeal insufficiency are specific cautions before adenoidectomy, and syndromic children have a high burden of chronic middle-ear effusion (general clinical statement).</w:t>
            </w:r>
          </w:p>
          <w:p>
            <w:pPr>
              <w:spacing w:before="60" w:after="40"/>
            </w:pPr>
            <w:r>
              <w:rPr>
                <w:rFonts w:ascii="Calibri" w:hAnsi="Calibri"/>
                <w:b w:val="0"/>
                <w:i w:val="0"/>
                <w:color w:val="5A5A5A"/>
                <w:sz w:val="18"/>
              </w:rPr>
              <w:t>#cleftpalate  #Downsyndrome  #craniofacial  #VPI</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w:t>
            </w:r>
          </w:p>
        </w:tc>
        <w:tc>
          <w:tcPr>
            <w:tcW w:type="dxa" w:w="2160"/>
            <w:vAlign w:val="top"/>
          </w:tcPr>
          <w:p>
            <w:pPr>
              <w:spacing w:after="40" w:before="0" w:line="259" w:lineRule="auto"/>
            </w:pPr>
            <w:r>
              <w:rPr>
                <w:rFonts w:ascii="Calibri" w:hAnsi="Calibri"/>
                <w:b w:val="0"/>
                <w:i w:val="0"/>
                <w:color w:val="212121"/>
                <w:sz w:val="19"/>
              </w:rPr>
              <w:t>Atopic children with nasal allergy</w:t>
            </w:r>
          </w:p>
        </w:tc>
        <w:tc>
          <w:tcPr>
            <w:tcW w:type="dxa" w:w="4276"/>
            <w:vAlign w:val="top"/>
          </w:tcPr>
          <w:p>
            <w:pPr>
              <w:spacing w:after="60" w:line="259" w:lineRule="auto"/>
            </w:pPr>
            <w:r>
              <w:rPr>
                <w:rFonts w:ascii="Calibri" w:hAnsi="Calibri"/>
                <w:b w:val="0"/>
                <w:i w:val="0"/>
                <w:color w:val="212121"/>
                <w:sz w:val="19"/>
              </w:rPr>
              <w:t>Allergic inflammation enlarges the adenoid and worsens nasal obstruction; the two commonly coexist and aggravate each other, and treating the allergy can shrink symptomatic tissue.</w:t>
            </w:r>
          </w:p>
          <w:p>
            <w:pPr>
              <w:spacing w:after="40" w:before="60" w:line="259" w:lineRule="auto"/>
            </w:pPr>
            <w:r>
              <w:rPr>
                <w:rFonts w:ascii="Calibri" w:hAnsi="Calibri"/>
                <w:b w:val="0"/>
                <w:i w:val="0"/>
                <w:color w:val="212121"/>
                <w:sz w:val="19"/>
              </w:rPr>
              <w:t>Skin-prick positivity reached 65.2% in symptomatic adenoid hypertrophy, and nasal-allergy features were present in 47% of an Indian series of children with adenoidal persistent rhinorrhoea.</w:t>
            </w:r>
          </w:p>
          <w:p>
            <w:pPr>
              <w:spacing w:after="40" w:line="252" w:lineRule="auto"/>
            </w:pPr>
            <w:hyperlink r:id="rId10">
              <w:r>
                <w:rPr>
                  <w:rFonts w:ascii="Calibri" w:hAnsi="Calibri" w:cs="Calibri"/>
                  <w:sz w:val="18"/>
                  <w:color w:val="1155CC"/>
                  <w:u w:val="single"/>
                </w:rPr>
                <w:t xml:space="preserve">pmc.ncbi.nlm.nih.gov/PMC4298585 - nasal allergy in adenoid hypertrophy</w:t>
              </w:r>
            </w:hyperlink>
          </w:p>
          <w:p>
            <w:pPr>
              <w:spacing w:before="60" w:after="40"/>
            </w:pPr>
            <w:r>
              <w:rPr>
                <w:rFonts w:ascii="Calibri" w:hAnsi="Calibri"/>
                <w:b w:val="0"/>
                <w:i w:val="0"/>
                <w:color w:val="5A5A5A"/>
                <w:sz w:val="18"/>
              </w:rPr>
              <w:t>#allergicrhinitis  #atopy  #nasalobstruction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Otitis media with effusion / recurrent AOM</w:t>
            </w:r>
          </w:p>
        </w:tc>
        <w:tc>
          <w:tcPr>
            <w:tcW w:type="dxa" w:w="2160"/>
            <w:vAlign w:val="top"/>
          </w:tcPr>
          <w:p>
            <w:pPr>
              <w:spacing w:after="40" w:before="0" w:line="259" w:lineRule="auto"/>
            </w:pPr>
            <w:r>
              <w:rPr>
                <w:rFonts w:ascii="Calibri" w:hAnsi="Calibri"/>
                <w:b w:val="0"/>
                <w:i w:val="0"/>
                <w:color w:val="212121"/>
                <w:sz w:val="19"/>
              </w:rPr>
              <w:t>Children with middle-ear disease &amp; hearing loss</w:t>
            </w:r>
          </w:p>
        </w:tc>
        <w:tc>
          <w:tcPr>
            <w:tcW w:type="dxa" w:w="4276"/>
            <w:vAlign w:val="top"/>
          </w:tcPr>
          <w:p>
            <w:pPr>
              <w:spacing w:after="60" w:line="259" w:lineRule="auto"/>
            </w:pPr>
            <w:r>
              <w:rPr>
                <w:rFonts w:ascii="Calibri" w:hAnsi="Calibri"/>
                <w:b w:val="0"/>
                <w:i w:val="0"/>
                <w:color w:val="212121"/>
                <w:sz w:val="19"/>
              </w:rPr>
              <w:t>An enlarged adenoid mechanically and infectively obstructs the Eustachian-tube orifice, causing middle-ear effusion, recurrent acute otitis media and conductive hearing loss - a leading reason adenoidectomy is combined with grommet insertion.</w:t>
            </w:r>
          </w:p>
          <w:p>
            <w:pPr>
              <w:spacing w:after="40" w:before="60" w:line="259" w:lineRule="auto"/>
            </w:pPr>
            <w:r>
              <w:rPr>
                <w:rFonts w:ascii="Calibri" w:hAnsi="Calibri"/>
                <w:b w:val="0"/>
                <w:i w:val="0"/>
                <w:color w:val="212121"/>
                <w:sz w:val="19"/>
              </w:rPr>
              <w:t>In an Indian study the adenoid covered the Eustachian-tube orifices in 95% of children with otitis media with effusion and adenoid facies was present in 76.6%; a type B tympanogram was found in 58% of children with adenoidal OME.</w:t>
            </w:r>
          </w:p>
          <w:p>
            <w:pPr>
              <w:spacing w:after="40" w:line="252" w:lineRule="auto"/>
            </w:pPr>
            <w:hyperlink r:id="rId12">
              <w:r>
                <w:rPr>
                  <w:rFonts w:ascii="Calibri" w:hAnsi="Calibri" w:cs="Calibri"/>
                  <w:sz w:val="18"/>
                  <w:color w:val="1155CC"/>
                  <w:u w:val="single"/>
                </w:rPr>
                <w:t xml:space="preserve">link.springer.com/12070-020-02332-8 - adenoid morphology &amp; OME (India)</w:t>
              </w:r>
            </w:hyperlink>
          </w:p>
          <w:p>
            <w:pPr>
              <w:spacing w:before="60" w:after="40"/>
            </w:pPr>
            <w:r>
              <w:rPr>
                <w:rFonts w:ascii="Calibri" w:hAnsi="Calibri"/>
                <w:b w:val="0"/>
                <w:i w:val="0"/>
                <w:color w:val="5A5A5A"/>
                <w:sz w:val="18"/>
              </w:rPr>
              <w:t>#OME  #eustachiantube  #hearingloss  #AOM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apnoea</w:t>
            </w:r>
          </w:p>
        </w:tc>
        <w:tc>
          <w:tcPr>
            <w:tcW w:type="dxa" w:w="2160"/>
            <w:vAlign w:val="top"/>
          </w:tcPr>
          <w:p>
            <w:pPr>
              <w:spacing w:after="40" w:before="0" w:line="259" w:lineRule="auto"/>
            </w:pPr>
            <w:r>
              <w:rPr>
                <w:rFonts w:ascii="Calibri" w:hAnsi="Calibri"/>
                <w:b w:val="0"/>
                <w:i w:val="0"/>
                <w:color w:val="212121"/>
                <w:sz w:val="19"/>
              </w:rPr>
              <w:t>Snoring children with sleep-disordered breathing</w:t>
            </w:r>
          </w:p>
        </w:tc>
        <w:tc>
          <w:tcPr>
            <w:tcW w:type="dxa" w:w="4276"/>
            <w:vAlign w:val="top"/>
          </w:tcPr>
          <w:p>
            <w:pPr>
              <w:spacing w:after="60" w:line="259" w:lineRule="auto"/>
            </w:pPr>
            <w:r>
              <w:rPr>
                <w:rFonts w:ascii="Calibri" w:hAnsi="Calibri"/>
                <w:b w:val="0"/>
                <w:i w:val="0"/>
                <w:color w:val="212121"/>
                <w:sz w:val="19"/>
              </w:rPr>
              <w:t>Adenoidal (and adenotonsillar) hypertrophy is the leading cause of childhood obstructive sleep apnoea, narrowing the nasopharyngeal airway during sleep and driving snoring, apnoeas, restless sleep and daytime consequences.</w:t>
            </w:r>
          </w:p>
          <w:p>
            <w:pPr>
              <w:spacing w:after="40" w:before="60" w:line="259" w:lineRule="auto"/>
            </w:pPr>
            <w:r>
              <w:rPr>
                <w:rFonts w:ascii="Calibri" w:hAnsi="Calibri"/>
                <w:b w:val="0"/>
                <w:i w:val="0"/>
                <w:color w:val="212121"/>
                <w:sz w:val="19"/>
              </w:rPr>
              <w:t>Paediatric obstructive sleep apnoea affects about 2-5% of children and peaks between 2 and 8 years, with adenotonsillar hypertrophy the leading cause; habitual snoring occurs in roughly 1.5-6%.</w:t>
            </w:r>
          </w:p>
          <w:p>
            <w:pPr>
              <w:spacing w:after="40" w:line="252" w:lineRule="auto"/>
            </w:pPr>
            <w:hyperlink r:id="rId13">
              <w:r>
                <w:rPr>
                  <w:rFonts w:ascii="Calibri" w:hAnsi="Calibri" w:cs="Calibri"/>
                  <w:sz w:val="18"/>
                  <w:color w:val="1155CC"/>
                  <w:u w:val="single"/>
                </w:rPr>
                <w:t xml:space="preserve">ncbi.nlm.nih.gov - StatPearls: Pediatric Obstructive Sleep Apnea</w:t>
              </w:r>
            </w:hyperlink>
          </w:p>
          <w:p>
            <w:pPr>
              <w:spacing w:before="60" w:after="40"/>
            </w:pPr>
            <w:r>
              <w:rPr>
                <w:rFonts w:ascii="Calibri" w:hAnsi="Calibri"/>
                <w:b w:val="0"/>
                <w:i w:val="0"/>
                <w:color w:val="5A5A5A"/>
                <w:sz w:val="18"/>
              </w:rPr>
              <w:t>#OSA  #snoring  #SDB  #adenotonsillar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rhinosinusitis / recurrent URI</w:t>
            </w:r>
          </w:p>
        </w:tc>
        <w:tc>
          <w:tcPr>
            <w:tcW w:type="dxa" w:w="2160"/>
            <w:vAlign w:val="top"/>
          </w:tcPr>
          <w:p>
            <w:pPr>
              <w:spacing w:after="40" w:before="0" w:line="259" w:lineRule="auto"/>
            </w:pPr>
            <w:r>
              <w:rPr>
                <w:rFonts w:ascii="Calibri" w:hAnsi="Calibri"/>
                <w:b w:val="0"/>
                <w:i w:val="0"/>
                <w:color w:val="212121"/>
                <w:sz w:val="19"/>
              </w:rPr>
              <w:t>Children with persistent nasal discharge</w:t>
            </w:r>
          </w:p>
        </w:tc>
        <w:tc>
          <w:tcPr>
            <w:tcW w:type="dxa" w:w="4276"/>
            <w:vAlign w:val="top"/>
          </w:tcPr>
          <w:p>
            <w:pPr>
              <w:spacing w:after="60" w:line="259" w:lineRule="auto"/>
            </w:pPr>
            <w:r>
              <w:rPr>
                <w:rFonts w:ascii="Calibri" w:hAnsi="Calibri"/>
                <w:b w:val="0"/>
                <w:i w:val="0"/>
                <w:color w:val="212121"/>
                <w:sz w:val="19"/>
              </w:rPr>
              <w:t>The adenoid acts as a bacterial reservoir/biofilm and obstructs sinus drainage, so hypertrophy coexists with and perpetuates chronic rhinosinusitis and recurrent upper-respiratory infection.</w:t>
            </w:r>
          </w:p>
          <w:p>
            <w:pPr>
              <w:spacing w:after="40" w:before="60" w:line="259" w:lineRule="auto"/>
            </w:pPr>
            <w:r>
              <w:rPr>
                <w:rFonts w:ascii="Calibri" w:hAnsi="Calibri"/>
                <w:b w:val="0"/>
                <w:i w:val="0"/>
                <w:color w:val="212121"/>
                <w:sz w:val="19"/>
              </w:rPr>
              <w:t>Coincident adenoid hypertrophy and sinusitis were found in 57% of an Indian series of children with persistent rhinorrhoea, and adenoid hypertrophy was more consistently associated with persistent rhinorrhoea than sinusitis.</w:t>
            </w:r>
          </w:p>
          <w:p>
            <w:pPr>
              <w:spacing w:after="40" w:line="252" w:lineRule="auto"/>
            </w:pPr>
            <w:hyperlink r:id="rId10">
              <w:r>
                <w:rPr>
                  <w:rFonts w:ascii="Calibri" w:hAnsi="Calibri" w:cs="Calibri"/>
                  <w:sz w:val="18"/>
                  <w:color w:val="1155CC"/>
                  <w:u w:val="single"/>
                </w:rPr>
                <w:t xml:space="preserve">pmc.ncbi.nlm.nih.gov/PMC4298585 - adenoid hypertrophy vs sinusitis</w:t>
              </w:r>
            </w:hyperlink>
          </w:p>
          <w:p>
            <w:pPr>
              <w:spacing w:before="60" w:after="40"/>
            </w:pPr>
            <w:r>
              <w:rPr>
                <w:rFonts w:ascii="Calibri" w:hAnsi="Calibri"/>
                <w:b w:val="0"/>
                <w:i w:val="0"/>
                <w:color w:val="5A5A5A"/>
                <w:sz w:val="18"/>
              </w:rPr>
              <w:t>#rhinosinusitis  #biofilm  #postnasaldrip  #recurrentURI</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causal role in adenoid hypertrophy; reduced exercise tolerance, restlessness and poor stamina are usually consequences of the associated sleep-disordered breathing and chronic nasal obstruction rather than causes.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indirectly: atopy/food and inhalant allergy and gastro-oesophageal reflux (favoured by late, large, fatty meals) inflame the adenoid, while breastfeeding and good nutrition support mucosal immunity and reduce the recurrent infection that drives enlargement.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is central: adenoidal obstruction is the leading cause of childhood snoring and obstructive sleep apnoea (paediatric OSA prevalence ~2-5%), and the resulting fragmented, hypoxic sleep produces daytime somnolence, behavioural change and impaired growth and learning.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Passive tobacco smoke and biomass/household smoke irritate and inflame the nasopharyngeal lymphoid tissue and increase recurrent respiratory infection; cigarette-smoke exposure is a recognised non-infectious cause of adenoid hypertrophy.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Alcohol is not relevant to this predominantly paediatric condition and has no established role in adenoid hypertrophy.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Largely a consequence: adenoid-related sleep-disordered breathing and hearing loss are associated with inattention, hyperactivity, behavioural problems, enuresis and poor academic performance, which improve after effective treatment.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only a minor, indirect role through keeping nasal secretions thin; adequate humidification and saline help mucosal clearance but do not treat the hypertrophy itself.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Caffeine has no established association with adenoid hypertrophy and is not relevant in the affected paediatric age group.</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Nasal and respiratory hygiene matter indirectly: hand hygiene, saline nasal irrigation and treatment of nasal/allergic disease reduce the recurrent upper-respiratory infections and biofilm load that perpetuate adenoidal enlargement.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Recurrent viral and bacterial upper-respiratory infections, allergen exposure, gastro-oesophageal reflux and tobacco/biomass smoke repeatedly inflame the adenoid and trigger acute-on-chronic enlargement and symptom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Posture influences symptoms: supine sleep worsens nasopharyngeal collapse and obstructive events, chronic mouth-breathing posture contributes to adenoid facies and dentofacial change, and supine infant feeding predisposes to middle-ear disease; upright feeding and lateral/elevated sleeping positions help.</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Apnoea-Hypopnoea Index (AHI)</w:t>
            </w:r>
          </w:p>
        </w:tc>
        <w:tc>
          <w:tcPr>
            <w:tcW w:type="dxa" w:w="1655"/>
            <w:vAlign w:val="top"/>
          </w:tcPr>
          <w:p>
            <w:pPr>
              <w:spacing w:after="40" w:before="0" w:line="259" w:lineRule="auto"/>
            </w:pPr>
            <w:r>
              <w:rPr>
                <w:rFonts w:ascii="Calibri" w:hAnsi="Calibri"/>
                <w:b w:val="0"/>
                <w:i w:val="0"/>
                <w:color w:val="212121"/>
                <w:sz w:val="19"/>
              </w:rPr>
              <w:t>Children with snoring/SDB</w:t>
            </w:r>
          </w:p>
        </w:tc>
        <w:tc>
          <w:tcPr>
            <w:tcW w:type="dxa" w:w="1512"/>
            <w:vAlign w:val="top"/>
          </w:tcPr>
          <w:p>
            <w:pPr>
              <w:spacing w:after="40" w:before="0" w:line="259" w:lineRule="auto"/>
            </w:pPr>
            <w:r>
              <w:rPr>
                <w:rFonts w:ascii="Calibri" w:hAnsi="Calibri"/>
                <w:b w:val="0"/>
                <w:i w:val="0"/>
                <w:color w:val="212121"/>
                <w:sz w:val="19"/>
              </w:rPr>
              <w:t>&lt; 1 event/hour</w:t>
            </w:r>
          </w:p>
        </w:tc>
        <w:tc>
          <w:tcPr>
            <w:tcW w:type="dxa" w:w="1512"/>
            <w:vAlign w:val="top"/>
          </w:tcPr>
          <w:p>
            <w:pPr>
              <w:spacing w:after="40" w:before="0" w:line="259" w:lineRule="auto"/>
            </w:pPr>
            <w:r>
              <w:rPr>
                <w:rFonts w:ascii="Calibri" w:hAnsi="Calibri"/>
                <w:b w:val="0"/>
                <w:i w:val="0"/>
                <w:color w:val="212121"/>
                <w:sz w:val="19"/>
              </w:rPr>
              <w:t>&gt;= 1 event/hour (&gt;=5 = moderate-severe)</w:t>
            </w:r>
          </w:p>
        </w:tc>
        <w:tc>
          <w:tcPr>
            <w:tcW w:type="dxa" w:w="1468"/>
            <w:vAlign w:val="top"/>
          </w:tcPr>
          <w:p>
            <w:pPr>
              <w:spacing w:after="60" w:line="259" w:lineRule="auto"/>
            </w:pPr>
            <w:r>
              <w:rPr>
                <w:rFonts w:ascii="Calibri" w:hAnsi="Calibri"/>
                <w:b w:val="0"/>
                <w:i w:val="0"/>
                <w:color w:val="212121"/>
                <w:sz w:val="19"/>
              </w:rPr>
              <w:t>Defines and grades paediatric obstructive sleep apnoea on polysomnography</w:t>
            </w:r>
          </w:p>
          <w:p>
            <w:pPr>
              <w:spacing w:after="40" w:line="252" w:lineRule="auto"/>
            </w:pPr>
            <w:hyperlink r:id="rId13">
              <w:r>
                <w:rPr>
                  <w:rFonts w:ascii="Calibri" w:hAnsi="Calibri" w:cs="Calibri"/>
                  <w:sz w:val="18"/>
                  <w:color w:val="1155CC"/>
                  <w:u w:val="single"/>
                </w:rPr>
                <w:t xml:space="preserve">https://www.ncbi.nlm.nih.gov/books/NBK557610/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Habitual snoring (nights/week)</w:t>
            </w:r>
          </w:p>
        </w:tc>
        <w:tc>
          <w:tcPr>
            <w:tcW w:type="dxa" w:w="1655"/>
            <w:vAlign w:val="top"/>
          </w:tcPr>
          <w:p>
            <w:pPr>
              <w:spacing w:after="40" w:before="0" w:line="259" w:lineRule="auto"/>
            </w:pPr>
            <w:r>
              <w:rPr>
                <w:rFonts w:ascii="Calibri" w:hAnsi="Calibri"/>
                <w:b w:val="0"/>
                <w:i w:val="0"/>
                <w:color w:val="212121"/>
                <w:sz w:val="19"/>
              </w:rPr>
              <w:t>Preschool &amp; school children</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&gt;= 3 nights/week of loud snoring</w:t>
            </w:r>
          </w:p>
        </w:tc>
        <w:tc>
          <w:tcPr>
            <w:tcW w:type="dxa" w:w="1468"/>
            <w:vAlign w:val="top"/>
          </w:tcPr>
          <w:p>
            <w:pPr>
              <w:spacing w:after="60" w:line="259" w:lineRule="auto"/>
            </w:pPr>
            <w:r>
              <w:rPr>
                <w:rFonts w:ascii="Calibri" w:hAnsi="Calibri"/>
                <w:b w:val="0"/>
                <w:i w:val="0"/>
                <w:color w:val="212121"/>
                <w:sz w:val="19"/>
              </w:rPr>
              <w:t>Habitual snoring occurs in ~1.5-6% of children and flags possible OSA</w:t>
            </w:r>
          </w:p>
          <w:p>
            <w:pPr>
              <w:spacing w:after="40" w:line="252" w:lineRule="auto"/>
            </w:pPr>
            <w:hyperlink r:id="rId13">
              <w:r>
                <w:rPr>
                  <w:rFonts w:ascii="Calibri" w:hAnsi="Calibri" w:cs="Calibri"/>
                  <w:sz w:val="18"/>
                  <w:color w:val="1155CC"/>
                  <w:u w:val="single"/>
                </w:rPr>
                <w:t xml:space="preserve">https://www.ncbi.nlm.nih.gov/books/NBK557610/</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Adenoid-nasopharyngeal (A/N) ratio</w:t>
            </w:r>
          </w:p>
        </w:tc>
        <w:tc>
          <w:tcPr>
            <w:tcW w:type="dxa" w:w="1655"/>
            <w:vAlign w:val="top"/>
          </w:tcPr>
          <w:p>
            <w:pPr>
              <w:spacing w:after="40" w:before="0" w:line="259" w:lineRule="auto"/>
            </w:pPr>
            <w:r>
              <w:rPr>
                <w:rFonts w:ascii="Calibri" w:hAnsi="Calibri"/>
                <w:b w:val="0"/>
                <w:i w:val="0"/>
                <w:color w:val="212121"/>
                <w:sz w:val="19"/>
              </w:rPr>
              <w:t>Children with nasal obstruction</w:t>
            </w:r>
          </w:p>
        </w:tc>
        <w:tc>
          <w:tcPr>
            <w:tcW w:type="dxa" w:w="1512"/>
            <w:vAlign w:val="top"/>
          </w:tcPr>
          <w:p>
            <w:pPr>
              <w:spacing w:after="40" w:before="0" w:line="259" w:lineRule="auto"/>
            </w:pPr>
            <w:r>
              <w:rPr>
                <w:rFonts w:ascii="Calibri" w:hAnsi="Calibri"/>
                <w:b w:val="0"/>
                <w:i w:val="0"/>
                <w:color w:val="212121"/>
                <w:sz w:val="19"/>
              </w:rPr>
              <w:t>&lt;= 0.5 (small/normal)</w:t>
            </w:r>
          </w:p>
        </w:tc>
        <w:tc>
          <w:tcPr>
            <w:tcW w:type="dxa" w:w="1512"/>
            <w:vAlign w:val="top"/>
          </w:tcPr>
          <w:p>
            <w:pPr>
              <w:spacing w:after="40" w:before="0" w:line="259" w:lineRule="auto"/>
            </w:pPr>
            <w:r>
              <w:rPr>
                <w:rFonts w:ascii="Calibri" w:hAnsi="Calibri"/>
                <w:b w:val="0"/>
                <w:i w:val="0"/>
                <w:color w:val="212121"/>
                <w:sz w:val="19"/>
              </w:rPr>
              <w:t>&gt; 0.7 (large/significant obstruction)</w:t>
            </w:r>
          </w:p>
        </w:tc>
        <w:tc>
          <w:tcPr>
            <w:tcW w:type="dxa" w:w="1468"/>
            <w:vAlign w:val="top"/>
          </w:tcPr>
          <w:p>
            <w:pPr>
              <w:spacing w:after="60" w:line="259" w:lineRule="auto"/>
            </w:pPr>
            <w:r>
              <w:rPr>
                <w:rFonts w:ascii="Calibri" w:hAnsi="Calibri"/>
                <w:b w:val="0"/>
                <w:i w:val="0"/>
                <w:color w:val="212121"/>
                <w:sz w:val="19"/>
              </w:rPr>
              <w:t>Fujioka ratio on lateral nasopharyngeal radiograph stages hypertrophy</w:t>
            </w:r>
          </w:p>
          <w:p>
            <w:pPr>
              <w:spacing w:after="40" w:line="252" w:lineRule="auto"/>
            </w:pPr>
            <w:hyperlink r:id="rId14">
              <w:r>
                <w:rPr>
                  <w:rFonts w:ascii="Calibri" w:hAnsi="Calibri" w:cs="Calibri"/>
                  <w:sz w:val="18"/>
                  <w:color w:val="1155CC"/>
                  <w:u w:val="single"/>
                </w:rPr>
                <w:t xml:space="preserve">https://link.springer.com/article/10.1186/s12887-025-06503-w</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Endoscopic choanal-obstruction grade</w:t>
            </w:r>
          </w:p>
        </w:tc>
        <w:tc>
          <w:tcPr>
            <w:tcW w:type="dxa" w:w="1655"/>
            <w:vAlign w:val="top"/>
          </w:tcPr>
          <w:p>
            <w:pPr>
              <w:spacing w:after="40" w:before="0" w:line="259" w:lineRule="auto"/>
            </w:pPr>
            <w:r>
              <w:rPr>
                <w:rFonts w:ascii="Calibri" w:hAnsi="Calibri"/>
                <w:b w:val="0"/>
                <w:i w:val="0"/>
                <w:color w:val="212121"/>
                <w:sz w:val="19"/>
              </w:rPr>
              <w:t>Children on nasoendoscopy</w:t>
            </w:r>
          </w:p>
        </w:tc>
        <w:tc>
          <w:tcPr>
            <w:tcW w:type="dxa" w:w="1512"/>
            <w:vAlign w:val="top"/>
          </w:tcPr>
          <w:p>
            <w:pPr>
              <w:spacing w:after="40" w:before="0" w:line="259" w:lineRule="auto"/>
            </w:pPr>
            <w:r>
              <w:rPr>
                <w:rFonts w:ascii="Calibri" w:hAnsi="Calibri"/>
                <w:b w:val="0"/>
                <w:i w:val="0"/>
                <w:color w:val="212121"/>
                <w:sz w:val="19"/>
              </w:rPr>
              <w:t>Grade I (&lt; 40% obstruction)</w:t>
            </w:r>
          </w:p>
        </w:tc>
        <w:tc>
          <w:tcPr>
            <w:tcW w:type="dxa" w:w="1512"/>
            <w:vAlign w:val="top"/>
          </w:tcPr>
          <w:p>
            <w:pPr>
              <w:spacing w:after="40" w:before="0" w:line="259" w:lineRule="auto"/>
            </w:pPr>
            <w:r>
              <w:rPr>
                <w:rFonts w:ascii="Calibri" w:hAnsi="Calibri"/>
                <w:b w:val="0"/>
                <w:i w:val="0"/>
                <w:color w:val="212121"/>
                <w:sz w:val="19"/>
              </w:rPr>
              <w:t>Grade III-IV (&gt; 70% to complete obstruction)</w:t>
            </w:r>
          </w:p>
        </w:tc>
        <w:tc>
          <w:tcPr>
            <w:tcW w:type="dxa" w:w="1468"/>
            <w:vAlign w:val="top"/>
          </w:tcPr>
          <w:p>
            <w:pPr>
              <w:spacing w:after="60" w:line="259" w:lineRule="auto"/>
            </w:pPr>
            <w:r>
              <w:rPr>
                <w:rFonts w:ascii="Calibri" w:hAnsi="Calibri"/>
                <w:b w:val="0"/>
                <w:i w:val="0"/>
                <w:color w:val="212121"/>
                <w:sz w:val="19"/>
              </w:rPr>
              <w:t>Direct endoscopic grade is the reference standard for adenoid size</w:t>
            </w:r>
          </w:p>
          <w:p>
            <w:pPr>
              <w:spacing w:after="40" w:line="252" w:lineRule="auto"/>
            </w:pPr>
            <w:hyperlink r:id="rId14">
              <w:r>
                <w:rPr>
                  <w:rFonts w:ascii="Calibri" w:hAnsi="Calibri" w:cs="Calibri"/>
                  <w:sz w:val="18"/>
                  <w:color w:val="1155CC"/>
                  <w:u w:val="single"/>
                </w:rPr>
                <w:t xml:space="preserve">https://link.springer.com/article/10.1186/s12887-025-06503-w</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Upper-respiratory-infection episodes/year</w:t>
            </w:r>
          </w:p>
        </w:tc>
        <w:tc>
          <w:tcPr>
            <w:tcW w:type="dxa" w:w="1655"/>
            <w:vAlign w:val="top"/>
          </w:tcPr>
          <w:p>
            <w:pPr>
              <w:spacing w:after="40" w:before="0" w:line="259" w:lineRule="auto"/>
            </w:pPr>
            <w:r>
              <w:rPr>
                <w:rFonts w:ascii="Calibri" w:hAnsi="Calibri"/>
                <w:b w:val="0"/>
                <w:i w:val="0"/>
                <w:color w:val="212121"/>
                <w:sz w:val="19"/>
              </w:rPr>
              <w:t>Young children</w:t>
            </w:r>
          </w:p>
        </w:tc>
        <w:tc>
          <w:tcPr>
            <w:tcW w:type="dxa" w:w="1512"/>
            <w:vAlign w:val="top"/>
          </w:tcPr>
          <w:p>
            <w:pPr>
              <w:spacing w:after="40" w:before="0" w:line="259" w:lineRule="auto"/>
            </w:pPr>
            <w:r>
              <w:rPr>
                <w:rFonts w:ascii="Calibri" w:hAnsi="Calibri"/>
                <w:b w:val="0"/>
                <w:i w:val="0"/>
                <w:color w:val="212121"/>
                <w:sz w:val="19"/>
              </w:rPr>
              <w:t>Few, self-limiting episodes</w:t>
            </w:r>
          </w:p>
        </w:tc>
        <w:tc>
          <w:tcPr>
            <w:tcW w:type="dxa" w:w="1512"/>
            <w:vAlign w:val="top"/>
          </w:tcPr>
          <w:p>
            <w:pPr>
              <w:spacing w:after="40" w:before="0" w:line="259" w:lineRule="auto"/>
            </w:pPr>
            <w:r>
              <w:rPr>
                <w:rFonts w:ascii="Calibri" w:hAnsi="Calibri"/>
                <w:b w:val="0"/>
                <w:i w:val="0"/>
                <w:color w:val="212121"/>
                <w:sz w:val="19"/>
              </w:rPr>
              <w:t>Frequent/recurrent infections with persistent nasal symptoms</w:t>
            </w:r>
          </w:p>
        </w:tc>
        <w:tc>
          <w:tcPr>
            <w:tcW w:type="dxa" w:w="1468"/>
            <w:vAlign w:val="top"/>
          </w:tcPr>
          <w:p>
            <w:pPr>
              <w:spacing w:after="60" w:line="259" w:lineRule="auto"/>
            </w:pPr>
            <w:r>
              <w:rPr>
                <w:rFonts w:ascii="Calibri" w:hAnsi="Calibri"/>
                <w:b w:val="0"/>
                <w:i w:val="0"/>
                <w:color w:val="212121"/>
                <w:sz w:val="19"/>
              </w:rPr>
              <w:t>Recurrent infection sustains chronic adenoiditis and enlargement</w:t>
            </w:r>
          </w:p>
          <w:p>
            <w:pPr>
              <w:spacing w:after="40" w:line="252" w:lineRule="auto"/>
            </w:pPr>
            <w:hyperlink r:id="rId9">
              <w:r>
                <w:rPr>
                  <w:rFonts w:ascii="Calibri" w:hAnsi="Calibri" w:cs="Calibri"/>
                  <w:sz w:val="18"/>
                  <w:color w:val="1155CC"/>
                  <w:u w:val="single"/>
                </w:rPr>
                <w:t xml:space="preserve">https://www.ncbi.nlm.nih.gov/books/NBK536984/</w:t>
              </w:r>
            </w:hyperlink>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tobacco-smoke exposure</w:t>
            </w:r>
          </w:p>
        </w:tc>
        <w:tc>
          <w:tcPr>
            <w:tcW w:type="dxa" w:w="1655"/>
            <w:vAlign w:val="top"/>
          </w:tcPr>
          <w:p>
            <w:pPr>
              <w:spacing w:after="40" w:before="0" w:line="259" w:lineRule="auto"/>
            </w:pPr>
            <w:r>
              <w:rPr>
                <w:rFonts w:ascii="Calibri" w:hAnsi="Calibri"/>
                <w:b w:val="0"/>
                <w:i w:val="0"/>
                <w:color w:val="212121"/>
                <w:sz w:val="19"/>
              </w:rPr>
              <w:t>Children &amp; families</w:t>
            </w:r>
          </w:p>
        </w:tc>
        <w:tc>
          <w:tcPr>
            <w:tcW w:type="dxa" w:w="1512"/>
            <w:vAlign w:val="top"/>
          </w:tcPr>
          <w:p>
            <w:pPr>
              <w:spacing w:after="40" w:before="0" w:line="259" w:lineRule="auto"/>
            </w:pPr>
            <w:r>
              <w:rPr>
                <w:rFonts w:ascii="Calibri" w:hAnsi="Calibri"/>
                <w:b w:val="0"/>
                <w:i w:val="0"/>
                <w:color w:val="212121"/>
                <w:sz w:val="19"/>
              </w:rPr>
              <w:t>Zero (smoke-free home)</w:t>
            </w:r>
          </w:p>
        </w:tc>
        <w:tc>
          <w:tcPr>
            <w:tcW w:type="dxa" w:w="1512"/>
            <w:vAlign w:val="top"/>
          </w:tcPr>
          <w:p>
            <w:pPr>
              <w:spacing w:after="40" w:before="0" w:line="259" w:lineRule="auto"/>
            </w:pPr>
            <w:r>
              <w:rPr>
                <w:rFonts w:ascii="Calibri" w:hAnsi="Calibri"/>
                <w:b w:val="0"/>
                <w:i w:val="0"/>
                <w:color w:val="212121"/>
                <w:sz w:val="19"/>
              </w:rPr>
              <w:t>Any household smoker / passive exposure</w:t>
            </w:r>
          </w:p>
        </w:tc>
        <w:tc>
          <w:tcPr>
            <w:tcW w:type="dxa" w:w="1468"/>
            <w:vAlign w:val="top"/>
          </w:tcPr>
          <w:p>
            <w:pPr>
              <w:spacing w:after="60" w:line="259" w:lineRule="auto"/>
            </w:pPr>
            <w:r>
              <w:rPr>
                <w:rFonts w:ascii="Calibri" w:hAnsi="Calibri"/>
                <w:b w:val="0"/>
                <w:i w:val="0"/>
                <w:color w:val="212121"/>
                <w:sz w:val="19"/>
              </w:rPr>
              <w:t>Cigarette-smoke exposure is a recognised cause of adenoid hypertrophy</w:t>
            </w:r>
          </w:p>
          <w:p>
            <w:pPr>
              <w:spacing w:after="40" w:line="252" w:lineRule="auto"/>
            </w:pPr>
            <w:hyperlink r:id="rId9">
              <w:r>
                <w:rPr>
                  <w:rFonts w:ascii="Calibri" w:hAnsi="Calibri" w:cs="Calibri"/>
                  <w:sz w:val="18"/>
                  <w:color w:val="1155CC"/>
                  <w:u w:val="single"/>
                </w:rPr>
                <w:t xml:space="preserve">https://www.ncbi.nlm.nih.gov/books/NBK536984/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Indoor biomass (solid-fuel) cooking smoke</w:t>
            </w:r>
          </w:p>
        </w:tc>
        <w:tc>
          <w:tcPr>
            <w:tcW w:type="dxa" w:w="1655"/>
            <w:vAlign w:val="top"/>
          </w:tcPr>
          <w:p>
            <w:pPr>
              <w:spacing w:after="40" w:before="0" w:line="259" w:lineRule="auto"/>
            </w:pPr>
            <w:r>
              <w:rPr>
                <w:rFonts w:ascii="Calibri" w:hAnsi="Calibri"/>
                <w:b w:val="0"/>
                <w:i w:val="0"/>
                <w:color w:val="212121"/>
                <w:sz w:val="19"/>
              </w:rPr>
              <w:t>Rural/low-income households</w:t>
            </w:r>
          </w:p>
        </w:tc>
        <w:tc>
          <w:tcPr>
            <w:tcW w:type="dxa" w:w="1512"/>
            <w:vAlign w:val="top"/>
          </w:tcPr>
          <w:p>
            <w:pPr>
              <w:spacing w:after="40" w:before="0" w:line="259" w:lineRule="auto"/>
            </w:pPr>
            <w:r>
              <w:rPr>
                <w:rFonts w:ascii="Calibri" w:hAnsi="Calibri"/>
                <w:b w:val="0"/>
                <w:i w:val="0"/>
                <w:color w:val="212121"/>
                <w:sz w:val="19"/>
              </w:rPr>
              <w:t>Clean fuel (LPG) / ventilated / chimney stove</w:t>
            </w:r>
          </w:p>
        </w:tc>
        <w:tc>
          <w:tcPr>
            <w:tcW w:type="dxa" w:w="1512"/>
            <w:vAlign w:val="top"/>
          </w:tcPr>
          <w:p>
            <w:pPr>
              <w:spacing w:after="40" w:before="0" w:line="259" w:lineRule="auto"/>
            </w:pPr>
            <w:r>
              <w:rPr>
                <w:rFonts w:ascii="Calibri" w:hAnsi="Calibri"/>
                <w:b w:val="0"/>
                <w:i w:val="0"/>
                <w:color w:val="212121"/>
                <w:sz w:val="19"/>
              </w:rPr>
              <w:t>Unvented wood or charcoal cooking smoke</w:t>
            </w:r>
          </w:p>
        </w:tc>
        <w:tc>
          <w:tcPr>
            <w:tcW w:type="dxa" w:w="1468"/>
            <w:vAlign w:val="top"/>
          </w:tcPr>
          <w:p>
            <w:pPr>
              <w:spacing w:after="60" w:line="259" w:lineRule="auto"/>
            </w:pPr>
            <w:r>
              <w:rPr>
                <w:rFonts w:ascii="Calibri" w:hAnsi="Calibri"/>
                <w:b w:val="0"/>
                <w:i w:val="0"/>
                <w:color w:val="212121"/>
                <w:sz w:val="19"/>
              </w:rPr>
              <w:t>Chronic irritant smoke inflames the upper-airway mucosa</w:t>
            </w:r>
          </w:p>
          <w:p>
            <w:pPr>
              <w:spacing w:after="40" w:line="252" w:lineRule="auto"/>
            </w:pPr>
            <w:hyperlink r:id="rId9">
              <w:r>
                <w:rPr>
                  <w:rFonts w:ascii="Calibri" w:hAnsi="Calibri" w:cs="Calibri"/>
                  <w:sz w:val="18"/>
                  <w:color w:val="1155CC"/>
                  <w:u w:val="single"/>
                </w:rPr>
                <w:t xml:space="preserve">https://www.ncbi.nlm.nih.gov/books/NBK536984/</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Allergic-rhinitis / atopy control</w:t>
            </w:r>
          </w:p>
        </w:tc>
        <w:tc>
          <w:tcPr>
            <w:tcW w:type="dxa" w:w="1655"/>
            <w:vAlign w:val="top"/>
          </w:tcPr>
          <w:p>
            <w:pPr>
              <w:spacing w:after="40" w:before="0" w:line="259" w:lineRule="auto"/>
            </w:pPr>
            <w:r>
              <w:rPr>
                <w:rFonts w:ascii="Calibri" w:hAnsi="Calibri"/>
                <w:b w:val="0"/>
                <w:i w:val="0"/>
                <w:color w:val="212121"/>
                <w:sz w:val="19"/>
              </w:rPr>
              <w:t>Atopic children</w:t>
            </w:r>
          </w:p>
        </w:tc>
        <w:tc>
          <w:tcPr>
            <w:tcW w:type="dxa" w:w="1512"/>
            <w:vAlign w:val="top"/>
          </w:tcPr>
          <w:p>
            <w:pPr>
              <w:spacing w:after="40" w:before="0" w:line="259" w:lineRule="auto"/>
            </w:pPr>
            <w:r>
              <w:rPr>
                <w:rFonts w:ascii="Calibri" w:hAnsi="Calibri"/>
                <w:b w:val="0"/>
                <w:i w:val="0"/>
                <w:color w:val="212121"/>
                <w:sz w:val="19"/>
              </w:rPr>
              <w:t>Well-controlled; no persistent allergic symptoms</w:t>
            </w:r>
          </w:p>
        </w:tc>
        <w:tc>
          <w:tcPr>
            <w:tcW w:type="dxa" w:w="1512"/>
            <w:vAlign w:val="top"/>
          </w:tcPr>
          <w:p>
            <w:pPr>
              <w:spacing w:after="40" w:before="0" w:line="259" w:lineRule="auto"/>
            </w:pPr>
            <w:r>
              <w:rPr>
                <w:rFonts w:ascii="Calibri" w:hAnsi="Calibri"/>
                <w:b w:val="0"/>
                <w:i w:val="0"/>
                <w:color w:val="212121"/>
                <w:sz w:val="19"/>
              </w:rPr>
              <w:t>Uncontrolled allergic rhinitis; positive skin-prick/IgE</w:t>
            </w:r>
          </w:p>
        </w:tc>
        <w:tc>
          <w:tcPr>
            <w:tcW w:type="dxa" w:w="1468"/>
            <w:vAlign w:val="top"/>
          </w:tcPr>
          <w:p>
            <w:pPr>
              <w:spacing w:after="60" w:line="259" w:lineRule="auto"/>
            </w:pPr>
            <w:r>
              <w:rPr>
                <w:rFonts w:ascii="Calibri" w:hAnsi="Calibri"/>
                <w:b w:val="0"/>
                <w:i w:val="0"/>
                <w:color w:val="212121"/>
                <w:sz w:val="19"/>
              </w:rPr>
              <w:t>Skin-prick positivity ~65% in symptomatic adenoid hypertrophy</w:t>
            </w:r>
          </w:p>
          <w:p>
            <w:pPr>
              <w:spacing w:after="40" w:line="252" w:lineRule="auto"/>
            </w:pPr>
            <w:hyperlink r:id="rId11">
              <w:r>
                <w:rPr>
                  <w:rFonts w:ascii="Calibri" w:hAnsi="Calibri" w:cs="Calibri"/>
                  <w:sz w:val="18"/>
                  <w:color w:val="1155CC"/>
                  <w:u w:val="single"/>
                </w:rPr>
                <w:t xml:space="preserve">https://www.frontiersin.org/journals/pediatrics/articles/10.3389/fped.2023.1179218/full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Exclusive breastfeeding duration</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&gt;= 6 months exclusive</w:t>
            </w:r>
          </w:p>
        </w:tc>
        <w:tc>
          <w:tcPr>
            <w:tcW w:type="dxa" w:w="1512"/>
            <w:vAlign w:val="top"/>
          </w:tcPr>
          <w:p>
            <w:pPr>
              <w:spacing w:after="40" w:before="0" w:line="259" w:lineRule="auto"/>
            </w:pPr>
            <w:r>
              <w:rPr>
                <w:rFonts w:ascii="Calibri" w:hAnsi="Calibri"/>
                <w:b w:val="0"/>
                <w:i w:val="0"/>
                <w:color w:val="212121"/>
                <w:sz w:val="19"/>
              </w:rPr>
              <w:t>&lt; 4 months / not breastfed</w:t>
            </w:r>
          </w:p>
        </w:tc>
        <w:tc>
          <w:tcPr>
            <w:tcW w:type="dxa" w:w="1468"/>
            <w:vAlign w:val="top"/>
          </w:tcPr>
          <w:p>
            <w:pPr>
              <w:spacing w:after="40" w:before="0" w:line="259" w:lineRule="auto"/>
            </w:pPr>
            <w:r>
              <w:rPr>
                <w:rFonts w:ascii="Calibri" w:hAnsi="Calibri"/>
                <w:b w:val="0"/>
                <w:i w:val="0"/>
                <w:color w:val="212121"/>
                <w:sz w:val="19"/>
              </w:rPr>
              <w:t>Breastfeeding supports mucosal immunity and reduces early ear/URI infection</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Tympanogram type (middle-ear status)</w:t>
            </w:r>
          </w:p>
        </w:tc>
        <w:tc>
          <w:tcPr>
            <w:tcW w:type="dxa" w:w="1655"/>
            <w:vAlign w:val="top"/>
          </w:tcPr>
          <w:p>
            <w:pPr>
              <w:spacing w:after="40" w:before="0" w:line="259" w:lineRule="auto"/>
            </w:pPr>
            <w:r>
              <w:rPr>
                <w:rFonts w:ascii="Calibri" w:hAnsi="Calibri"/>
                <w:b w:val="0"/>
                <w:i w:val="0"/>
                <w:color w:val="212121"/>
                <w:sz w:val="19"/>
              </w:rPr>
              <w:t>Children with adenoid hypertrophy</w:t>
            </w:r>
          </w:p>
        </w:tc>
        <w:tc>
          <w:tcPr>
            <w:tcW w:type="dxa" w:w="1512"/>
            <w:vAlign w:val="top"/>
          </w:tcPr>
          <w:p>
            <w:pPr>
              <w:spacing w:after="40" w:before="0" w:line="259" w:lineRule="auto"/>
            </w:pPr>
            <w:r>
              <w:rPr>
                <w:rFonts w:ascii="Calibri" w:hAnsi="Calibri"/>
                <w:b w:val="0"/>
                <w:i w:val="0"/>
                <w:color w:val="212121"/>
                <w:sz w:val="19"/>
              </w:rPr>
              <w:t>Type A (normal middle-ear pressure)</w:t>
            </w:r>
          </w:p>
        </w:tc>
        <w:tc>
          <w:tcPr>
            <w:tcW w:type="dxa" w:w="1512"/>
            <w:vAlign w:val="top"/>
          </w:tcPr>
          <w:p>
            <w:pPr>
              <w:spacing w:after="40" w:before="0" w:line="259" w:lineRule="auto"/>
            </w:pPr>
            <w:r>
              <w:rPr>
                <w:rFonts w:ascii="Calibri" w:hAnsi="Calibri"/>
                <w:b w:val="0"/>
                <w:i w:val="0"/>
                <w:color w:val="212121"/>
                <w:sz w:val="19"/>
              </w:rPr>
              <w:t>Type B (flat) or type C (negative pressure)</w:t>
            </w:r>
          </w:p>
        </w:tc>
        <w:tc>
          <w:tcPr>
            <w:tcW w:type="dxa" w:w="1468"/>
            <w:vAlign w:val="top"/>
          </w:tcPr>
          <w:p>
            <w:pPr>
              <w:spacing w:after="60" w:line="259" w:lineRule="auto"/>
            </w:pPr>
            <w:r>
              <w:rPr>
                <w:rFonts w:ascii="Calibri" w:hAnsi="Calibri"/>
                <w:b w:val="0"/>
                <w:i w:val="0"/>
                <w:color w:val="212121"/>
                <w:sz w:val="19"/>
              </w:rPr>
              <w:t>Type B tympanograms in ~58% of children with adenoidal otitis media with effusion</w:t>
            </w:r>
          </w:p>
          <w:p>
            <w:pPr>
              <w:spacing w:after="40" w:line="252" w:lineRule="auto"/>
            </w:pPr>
            <w:hyperlink r:id="rId15">
              <w:r>
                <w:rPr>
                  <w:rFonts w:ascii="Calibri" w:hAnsi="Calibri" w:cs="Calibri"/>
                  <w:sz w:val="18"/>
                  <w:color w:val="1155CC"/>
                  <w:u w:val="single"/>
                </w:rPr>
                <w:t xml:space="preserve">https://www.medpulse.in/ENT/Article/Volume19Issue3/ENT_19_3_1.pdf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Pure-tone / conductive hearing threshold</w:t>
            </w:r>
          </w:p>
        </w:tc>
        <w:tc>
          <w:tcPr>
            <w:tcW w:type="dxa" w:w="1655"/>
            <w:vAlign w:val="top"/>
          </w:tcPr>
          <w:p>
            <w:pPr>
              <w:spacing w:after="40" w:before="0" w:line="259" w:lineRule="auto"/>
            </w:pPr>
            <w:r>
              <w:rPr>
                <w:rFonts w:ascii="Calibri" w:hAnsi="Calibri"/>
                <w:b w:val="0"/>
                <w:i w:val="0"/>
                <w:color w:val="212121"/>
                <w:sz w:val="19"/>
              </w:rPr>
              <w:t>Children with effusion</w:t>
            </w:r>
          </w:p>
        </w:tc>
        <w:tc>
          <w:tcPr>
            <w:tcW w:type="dxa" w:w="1512"/>
            <w:vAlign w:val="top"/>
          </w:tcPr>
          <w:p>
            <w:pPr>
              <w:spacing w:after="40" w:before="0" w:line="259" w:lineRule="auto"/>
            </w:pPr>
            <w:r>
              <w:rPr>
                <w:rFonts w:ascii="Calibri" w:hAnsi="Calibri"/>
                <w:b w:val="0"/>
                <w:i w:val="0"/>
                <w:color w:val="212121"/>
                <w:sz w:val="19"/>
              </w:rPr>
              <w:t>&lt;= 25 dB HL</w:t>
            </w:r>
          </w:p>
        </w:tc>
        <w:tc>
          <w:tcPr>
            <w:tcW w:type="dxa" w:w="1512"/>
            <w:vAlign w:val="top"/>
          </w:tcPr>
          <w:p>
            <w:pPr>
              <w:spacing w:after="40" w:before="0" w:line="259" w:lineRule="auto"/>
            </w:pPr>
            <w:r>
              <w:rPr>
                <w:rFonts w:ascii="Calibri" w:hAnsi="Calibri"/>
                <w:b w:val="0"/>
                <w:i w:val="0"/>
                <w:color w:val="212121"/>
                <w:sz w:val="19"/>
              </w:rPr>
              <w:t>&gt; 25 dB HL conductive loss (air-bone gap)</w:t>
            </w:r>
          </w:p>
        </w:tc>
        <w:tc>
          <w:tcPr>
            <w:tcW w:type="dxa" w:w="1468"/>
            <w:vAlign w:val="top"/>
          </w:tcPr>
          <w:p>
            <w:pPr>
              <w:spacing w:after="40" w:before="0" w:line="259" w:lineRule="auto"/>
            </w:pPr>
            <w:r>
              <w:rPr>
                <w:rFonts w:ascii="Calibri" w:hAnsi="Calibri"/>
                <w:b w:val="0"/>
                <w:i w:val="0"/>
                <w:color w:val="212121"/>
                <w:sz w:val="19"/>
              </w:rPr>
              <w:t>Effusion behind an obstructing adenoid causes conductive hearing loss</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Mouth-breathing / open-mouth posture</w:t>
            </w:r>
          </w:p>
        </w:tc>
        <w:tc>
          <w:tcPr>
            <w:tcW w:type="dxa" w:w="1655"/>
            <w:vAlign w:val="top"/>
          </w:tcPr>
          <w:p>
            <w:pPr>
              <w:spacing w:after="40" w:before="0" w:line="259" w:lineRule="auto"/>
            </w:pPr>
            <w:r>
              <w:rPr>
                <w:rFonts w:ascii="Calibri" w:hAnsi="Calibri"/>
                <w:b w:val="0"/>
                <w:i w:val="0"/>
                <w:color w:val="212121"/>
                <w:sz w:val="19"/>
              </w:rPr>
              <w:t>Children with nasal obstruction</w:t>
            </w:r>
          </w:p>
        </w:tc>
        <w:tc>
          <w:tcPr>
            <w:tcW w:type="dxa" w:w="1512"/>
            <w:vAlign w:val="top"/>
          </w:tcPr>
          <w:p>
            <w:pPr>
              <w:spacing w:after="40" w:before="0" w:line="259" w:lineRule="auto"/>
            </w:pPr>
            <w:r>
              <w:rPr>
                <w:rFonts w:ascii="Calibri" w:hAnsi="Calibri"/>
                <w:b w:val="0"/>
                <w:i w:val="0"/>
                <w:color w:val="212121"/>
                <w:sz w:val="19"/>
              </w:rPr>
              <w:t>Habitual nasal breathing, lips together at rest</w:t>
            </w:r>
          </w:p>
        </w:tc>
        <w:tc>
          <w:tcPr>
            <w:tcW w:type="dxa" w:w="1512"/>
            <w:vAlign w:val="top"/>
          </w:tcPr>
          <w:p>
            <w:pPr>
              <w:spacing w:after="40" w:before="0" w:line="259" w:lineRule="auto"/>
            </w:pPr>
            <w:r>
              <w:rPr>
                <w:rFonts w:ascii="Calibri" w:hAnsi="Calibri"/>
                <w:b w:val="0"/>
                <w:i w:val="0"/>
                <w:color w:val="212121"/>
                <w:sz w:val="19"/>
              </w:rPr>
              <w:t>Chronic mouth breathing day and night</w:t>
            </w:r>
          </w:p>
        </w:tc>
        <w:tc>
          <w:tcPr>
            <w:tcW w:type="dxa" w:w="1468"/>
            <w:vAlign w:val="top"/>
          </w:tcPr>
          <w:p>
            <w:pPr>
              <w:spacing w:after="60" w:line="259" w:lineRule="auto"/>
            </w:pPr>
            <w:r>
              <w:rPr>
                <w:rFonts w:ascii="Calibri" w:hAnsi="Calibri"/>
                <w:b w:val="0"/>
                <w:i w:val="0"/>
                <w:color w:val="212121"/>
                <w:sz w:val="19"/>
              </w:rPr>
              <w:t>Mouth breathing in ~96% of children with adenoidal obstruction; drives adenoid facies</w:t>
            </w:r>
          </w:p>
          <w:p>
            <w:pPr>
              <w:spacing w:after="40" w:line="252" w:lineRule="auto"/>
            </w:pPr>
            <w:hyperlink r:id="rId10">
              <w:r>
                <w:rPr>
                  <w:rFonts w:ascii="Calibri" w:hAnsi="Calibri" w:cs="Calibri"/>
                  <w:sz w:val="18"/>
                  <w:color w:val="1155CC"/>
                  <w:u w:val="single"/>
                </w:rPr>
                <w:t xml:space="preserve">https://pmc.ncbi.nlm.nih.gov/articles/PMC4298585/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Choanal-obstruction grade (I-IV) of the adenoid mass</w:t>
            </w:r>
          </w:p>
        </w:tc>
        <w:tc>
          <w:tcPr>
            <w:tcW w:type="dxa" w:w="892"/>
            <w:vAlign w:val="top"/>
          </w:tcPr>
          <w:p>
            <w:pPr>
              <w:spacing w:after="40" w:before="0" w:line="259" w:lineRule="auto"/>
            </w:pPr>
            <w:r>
              <w:rPr>
                <w:rFonts w:ascii="Calibri" w:hAnsi="Calibri"/>
                <w:b w:val="0"/>
                <w:i w:val="0"/>
                <w:color w:val="212121"/>
                <w:sz w:val="16"/>
              </w:rPr>
              <w:t>Flexible nasopharyngoscopy</w:t>
            </w:r>
          </w:p>
        </w:tc>
        <w:tc>
          <w:tcPr>
            <w:tcW w:type="dxa" w:w="950"/>
            <w:vAlign w:val="top"/>
          </w:tcPr>
          <w:p>
            <w:pPr>
              <w:spacing w:after="40" w:before="0" w:line="259" w:lineRule="auto"/>
            </w:pPr>
            <w:r>
              <w:rPr>
                <w:rFonts w:ascii="Calibri" w:hAnsi="Calibri"/>
                <w:b w:val="0"/>
                <w:i w:val="0"/>
                <w:color w:val="212121"/>
                <w:sz w:val="16"/>
              </w:rPr>
              <w:t>Small adenoid, patent choanae (grade I, &lt; 40%)</w:t>
            </w:r>
          </w:p>
        </w:tc>
        <w:tc>
          <w:tcPr>
            <w:tcW w:type="dxa" w:w="950"/>
            <w:vAlign w:val="top"/>
          </w:tcPr>
          <w:p>
            <w:pPr>
              <w:spacing w:after="40" w:before="0" w:line="259" w:lineRule="auto"/>
            </w:pPr>
            <w:r>
              <w:rPr>
                <w:rFonts w:ascii="Calibri" w:hAnsi="Calibri"/>
                <w:b w:val="0"/>
                <w:i w:val="0"/>
                <w:color w:val="212121"/>
                <w:sz w:val="16"/>
              </w:rPr>
              <w:t>Grade III-IV adenoid obstructing &gt; 70% to all of the choana</w:t>
            </w:r>
          </w:p>
        </w:tc>
        <w:tc>
          <w:tcPr>
            <w:tcW w:type="dxa" w:w="1036"/>
            <w:vAlign w:val="top"/>
          </w:tcPr>
          <w:p>
            <w:pPr>
              <w:spacing w:after="40" w:before="0" w:line="259" w:lineRule="auto"/>
            </w:pPr>
            <w:r>
              <w:rPr>
                <w:rFonts w:ascii="Calibri" w:hAnsi="Calibri"/>
                <w:b w:val="0"/>
                <w:i w:val="0"/>
                <w:color w:val="212121"/>
                <w:sz w:val="16"/>
              </w:rPr>
              <w:t>Directly visualises and grades adenoid size - the office gold standard</w:t>
            </w:r>
          </w:p>
        </w:tc>
        <w:tc>
          <w:tcPr>
            <w:tcW w:type="dxa" w:w="1036"/>
            <w:vAlign w:val="top"/>
          </w:tcPr>
          <w:p>
            <w:pPr>
              <w:spacing w:after="40" w:before="0" w:line="259" w:lineRule="auto"/>
            </w:pPr>
            <w:r>
              <w:rPr>
                <w:rFonts w:ascii="Calibri" w:hAnsi="Calibri"/>
                <w:b w:val="0"/>
                <w:i w:val="0"/>
                <w:color w:val="212121"/>
                <w:sz w:val="16"/>
              </w:rPr>
              <w:t>Children with chronic nasal obstruction, snoring, OME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(gold standard)</w:t>
            </w:r>
          </w:p>
        </w:tc>
        <w:tc>
          <w:tcPr>
            <w:tcW w:type="dxa" w:w="720"/>
            <w:vAlign w:val="top"/>
          </w:tcPr>
          <w:p>
            <w:pPr>
              <w:spacing w:after="40" w:before="0" w:line="259" w:lineRule="auto"/>
            </w:pPr>
            <w:r>
              <w:rPr>
                <w:rFonts w:ascii="Calibri" w:hAnsi="Calibri"/>
                <w:b w:val="0"/>
                <w:i w:val="0"/>
                <w:color w:val="212121"/>
                <w:sz w:val="16"/>
              </w:rPr>
              <w:t>Safe, radiation-free; also shows tubal tonsils and Eustachian orifices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Adenoid-nasopharyngeal (A/N) ratio</w:t>
            </w:r>
          </w:p>
        </w:tc>
        <w:tc>
          <w:tcPr>
            <w:tcW w:type="dxa" w:w="892"/>
            <w:vAlign w:val="top"/>
          </w:tcPr>
          <w:p>
            <w:pPr>
              <w:spacing w:after="40" w:before="0" w:line="259" w:lineRule="auto"/>
            </w:pPr>
            <w:r>
              <w:rPr>
                <w:rFonts w:ascii="Calibri" w:hAnsi="Calibri"/>
                <w:b w:val="0"/>
                <w:i w:val="0"/>
                <w:color w:val="212121"/>
                <w:sz w:val="16"/>
              </w:rPr>
              <w:t>Lateral soft-tissue radiograph of nasopharynx</w:t>
            </w:r>
          </w:p>
        </w:tc>
        <w:tc>
          <w:tcPr>
            <w:tcW w:type="dxa" w:w="950"/>
            <w:vAlign w:val="top"/>
          </w:tcPr>
          <w:p>
            <w:pPr>
              <w:spacing w:after="40" w:before="0" w:line="259" w:lineRule="auto"/>
            </w:pPr>
            <w:r>
              <w:rPr>
                <w:rFonts w:ascii="Calibri" w:hAnsi="Calibri"/>
                <w:b w:val="0"/>
                <w:i w:val="0"/>
                <w:color w:val="212121"/>
                <w:sz w:val="16"/>
              </w:rPr>
              <w:t>A/N ratio &lt;= 0.5</w:t>
            </w:r>
          </w:p>
        </w:tc>
        <w:tc>
          <w:tcPr>
            <w:tcW w:type="dxa" w:w="950"/>
            <w:vAlign w:val="top"/>
          </w:tcPr>
          <w:p>
            <w:pPr>
              <w:spacing w:after="40" w:before="0" w:line="259" w:lineRule="auto"/>
            </w:pPr>
            <w:r>
              <w:rPr>
                <w:rFonts w:ascii="Calibri" w:hAnsi="Calibri"/>
                <w:b w:val="0"/>
                <w:i w:val="0"/>
                <w:color w:val="212121"/>
                <w:sz w:val="16"/>
              </w:rPr>
              <w:t>A/N ratio &gt; 0.7 (large/significant)</w:t>
            </w:r>
          </w:p>
        </w:tc>
        <w:tc>
          <w:tcPr>
            <w:tcW w:type="dxa" w:w="1036"/>
            <w:vAlign w:val="top"/>
          </w:tcPr>
          <w:p>
            <w:pPr>
              <w:spacing w:after="40" w:before="0" w:line="259" w:lineRule="auto"/>
            </w:pPr>
            <w:r>
              <w:rPr>
                <w:rFonts w:ascii="Calibri" w:hAnsi="Calibri"/>
                <w:b w:val="0"/>
                <w:i w:val="0"/>
                <w:color w:val="212121"/>
                <w:sz w:val="16"/>
              </w:rPr>
              <w:t>Estimates adenoid size and airway narrowing where endoscopy is unavailable</w:t>
            </w:r>
          </w:p>
        </w:tc>
        <w:tc>
          <w:tcPr>
            <w:tcW w:type="dxa" w:w="1036"/>
            <w:vAlign w:val="top"/>
          </w:tcPr>
          <w:p>
            <w:pPr>
              <w:spacing w:after="40" w:before="0" w:line="259" w:lineRule="auto"/>
            </w:pPr>
            <w:r>
              <w:rPr>
                <w:rFonts w:ascii="Calibri" w:hAnsi="Calibri"/>
                <w:b w:val="0"/>
                <w:i w:val="0"/>
                <w:color w:val="212121"/>
                <w:sz w:val="16"/>
              </w:rPr>
              <w:t>Young/uncooperative children,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Fujioka method; involves radiation, so used selectively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Sleep study</w:t>
            </w:r>
          </w:p>
        </w:tc>
        <w:tc>
          <w:tcPr>
            <w:tcW w:type="dxa" w:w="1036"/>
            <w:vAlign w:val="top"/>
          </w:tcPr>
          <w:p>
            <w:pPr>
              <w:spacing w:after="40" w:before="0" w:line="259" w:lineRule="auto"/>
            </w:pPr>
            <w:r>
              <w:rPr>
                <w:rFonts w:ascii="Calibri" w:hAnsi="Calibri"/>
                <w:b w:val="0"/>
                <w:i w:val="0"/>
                <w:color w:val="212121"/>
                <w:sz w:val="16"/>
              </w:rPr>
              <w:t>Apnoea-hypopnoea index (AHI), oxygen saturation nadir</w:t>
            </w:r>
          </w:p>
        </w:tc>
        <w:tc>
          <w:tcPr>
            <w:tcW w:type="dxa" w:w="892"/>
            <w:vAlign w:val="top"/>
          </w:tcPr>
          <w:p>
            <w:pPr>
              <w:spacing w:after="40" w:before="0" w:line="259" w:lineRule="auto"/>
            </w:pPr>
            <w:r>
              <w:rPr>
                <w:rFonts w:ascii="Calibri" w:hAnsi="Calibri"/>
                <w:b w:val="0"/>
                <w:i w:val="0"/>
                <w:color w:val="212121"/>
                <w:sz w:val="16"/>
              </w:rPr>
              <w:t>Overnight polysomnography (or oximetry)</w:t>
            </w:r>
          </w:p>
        </w:tc>
        <w:tc>
          <w:tcPr>
            <w:tcW w:type="dxa" w:w="950"/>
            <w:vAlign w:val="top"/>
          </w:tcPr>
          <w:p>
            <w:pPr>
              <w:spacing w:after="40" w:before="0" w:line="259" w:lineRule="auto"/>
            </w:pPr>
            <w:r>
              <w:rPr>
                <w:rFonts w:ascii="Calibri" w:hAnsi="Calibri"/>
                <w:b w:val="0"/>
                <w:i w:val="0"/>
                <w:color w:val="212121"/>
                <w:sz w:val="16"/>
              </w:rPr>
              <w:t>AHI &lt; 1/hour, normal SpO2</w:t>
            </w:r>
          </w:p>
        </w:tc>
        <w:tc>
          <w:tcPr>
            <w:tcW w:type="dxa" w:w="950"/>
            <w:vAlign w:val="top"/>
          </w:tcPr>
          <w:p>
            <w:pPr>
              <w:spacing w:after="40" w:before="0" w:line="259" w:lineRule="auto"/>
            </w:pPr>
            <w:r>
              <w:rPr>
                <w:rFonts w:ascii="Calibri" w:hAnsi="Calibri"/>
                <w:b w:val="0"/>
                <w:i w:val="0"/>
                <w:color w:val="212121"/>
                <w:sz w:val="16"/>
              </w:rPr>
              <w:t>AHI &gt;= 1/hour with desaturations</w:t>
            </w:r>
          </w:p>
        </w:tc>
        <w:tc>
          <w:tcPr>
            <w:tcW w:type="dxa" w:w="1036"/>
            <w:vAlign w:val="top"/>
          </w:tcPr>
          <w:p>
            <w:pPr>
              <w:spacing w:after="40" w:before="0" w:line="259" w:lineRule="auto"/>
            </w:pPr>
            <w:r>
              <w:rPr>
                <w:rFonts w:ascii="Calibri" w:hAnsi="Calibri"/>
                <w:b w:val="0"/>
                <w:i w:val="0"/>
                <w:color w:val="212121"/>
                <w:sz w:val="16"/>
              </w:rPr>
              <w:t>Confirms and grades obstructive sleep apnoea and guides surgery</w:t>
            </w:r>
          </w:p>
        </w:tc>
        <w:tc>
          <w:tcPr>
            <w:tcW w:type="dxa" w:w="1036"/>
            <w:vAlign w:val="top"/>
          </w:tcPr>
          <w:p>
            <w:pPr>
              <w:spacing w:after="40" w:before="0" w:line="259" w:lineRule="auto"/>
            </w:pPr>
            <w:r>
              <w:rPr>
                <w:rFonts w:ascii="Calibri" w:hAnsi="Calibri"/>
                <w:b w:val="0"/>
                <w:i w:val="0"/>
                <w:color w:val="212121"/>
                <w:sz w:val="16"/>
              </w:rPr>
              <w:t>Snoring children, suspected OSA, comorbidity</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Confirmatory (OSA)</w:t>
            </w:r>
          </w:p>
        </w:tc>
        <w:tc>
          <w:tcPr>
            <w:tcW w:type="dxa" w:w="720"/>
            <w:vAlign w:val="top"/>
          </w:tcPr>
          <w:p>
            <w:pPr>
              <w:spacing w:after="40" w:before="0" w:line="259" w:lineRule="auto"/>
            </w:pPr>
            <w:r>
              <w:rPr>
                <w:rFonts w:ascii="Calibri" w:hAnsi="Calibri"/>
                <w:b w:val="0"/>
                <w:i w:val="0"/>
                <w:color w:val="212121"/>
                <w:sz w:val="16"/>
              </w:rPr>
              <w:t>PSG is the reference standard; oximetry a screening substitute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Otology</w:t>
            </w:r>
          </w:p>
        </w:tc>
        <w:tc>
          <w:tcPr>
            <w:tcW w:type="dxa" w:w="1036"/>
            <w:vAlign w:val="top"/>
          </w:tcPr>
          <w:p>
            <w:pPr>
              <w:spacing w:after="40" w:before="0" w:line="259" w:lineRule="auto"/>
            </w:pPr>
            <w:r>
              <w:rPr>
                <w:rFonts w:ascii="Calibri" w:hAnsi="Calibri"/>
                <w:b w:val="0"/>
                <w:i w:val="0"/>
                <w:color w:val="212121"/>
                <w:sz w:val="16"/>
              </w:rPr>
              <w:t>Middle-ear compliance / tympanogram type</w:t>
            </w:r>
          </w:p>
        </w:tc>
        <w:tc>
          <w:tcPr>
            <w:tcW w:type="dxa" w:w="892"/>
            <w:vAlign w:val="top"/>
          </w:tcPr>
          <w:p>
            <w:pPr>
              <w:spacing w:after="40" w:before="0" w:line="259" w:lineRule="auto"/>
            </w:pPr>
            <w:r>
              <w:rPr>
                <w:rFonts w:ascii="Calibri" w:hAnsi="Calibri"/>
                <w:b w:val="0"/>
                <w:i w:val="0"/>
                <w:color w:val="212121"/>
                <w:sz w:val="16"/>
              </w:rPr>
              <w:t>Tympanometry (impedance audiometry)</w:t>
            </w:r>
          </w:p>
        </w:tc>
        <w:tc>
          <w:tcPr>
            <w:tcW w:type="dxa" w:w="950"/>
            <w:vAlign w:val="top"/>
          </w:tcPr>
          <w:p>
            <w:pPr>
              <w:spacing w:after="40" w:before="0" w:line="259" w:lineRule="auto"/>
            </w:pPr>
            <w:r>
              <w:rPr>
                <w:rFonts w:ascii="Calibri" w:hAnsi="Calibri"/>
                <w:b w:val="0"/>
                <w:i w:val="0"/>
                <w:color w:val="212121"/>
                <w:sz w:val="16"/>
              </w:rPr>
              <w:t>Type A curve</w:t>
            </w:r>
          </w:p>
        </w:tc>
        <w:tc>
          <w:tcPr>
            <w:tcW w:type="dxa" w:w="950"/>
            <w:vAlign w:val="top"/>
          </w:tcPr>
          <w:p>
            <w:pPr>
              <w:spacing w:after="40" w:before="0" w:line="259" w:lineRule="auto"/>
            </w:pPr>
            <w:r>
              <w:rPr>
                <w:rFonts w:ascii="Calibri" w:hAnsi="Calibri"/>
                <w:b w:val="0"/>
                <w:i w:val="0"/>
                <w:color w:val="212121"/>
                <w:sz w:val="16"/>
              </w:rPr>
              <w:t>Type B (flat) or type C (negative pressure)</w:t>
            </w:r>
          </w:p>
        </w:tc>
        <w:tc>
          <w:tcPr>
            <w:tcW w:type="dxa" w:w="1036"/>
            <w:vAlign w:val="top"/>
          </w:tcPr>
          <w:p>
            <w:pPr>
              <w:spacing w:after="40" w:before="0" w:line="259" w:lineRule="auto"/>
            </w:pPr>
            <w:r>
              <w:rPr>
                <w:rFonts w:ascii="Calibri" w:hAnsi="Calibri"/>
                <w:b w:val="0"/>
                <w:i w:val="0"/>
                <w:color w:val="212121"/>
                <w:sz w:val="16"/>
              </w:rPr>
              <w:t>Detects otitis media with effusion from Eustachian-tube obstruction</w:t>
            </w:r>
          </w:p>
        </w:tc>
        <w:tc>
          <w:tcPr>
            <w:tcW w:type="dxa" w:w="1036"/>
            <w:vAlign w:val="top"/>
          </w:tcPr>
          <w:p>
            <w:pPr>
              <w:spacing w:after="40" w:before="0" w:line="259" w:lineRule="auto"/>
            </w:pPr>
            <w:r>
              <w:rPr>
                <w:rFonts w:ascii="Calibri" w:hAnsi="Calibri"/>
                <w:b w:val="0"/>
                <w:i w:val="0"/>
                <w:color w:val="212121"/>
                <w:sz w:val="16"/>
              </w:rPr>
              <w:t>Children with hearing concern or recurrent ear disease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 (OME)</w:t>
            </w:r>
          </w:p>
        </w:tc>
        <w:tc>
          <w:tcPr>
            <w:tcW w:type="dxa" w:w="720"/>
            <w:vAlign w:val="top"/>
          </w:tcPr>
          <w:p>
            <w:pPr>
              <w:spacing w:after="40" w:before="0" w:line="259" w:lineRule="auto"/>
            </w:pPr>
            <w:r>
              <w:rPr>
                <w:rFonts w:ascii="Calibri" w:hAnsi="Calibri"/>
                <w:b w:val="0"/>
                <w:i w:val="0"/>
                <w:color w:val="212121"/>
                <w:sz w:val="16"/>
              </w:rPr>
              <w:t>Type B in ~58% of children with adenoidal OME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Audiology</w:t>
            </w:r>
          </w:p>
        </w:tc>
        <w:tc>
          <w:tcPr>
            <w:tcW w:type="dxa" w:w="1036"/>
            <w:vAlign w:val="top"/>
          </w:tcPr>
          <w:p>
            <w:pPr>
              <w:spacing w:after="40" w:before="0" w:line="259" w:lineRule="auto"/>
            </w:pPr>
            <w:r>
              <w:rPr>
                <w:rFonts w:ascii="Calibri" w:hAnsi="Calibri"/>
                <w:b w:val="0"/>
                <w:i w:val="0"/>
                <w:color w:val="212121"/>
                <w:sz w:val="16"/>
              </w:rPr>
              <w:t>Air- and bone-conduction thresholds / air-bone gap</w:t>
            </w:r>
          </w:p>
        </w:tc>
        <w:tc>
          <w:tcPr>
            <w:tcW w:type="dxa" w:w="892"/>
            <w:vAlign w:val="top"/>
          </w:tcPr>
          <w:p>
            <w:pPr>
              <w:spacing w:after="40" w:before="0" w:line="259" w:lineRule="auto"/>
            </w:pPr>
            <w:r>
              <w:rPr>
                <w:rFonts w:ascii="Calibri" w:hAnsi="Calibri"/>
                <w:b w:val="0"/>
                <w:i w:val="0"/>
                <w:color w:val="212121"/>
                <w:sz w:val="16"/>
              </w:rPr>
              <w:t>Pure-tone / age-appropriate audiometry</w:t>
            </w:r>
          </w:p>
        </w:tc>
        <w:tc>
          <w:tcPr>
            <w:tcW w:type="dxa" w:w="950"/>
            <w:vAlign w:val="top"/>
          </w:tcPr>
          <w:p>
            <w:pPr>
              <w:spacing w:after="40" w:before="0" w:line="259" w:lineRule="auto"/>
            </w:pPr>
            <w:r>
              <w:rPr>
                <w:rFonts w:ascii="Calibri" w:hAnsi="Calibri"/>
                <w:b w:val="0"/>
                <w:i w:val="0"/>
                <w:color w:val="212121"/>
                <w:sz w:val="16"/>
              </w:rPr>
              <w:t>&lt;= 25 dB HL, no air-bone gap</w:t>
            </w:r>
          </w:p>
        </w:tc>
        <w:tc>
          <w:tcPr>
            <w:tcW w:type="dxa" w:w="950"/>
            <w:vAlign w:val="top"/>
          </w:tcPr>
          <w:p>
            <w:pPr>
              <w:spacing w:after="40" w:before="0" w:line="259" w:lineRule="auto"/>
            </w:pPr>
            <w:r>
              <w:rPr>
                <w:rFonts w:ascii="Calibri" w:hAnsi="Calibri"/>
                <w:b w:val="0"/>
                <w:i w:val="0"/>
                <w:color w:val="212121"/>
                <w:sz w:val="16"/>
              </w:rPr>
              <w:t>Conductive loss &gt; 25 dB HL with air-bone gap</w:t>
            </w:r>
          </w:p>
        </w:tc>
        <w:tc>
          <w:tcPr>
            <w:tcW w:type="dxa" w:w="1036"/>
            <w:vAlign w:val="top"/>
          </w:tcPr>
          <w:p>
            <w:pPr>
              <w:spacing w:after="40" w:before="0" w:line="259" w:lineRule="auto"/>
            </w:pPr>
            <w:r>
              <w:rPr>
                <w:rFonts w:ascii="Calibri" w:hAnsi="Calibri"/>
                <w:b w:val="0"/>
                <w:i w:val="0"/>
                <w:color w:val="212121"/>
                <w:sz w:val="16"/>
              </w:rPr>
              <w:t>Quantifies conductive hearing loss from effusion</w:t>
            </w:r>
          </w:p>
        </w:tc>
        <w:tc>
          <w:tcPr>
            <w:tcW w:type="dxa" w:w="1036"/>
            <w:vAlign w:val="top"/>
          </w:tcPr>
          <w:p>
            <w:pPr>
              <w:spacing w:after="40" w:before="0" w:line="259" w:lineRule="auto"/>
            </w:pPr>
            <w:r>
              <w:rPr>
                <w:rFonts w:ascii="Calibri" w:hAnsi="Calibri"/>
                <w:b w:val="0"/>
                <w:i w:val="0"/>
                <w:color w:val="212121"/>
                <w:sz w:val="16"/>
              </w:rPr>
              <w:t>Children with OME, speech/learning concern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need for grommets and speech follow-up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Allergy</w:t>
            </w:r>
          </w:p>
        </w:tc>
        <w:tc>
          <w:tcPr>
            <w:tcW w:type="dxa" w:w="1036"/>
            <w:vAlign w:val="top"/>
          </w:tcPr>
          <w:p>
            <w:pPr>
              <w:spacing w:after="40" w:before="0" w:line="259" w:lineRule="auto"/>
            </w:pPr>
            <w:r>
              <w:rPr>
                <w:rFonts w:ascii="Calibri" w:hAnsi="Calibri"/>
                <w:b w:val="0"/>
                <w:i w:val="0"/>
                <w:color w:val="212121"/>
                <w:sz w:val="16"/>
              </w:rPr>
              <w:t>Skin-prick test / serum specific IgE / blood eosinophils</w:t>
            </w:r>
          </w:p>
        </w:tc>
        <w:tc>
          <w:tcPr>
            <w:tcW w:type="dxa" w:w="892"/>
            <w:vAlign w:val="top"/>
          </w:tcPr>
          <w:p>
            <w:pPr>
              <w:spacing w:after="40" w:before="0" w:line="259" w:lineRule="auto"/>
            </w:pPr>
            <w:r>
              <w:rPr>
                <w:rFonts w:ascii="Calibri" w:hAnsi="Calibri"/>
                <w:b w:val="0"/>
                <w:i w:val="0"/>
                <w:color w:val="212121"/>
                <w:sz w:val="16"/>
              </w:rPr>
              <w:t>Allergy testing</w:t>
            </w:r>
          </w:p>
        </w:tc>
        <w:tc>
          <w:tcPr>
            <w:tcW w:type="dxa" w:w="950"/>
            <w:vAlign w:val="top"/>
          </w:tcPr>
          <w:p>
            <w:pPr>
              <w:spacing w:after="40" w:before="0" w:line="259" w:lineRule="auto"/>
            </w:pPr>
            <w:r>
              <w:rPr>
                <w:rFonts w:ascii="Calibri" w:hAnsi="Calibri"/>
                <w:b w:val="0"/>
                <w:i w:val="0"/>
                <w:color w:val="212121"/>
                <w:sz w:val="16"/>
              </w:rPr>
              <w:t>Negative / normal</w:t>
            </w:r>
          </w:p>
        </w:tc>
        <w:tc>
          <w:tcPr>
            <w:tcW w:type="dxa" w:w="950"/>
            <w:vAlign w:val="top"/>
          </w:tcPr>
          <w:p>
            <w:pPr>
              <w:spacing w:after="40" w:before="0" w:line="259" w:lineRule="auto"/>
            </w:pPr>
            <w:r>
              <w:rPr>
                <w:rFonts w:ascii="Calibri" w:hAnsi="Calibri"/>
                <w:b w:val="0"/>
                <w:i w:val="0"/>
                <w:color w:val="212121"/>
                <w:sz w:val="16"/>
              </w:rPr>
              <w:t>Positive aeroallergen sensitisation; eosinophilia</w:t>
            </w:r>
          </w:p>
        </w:tc>
        <w:tc>
          <w:tcPr>
            <w:tcW w:type="dxa" w:w="1036"/>
            <w:vAlign w:val="top"/>
          </w:tcPr>
          <w:p>
            <w:pPr>
              <w:spacing w:after="40" w:before="0" w:line="259" w:lineRule="auto"/>
            </w:pPr>
            <w:r>
              <w:rPr>
                <w:rFonts w:ascii="Calibri" w:hAnsi="Calibri"/>
                <w:b w:val="0"/>
                <w:i w:val="0"/>
                <w:color w:val="212121"/>
                <w:sz w:val="16"/>
              </w:rPr>
              <w:t>Identifies atopy driving adenoidal and nasal inflammation</w:t>
            </w:r>
          </w:p>
        </w:tc>
        <w:tc>
          <w:tcPr>
            <w:tcW w:type="dxa" w:w="1036"/>
            <w:vAlign w:val="top"/>
          </w:tcPr>
          <w:p>
            <w:pPr>
              <w:spacing w:after="40" w:before="0" w:line="259" w:lineRule="auto"/>
            </w:pPr>
            <w:r>
              <w:rPr>
                <w:rFonts w:ascii="Calibri" w:hAnsi="Calibri"/>
                <w:b w:val="0"/>
                <w:i w:val="0"/>
                <w:color w:val="212121"/>
                <w:sz w:val="16"/>
              </w:rPr>
              <w:t>Children with allergic features, recurrent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Skin-prick positive in ~65% of symptomatic adenoid hypertrophy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Nasopharyngeal tissue histology</w:t>
            </w:r>
          </w:p>
        </w:tc>
        <w:tc>
          <w:tcPr>
            <w:tcW w:type="dxa" w:w="892"/>
            <w:vAlign w:val="top"/>
          </w:tcPr>
          <w:p>
            <w:pPr>
              <w:spacing w:after="40" w:before="0" w:line="259" w:lineRule="auto"/>
            </w:pPr>
            <w:r>
              <w:rPr>
                <w:rFonts w:ascii="Calibri" w:hAnsi="Calibri"/>
                <w:b w:val="0"/>
                <w:i w:val="0"/>
                <w:color w:val="212121"/>
                <w:sz w:val="16"/>
              </w:rPr>
              <w:t>Endoscopic biopsy (adults / atypical cases)</w:t>
            </w:r>
          </w:p>
        </w:tc>
        <w:tc>
          <w:tcPr>
            <w:tcW w:type="dxa" w:w="950"/>
            <w:vAlign w:val="top"/>
          </w:tcPr>
          <w:p>
            <w:pPr>
              <w:spacing w:after="40" w:before="0" w:line="259" w:lineRule="auto"/>
            </w:pPr>
            <w:r>
              <w:rPr>
                <w:rFonts w:ascii="Calibri" w:hAnsi="Calibri"/>
                <w:b w:val="0"/>
                <w:i w:val="0"/>
                <w:color w:val="212121"/>
                <w:sz w:val="16"/>
              </w:rPr>
              <w:t>Benign reactive lymphoid hyperplasia</w:t>
            </w:r>
          </w:p>
        </w:tc>
        <w:tc>
          <w:tcPr>
            <w:tcW w:type="dxa" w:w="950"/>
            <w:vAlign w:val="top"/>
          </w:tcPr>
          <w:p>
            <w:pPr>
              <w:spacing w:after="40" w:before="0" w:line="259" w:lineRule="auto"/>
            </w:pPr>
            <w:r>
              <w:rPr>
                <w:rFonts w:ascii="Calibri" w:hAnsi="Calibri"/>
                <w:b w:val="0"/>
                <w:i w:val="0"/>
                <w:color w:val="212121"/>
                <w:sz w:val="16"/>
              </w:rPr>
              <w:t>Lymphoma, nasopharyngeal carcinoma or granulomatous disease</w:t>
            </w:r>
          </w:p>
        </w:tc>
        <w:tc>
          <w:tcPr>
            <w:tcW w:type="dxa" w:w="1036"/>
            <w:vAlign w:val="top"/>
          </w:tcPr>
          <w:p>
            <w:pPr>
              <w:spacing w:after="40" w:before="0" w:line="259" w:lineRule="auto"/>
            </w:pPr>
            <w:r>
              <w:rPr>
                <w:rFonts w:ascii="Calibri" w:hAnsi="Calibri"/>
                <w:b w:val="0"/>
                <w:i w:val="0"/>
                <w:color w:val="212121"/>
                <w:sz w:val="16"/>
              </w:rPr>
              <w:t>Excludes malignancy in adults or unilateral/atypical enlargement</w:t>
            </w:r>
          </w:p>
        </w:tc>
        <w:tc>
          <w:tcPr>
            <w:tcW w:type="dxa" w:w="1036"/>
            <w:vAlign w:val="top"/>
          </w:tcPr>
          <w:p>
            <w:pPr>
              <w:spacing w:after="40" w:before="0" w:line="259" w:lineRule="auto"/>
            </w:pPr>
            <w:r>
              <w:rPr>
                <w:rFonts w:ascii="Calibri" w:hAnsi="Calibri"/>
                <w:b w:val="0"/>
                <w:i w:val="0"/>
                <w:color w:val="212121"/>
                <w:sz w:val="16"/>
              </w:rPr>
              <w:t>Adults, asymmetric or rapidly growing masses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(selected)</w:t>
            </w:r>
          </w:p>
        </w:tc>
        <w:tc>
          <w:tcPr>
            <w:tcW w:type="dxa" w:w="720"/>
            <w:vAlign w:val="top"/>
          </w:tcPr>
          <w:p>
            <w:pPr>
              <w:spacing w:after="40" w:before="0" w:line="259" w:lineRule="auto"/>
            </w:pPr>
            <w:r>
              <w:rPr>
                <w:rFonts w:ascii="Calibri" w:hAnsi="Calibri"/>
                <w:b w:val="0"/>
                <w:i w:val="0"/>
                <w:color w:val="212121"/>
                <w:sz w:val="16"/>
              </w:rPr>
              <w:t>Consider HIV/immunodeficiency in adult adenoidal hyperplasia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Chronic nasal obstruction, mouth breathing, snoring, hyponasal voice, rhinorrhoea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persistently present</w:t>
            </w:r>
          </w:p>
        </w:tc>
        <w:tc>
          <w:tcPr>
            <w:tcW w:type="dxa" w:w="1036"/>
            <w:vAlign w:val="top"/>
          </w:tcPr>
          <w:p>
            <w:pPr>
              <w:spacing w:after="40" w:before="0" w:line="259" w:lineRule="auto"/>
            </w:pPr>
            <w:r>
              <w:rPr>
                <w:rFonts w:ascii="Calibri" w:hAnsi="Calibri"/>
                <w:b w:val="0"/>
                <w:i w:val="0"/>
                <w:color w:val="212121"/>
                <w:sz w:val="16"/>
              </w:rPr>
              <w:t>Cardinal presentation of obstructive adenoid hypertrophy</w:t>
            </w:r>
          </w:p>
        </w:tc>
        <w:tc>
          <w:tcPr>
            <w:tcW w:type="dxa" w:w="1036"/>
            <w:vAlign w:val="top"/>
          </w:tcPr>
          <w:p>
            <w:pPr>
              <w:spacing w:after="40" w:before="0" w:line="259" w:lineRule="auto"/>
            </w:pPr>
            <w:r>
              <w:rPr>
                <w:rFonts w:ascii="Calibri" w:hAnsi="Calibri"/>
                <w:b w:val="0"/>
                <w:i w:val="0"/>
                <w:color w:val="212121"/>
                <w:sz w:val="16"/>
              </w:rPr>
              <w:t>Children with long-standing nasal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Nasal obstruction ~99%, mouth breathing ~96%, snoring ~78% in an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&amp; daytime-function history</w:t>
            </w:r>
          </w:p>
        </w:tc>
        <w:tc>
          <w:tcPr>
            <w:tcW w:type="dxa" w:w="979"/>
            <w:vAlign w:val="top"/>
          </w:tcPr>
          <w:p>
            <w:pPr>
              <w:spacing w:after="40" w:before="0" w:line="259" w:lineRule="auto"/>
            </w:pPr>
            <w:r>
              <w:rPr>
                <w:rFonts w:ascii="Calibri" w:hAnsi="Calibri"/>
                <w:b w:val="0"/>
                <w:i w:val="0"/>
                <w:color w:val="212121"/>
                <w:sz w:val="16"/>
              </w:rPr>
              <w:t>Snoring, witnessed apnoeas, restless sleep, daytime somnolence, poor concentration/school performance</w:t>
            </w:r>
          </w:p>
        </w:tc>
        <w:tc>
          <w:tcPr>
            <w:tcW w:type="dxa" w:w="950"/>
            <w:vAlign w:val="top"/>
          </w:tcPr>
          <w:p>
            <w:pPr>
              <w:spacing w:after="40" w:before="0" w:line="259" w:lineRule="auto"/>
            </w:pPr>
            <w:r>
              <w:rPr>
                <w:rFonts w:ascii="Calibri" w:hAnsi="Calibri"/>
                <w:b w:val="0"/>
                <w:i w:val="0"/>
                <w:color w:val="212121"/>
                <w:sz w:val="16"/>
              </w:rPr>
              <w:t>Restful sleep, alert by day</w:t>
            </w:r>
          </w:p>
        </w:tc>
        <w:tc>
          <w:tcPr>
            <w:tcW w:type="dxa" w:w="950"/>
            <w:vAlign w:val="top"/>
          </w:tcPr>
          <w:p>
            <w:pPr>
              <w:spacing w:after="40" w:before="0" w:line="259" w:lineRule="auto"/>
            </w:pPr>
            <w:r>
              <w:rPr>
                <w:rFonts w:ascii="Calibri" w:hAnsi="Calibri"/>
                <w:b w:val="0"/>
                <w:i w:val="0"/>
                <w:color w:val="212121"/>
                <w:sz w:val="16"/>
              </w:rPr>
              <w:t>Apnoeas, gasping, restless sleep, daytime sleepiness or poor school performance</w:t>
            </w:r>
          </w:p>
        </w:tc>
        <w:tc>
          <w:tcPr>
            <w:tcW w:type="dxa" w:w="1036"/>
            <w:vAlign w:val="top"/>
          </w:tcPr>
          <w:p>
            <w:pPr>
              <w:spacing w:after="40" w:before="0" w:line="259" w:lineRule="auto"/>
            </w:pPr>
            <w:r>
              <w:rPr>
                <w:rFonts w:ascii="Calibri" w:hAnsi="Calibri"/>
                <w:b w:val="0"/>
                <w:i w:val="0"/>
                <w:color w:val="212121"/>
                <w:sz w:val="16"/>
              </w:rPr>
              <w:t>Screens for obstructive sleep apnoea and its neurocognitive impact</w:t>
            </w:r>
          </w:p>
        </w:tc>
        <w:tc>
          <w:tcPr>
            <w:tcW w:type="dxa" w:w="1036"/>
            <w:vAlign w:val="top"/>
          </w:tcPr>
          <w:p>
            <w:pPr>
              <w:spacing w:after="40" w:before="0" w:line="259" w:lineRule="auto"/>
            </w:pPr>
            <w:r>
              <w:rPr>
                <w:rFonts w:ascii="Calibri" w:hAnsi="Calibri"/>
                <w:b w:val="0"/>
                <w:i w:val="0"/>
                <w:color w:val="212121"/>
                <w:sz w:val="16"/>
              </w:rPr>
              <w:t>Snoring children, under-performing schoolchildren</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Critical / triage</w:t>
            </w:r>
          </w:p>
        </w:tc>
        <w:tc>
          <w:tcPr>
            <w:tcW w:type="dxa" w:w="720"/>
            <w:vAlign w:val="top"/>
          </w:tcPr>
          <w:p>
            <w:pPr>
              <w:spacing w:after="40" w:before="0" w:line="259" w:lineRule="auto"/>
            </w:pPr>
            <w:r>
              <w:rPr>
                <w:rFonts w:ascii="Calibri" w:hAnsi="Calibri"/>
                <w:b w:val="0"/>
                <w:i w:val="0"/>
                <w:color w:val="212121"/>
                <w:sz w:val="16"/>
              </w:rPr>
              <w:t>Paediatric OSA has been linked to poor academic performance in a school-based study from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Ear &amp; hearing history</w:t>
            </w:r>
          </w:p>
        </w:tc>
        <w:tc>
          <w:tcPr>
            <w:tcW w:type="dxa" w:w="979"/>
            <w:vAlign w:val="top"/>
          </w:tcPr>
          <w:p>
            <w:pPr>
              <w:spacing w:after="40" w:before="0" w:line="259" w:lineRule="auto"/>
            </w:pPr>
            <w:r>
              <w:rPr>
                <w:rFonts w:ascii="Calibri" w:hAnsi="Calibri"/>
                <w:b w:val="0"/>
                <w:i w:val="0"/>
                <w:color w:val="212121"/>
                <w:sz w:val="16"/>
              </w:rPr>
              <w:t>Recurrent ear infection, ear-blocking, inattentiveness, delayed/unclear speech</w:t>
            </w:r>
          </w:p>
        </w:tc>
        <w:tc>
          <w:tcPr>
            <w:tcW w:type="dxa" w:w="950"/>
            <w:vAlign w:val="top"/>
          </w:tcPr>
          <w:p>
            <w:pPr>
              <w:spacing w:after="40" w:before="0" w:line="259" w:lineRule="auto"/>
            </w:pPr>
            <w:r>
              <w:rPr>
                <w:rFonts w:ascii="Calibri" w:hAnsi="Calibri"/>
                <w:b w:val="0"/>
                <w:i w:val="0"/>
                <w:color w:val="212121"/>
                <w:sz w:val="16"/>
              </w:rPr>
              <w:t>Normal hearing and speech</w:t>
            </w:r>
          </w:p>
        </w:tc>
        <w:tc>
          <w:tcPr>
            <w:tcW w:type="dxa" w:w="950"/>
            <w:vAlign w:val="top"/>
          </w:tcPr>
          <w:p>
            <w:pPr>
              <w:spacing w:after="40" w:before="0" w:line="259" w:lineRule="auto"/>
            </w:pPr>
            <w:r>
              <w:rPr>
                <w:rFonts w:ascii="Calibri" w:hAnsi="Calibri"/>
                <w:b w:val="0"/>
                <w:i w:val="0"/>
                <w:color w:val="212121"/>
                <w:sz w:val="16"/>
              </w:rPr>
              <w:t>Recurrent otitis, hearing difficulty or speech delay</w:t>
            </w:r>
          </w:p>
        </w:tc>
        <w:tc>
          <w:tcPr>
            <w:tcW w:type="dxa" w:w="1036"/>
            <w:vAlign w:val="top"/>
          </w:tcPr>
          <w:p>
            <w:pPr>
              <w:spacing w:after="40" w:before="0" w:line="259" w:lineRule="auto"/>
            </w:pPr>
            <w:r>
              <w:rPr>
                <w:rFonts w:ascii="Calibri" w:hAnsi="Calibri"/>
                <w:b w:val="0"/>
                <w:i w:val="0"/>
                <w:color w:val="212121"/>
                <w:sz w:val="16"/>
              </w:rPr>
              <w:t>Points to otitis media with effusion and conductive hearing loss</w:t>
            </w:r>
          </w:p>
        </w:tc>
        <w:tc>
          <w:tcPr>
            <w:tcW w:type="dxa" w:w="1036"/>
            <w:vAlign w:val="top"/>
          </w:tcPr>
          <w:p>
            <w:pPr>
              <w:spacing w:after="40" w:before="0" w:line="259" w:lineRule="auto"/>
            </w:pPr>
            <w:r>
              <w:rPr>
                <w:rFonts w:ascii="Calibri" w:hAnsi="Calibri"/>
                <w:b w:val="0"/>
                <w:i w:val="0"/>
                <w:color w:val="212121"/>
                <w:sz w:val="16"/>
              </w:rPr>
              <w:t>Children with ear symptoms or speech concern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about school hearing and TV-volume complaints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Adenoid facies &amp; craniofacial exam</w:t>
            </w:r>
          </w:p>
        </w:tc>
        <w:tc>
          <w:tcPr>
            <w:tcW w:type="dxa" w:w="979"/>
            <w:vAlign w:val="top"/>
          </w:tcPr>
          <w:p>
            <w:pPr>
              <w:spacing w:after="40" w:before="0" w:line="259" w:lineRule="auto"/>
            </w:pPr>
            <w:r>
              <w:rPr>
                <w:rFonts w:ascii="Calibri" w:hAnsi="Calibri"/>
                <w:b w:val="0"/>
                <w:i w:val="0"/>
                <w:color w:val="212121"/>
                <w:sz w:val="16"/>
              </w:rPr>
              <w:t>Open-mouth posture, elongated face, high-arched palate, dental crowding, short upper lip, dull expression</w:t>
            </w:r>
          </w:p>
        </w:tc>
        <w:tc>
          <w:tcPr>
            <w:tcW w:type="dxa" w:w="950"/>
            <w:vAlign w:val="top"/>
          </w:tcPr>
          <w:p>
            <w:pPr>
              <w:spacing w:after="40" w:before="0" w:line="259" w:lineRule="auto"/>
            </w:pPr>
            <w:r>
              <w:rPr>
                <w:rFonts w:ascii="Calibri" w:hAnsi="Calibri"/>
                <w:b w:val="0"/>
                <w:i w:val="0"/>
                <w:color w:val="212121"/>
                <w:sz w:val="16"/>
              </w:rPr>
              <w:t>Normal facies, lips together at rest</w:t>
            </w:r>
          </w:p>
        </w:tc>
        <w:tc>
          <w:tcPr>
            <w:tcW w:type="dxa" w:w="950"/>
            <w:vAlign w:val="top"/>
          </w:tcPr>
          <w:p>
            <w:pPr>
              <w:spacing w:after="40" w:before="0" w:line="259" w:lineRule="auto"/>
            </w:pPr>
            <w:r>
              <w:rPr>
                <w:rFonts w:ascii="Calibri" w:hAnsi="Calibri"/>
                <w:b w:val="0"/>
                <w:i w:val="0"/>
                <w:color w:val="212121"/>
                <w:sz w:val="16"/>
              </w:rPr>
              <w:t>Established adenoid facies with dentofacial changes</w:t>
            </w:r>
          </w:p>
        </w:tc>
        <w:tc>
          <w:tcPr>
            <w:tcW w:type="dxa" w:w="1036"/>
            <w:vAlign w:val="top"/>
          </w:tcPr>
          <w:p>
            <w:pPr>
              <w:spacing w:after="40" w:before="0" w:line="259" w:lineRule="auto"/>
            </w:pPr>
            <w:r>
              <w:rPr>
                <w:rFonts w:ascii="Calibri" w:hAnsi="Calibri"/>
                <w:b w:val="0"/>
                <w:i w:val="0"/>
                <w:color w:val="212121"/>
                <w:sz w:val="16"/>
              </w:rPr>
              <w:t>Marks long-standing obstruction and dentofacial consequences</w:t>
            </w:r>
          </w:p>
        </w:tc>
        <w:tc>
          <w:tcPr>
            <w:tcW w:type="dxa" w:w="1036"/>
            <w:vAlign w:val="top"/>
          </w:tcPr>
          <w:p>
            <w:pPr>
              <w:spacing w:after="40" w:before="0" w:line="259" w:lineRule="auto"/>
            </w:pPr>
            <w:r>
              <w:rPr>
                <w:rFonts w:ascii="Calibri" w:hAnsi="Calibri"/>
                <w:b w:val="0"/>
                <w:i w:val="0"/>
                <w:color w:val="212121"/>
                <w:sz w:val="16"/>
              </w:rPr>
              <w:t>Chronic mouth-breathing children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Adenoid facies in ~76.6% of children with adenoidal otitis media with effusion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Nose &amp; throat examination</w:t>
            </w:r>
          </w:p>
        </w:tc>
        <w:tc>
          <w:tcPr>
            <w:tcW w:type="dxa" w:w="950"/>
            <w:vAlign w:val="top"/>
          </w:tcPr>
          <w:p>
            <w:pPr>
              <w:spacing w:after="40" w:before="0" w:line="259" w:lineRule="auto"/>
            </w:pPr>
            <w:r>
              <w:rPr>
                <w:rFonts w:ascii="Calibri" w:hAnsi="Calibri"/>
                <w:b w:val="0"/>
                <w:i w:val="0"/>
                <w:color w:val="212121"/>
                <w:sz w:val="16"/>
              </w:rPr>
              <w:t>Anterior rhinoscopy &amp; oral exam</w:t>
            </w:r>
          </w:p>
        </w:tc>
        <w:tc>
          <w:tcPr>
            <w:tcW w:type="dxa" w:w="979"/>
            <w:vAlign w:val="top"/>
          </w:tcPr>
          <w:p>
            <w:pPr>
              <w:spacing w:after="40" w:before="0" w:line="259" w:lineRule="auto"/>
            </w:pPr>
            <w:r>
              <w:rPr>
                <w:rFonts w:ascii="Calibri" w:hAnsi="Calibri"/>
                <w:b w:val="0"/>
                <w:i w:val="0"/>
                <w:color w:val="212121"/>
                <w:sz w:val="16"/>
              </w:rPr>
              <w:t>Mucopurulent nasal/post-nasal discharge, mouth breathing, high-arched palate, coexisting tonsillar enlargement</w:t>
            </w:r>
          </w:p>
        </w:tc>
        <w:tc>
          <w:tcPr>
            <w:tcW w:type="dxa" w:w="950"/>
            <w:vAlign w:val="top"/>
          </w:tcPr>
          <w:p>
            <w:pPr>
              <w:spacing w:after="40" w:before="0" w:line="259" w:lineRule="auto"/>
            </w:pPr>
            <w:r>
              <w:rPr>
                <w:rFonts w:ascii="Calibri" w:hAnsi="Calibri"/>
                <w:b w:val="0"/>
                <w:i w:val="0"/>
                <w:color w:val="212121"/>
                <w:sz w:val="16"/>
              </w:rPr>
              <w:t>Clear nasal airway, normal palate/tonsils</w:t>
            </w:r>
          </w:p>
        </w:tc>
        <w:tc>
          <w:tcPr>
            <w:tcW w:type="dxa" w:w="950"/>
            <w:vAlign w:val="top"/>
          </w:tcPr>
          <w:p>
            <w:pPr>
              <w:spacing w:after="40" w:before="0" w:line="259" w:lineRule="auto"/>
            </w:pPr>
            <w:r>
              <w:rPr>
                <w:rFonts w:ascii="Calibri" w:hAnsi="Calibri"/>
                <w:b w:val="0"/>
                <w:i w:val="0"/>
                <w:color w:val="212121"/>
                <w:sz w:val="16"/>
              </w:rPr>
              <w:t>Post-nasal drip, narrowed nasal airway, enlarged tonsils</w:t>
            </w:r>
          </w:p>
        </w:tc>
        <w:tc>
          <w:tcPr>
            <w:tcW w:type="dxa" w:w="1036"/>
            <w:vAlign w:val="top"/>
          </w:tcPr>
          <w:p>
            <w:pPr>
              <w:spacing w:after="40" w:before="0" w:line="259" w:lineRule="auto"/>
            </w:pPr>
            <w:r>
              <w:rPr>
                <w:rFonts w:ascii="Calibri" w:hAnsi="Calibri"/>
                <w:b w:val="0"/>
                <w:i w:val="0"/>
                <w:color w:val="212121"/>
                <w:sz w:val="16"/>
              </w:rPr>
              <w:t>Confirms nasal obstruction and looks for adenotonsillar disease</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tonsils, as adenotonsillar hypertrophy often coexists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Otoscopy</w:t>
            </w:r>
          </w:p>
        </w:tc>
        <w:tc>
          <w:tcPr>
            <w:tcW w:type="dxa" w:w="950"/>
            <w:vAlign w:val="top"/>
          </w:tcPr>
          <w:p>
            <w:pPr>
              <w:spacing w:after="40" w:before="0" w:line="259" w:lineRule="auto"/>
            </w:pPr>
            <w:r>
              <w:rPr>
                <w:rFonts w:ascii="Calibri" w:hAnsi="Calibri"/>
                <w:b w:val="0"/>
                <w:i w:val="0"/>
                <w:color w:val="212121"/>
                <w:sz w:val="16"/>
              </w:rPr>
              <w:t>Tympanic-membrane inspection</w:t>
            </w:r>
          </w:p>
        </w:tc>
        <w:tc>
          <w:tcPr>
            <w:tcW w:type="dxa" w:w="979"/>
            <w:vAlign w:val="top"/>
          </w:tcPr>
          <w:p>
            <w:pPr>
              <w:spacing w:after="40" w:before="0" w:line="259" w:lineRule="auto"/>
            </w:pPr>
            <w:r>
              <w:rPr>
                <w:rFonts w:ascii="Calibri" w:hAnsi="Calibri"/>
                <w:b w:val="0"/>
                <w:i w:val="0"/>
                <w:color w:val="212121"/>
                <w:sz w:val="16"/>
              </w:rPr>
              <w:t>Retracted/dull drum, air-fluid level or effusion, reduced mobility</w:t>
            </w:r>
          </w:p>
        </w:tc>
        <w:tc>
          <w:tcPr>
            <w:tcW w:type="dxa" w:w="950"/>
            <w:vAlign w:val="top"/>
          </w:tcPr>
          <w:p>
            <w:pPr>
              <w:spacing w:after="40" w:before="0" w:line="259" w:lineRule="auto"/>
            </w:pPr>
            <w:r>
              <w:rPr>
                <w:rFonts w:ascii="Calibri" w:hAnsi="Calibri"/>
                <w:b w:val="0"/>
                <w:i w:val="0"/>
                <w:color w:val="212121"/>
                <w:sz w:val="16"/>
              </w:rPr>
              <w:t>Intact, mobile, translucent drum</w:t>
            </w:r>
          </w:p>
        </w:tc>
        <w:tc>
          <w:tcPr>
            <w:tcW w:type="dxa" w:w="950"/>
            <w:vAlign w:val="top"/>
          </w:tcPr>
          <w:p>
            <w:pPr>
              <w:spacing w:after="40" w:before="0" w:line="259" w:lineRule="auto"/>
            </w:pPr>
            <w:r>
              <w:rPr>
                <w:rFonts w:ascii="Calibri" w:hAnsi="Calibri"/>
                <w:b w:val="0"/>
                <w:i w:val="0"/>
                <w:color w:val="212121"/>
                <w:sz w:val="16"/>
              </w:rPr>
              <w:t>Retracted dull drum with effusion (glue ear)</w:t>
            </w:r>
          </w:p>
        </w:tc>
        <w:tc>
          <w:tcPr>
            <w:tcW w:type="dxa" w:w="1036"/>
            <w:vAlign w:val="top"/>
          </w:tcPr>
          <w:p>
            <w:pPr>
              <w:spacing w:after="40" w:before="0" w:line="259" w:lineRule="auto"/>
            </w:pPr>
            <w:r>
              <w:rPr>
                <w:rFonts w:ascii="Calibri" w:hAnsi="Calibri"/>
                <w:b w:val="0"/>
                <w:i w:val="0"/>
                <w:color w:val="212121"/>
                <w:sz w:val="16"/>
              </w:rPr>
              <w:t>Detects otitis media with effusion complicating adenoid hypertrophy</w:t>
            </w:r>
          </w:p>
        </w:tc>
        <w:tc>
          <w:tcPr>
            <w:tcW w:type="dxa" w:w="1036"/>
            <w:vAlign w:val="top"/>
          </w:tcPr>
          <w:p>
            <w:pPr>
              <w:spacing w:after="40" w:before="0" w:line="259" w:lineRule="auto"/>
            </w:pPr>
            <w:r>
              <w:rPr>
                <w:rFonts w:ascii="Calibri" w:hAnsi="Calibri"/>
                <w:b w:val="0"/>
                <w:i w:val="0"/>
                <w:color w:val="212121"/>
                <w:sz w:val="16"/>
              </w:rPr>
              <w:t>Children with hearing/ear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Pneumatic otoscopy improves detection of effusion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nasal obstruction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bilateral blocked nose from the adenoid narrowing the posterior nasal airway - present in nearly all symptomatic children.</w:t>
            </w:r>
          </w:p>
        </w:tc>
      </w:tr>
      <w:tr>
        <w:trPr>
          <w:cantSplit/>
        </w:trPr>
        <w:tc>
          <w:tcPr>
            <w:tcW w:type="dxa" w:w="2304"/>
            <w:vAlign w:val="top"/>
          </w:tcPr>
          <w:p>
            <w:pPr>
              <w:spacing w:after="40" w:before="0" w:line="259" w:lineRule="auto"/>
            </w:pPr>
            <w:r>
              <w:rPr>
                <w:rFonts w:ascii="Calibri" w:hAnsi="Calibri"/>
                <w:b/>
                <w:i w:val="0"/>
                <w:color w:val="212121"/>
                <w:sz w:val="19"/>
              </w:rPr>
              <w:t>Mouth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Habitual open-mouth breathing, day and night, because the nose is blocked.</w:t>
            </w:r>
          </w:p>
        </w:tc>
      </w:tr>
      <w:tr>
        <w:trPr>
          <w:cantSplit/>
        </w:trPr>
        <w:tc>
          <w:tcPr>
            <w:tcW w:type="dxa" w:w="2304"/>
            <w:vAlign w:val="top"/>
          </w:tcPr>
          <w:p>
            <w:pPr>
              <w:spacing w:after="40" w:before="0" w:line="259" w:lineRule="auto"/>
            </w:pPr>
            <w:r>
              <w:rPr>
                <w:rFonts w:ascii="Calibri" w:hAnsi="Calibri"/>
                <w:b/>
                <w:i w:val="0"/>
                <w:color w:val="212121"/>
                <w:sz w:val="19"/>
              </w:rPr>
              <w:t>Snoring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Noisy sleep from vibration of the obstructed nasopharyngeal airway.</w:t>
            </w:r>
          </w:p>
        </w:tc>
      </w:tr>
      <w:tr>
        <w:trPr>
          <w:cantSplit/>
        </w:trPr>
        <w:tc>
          <w:tcPr>
            <w:tcW w:type="dxa" w:w="2304"/>
            <w:vAlign w:val="top"/>
          </w:tcPr>
          <w:p>
            <w:pPr>
              <w:spacing w:after="40" w:before="0" w:line="259" w:lineRule="auto"/>
            </w:pPr>
            <w:r>
              <w:rPr>
                <w:rFonts w:ascii="Calibri" w:hAnsi="Calibri"/>
                <w:b/>
                <w:i w:val="0"/>
                <w:color w:val="212121"/>
                <w:sz w:val="19"/>
              </w:rPr>
              <w:t>Hyponasal ('blocked-nose') voice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Rhinolalia clausa - a muffled, adenoidal quality of speech.</w:t>
            </w:r>
          </w:p>
        </w:tc>
      </w:tr>
      <w:tr>
        <w:trPr>
          <w:cantSplit/>
        </w:trPr>
        <w:tc>
          <w:tcPr>
            <w:tcW w:type="dxa" w:w="2304"/>
            <w:vAlign w:val="top"/>
          </w:tcPr>
          <w:p>
            <w:pPr>
              <w:spacing w:after="40" w:before="0" w:line="259" w:lineRule="auto"/>
            </w:pPr>
            <w:r>
              <w:rPr>
                <w:rFonts w:ascii="Calibri" w:hAnsi="Calibri"/>
                <w:b/>
                <w:i w:val="0"/>
                <w:color w:val="212121"/>
                <w:sz w:val="19"/>
              </w:rPr>
              <w:t>Rhinorrhoea / post-nasal drip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nasal discharge and mucus dripping into the throat, often with chronic cough.</w:t>
            </w:r>
          </w:p>
        </w:tc>
      </w:tr>
      <w:tr>
        <w:trPr>
          <w:cantSplit/>
        </w:trPr>
        <w:tc>
          <w:tcPr>
            <w:tcW w:type="dxa" w:w="2304"/>
            <w:vAlign w:val="top"/>
          </w:tcPr>
          <w:p>
            <w:pPr>
              <w:spacing w:after="40" w:before="0" w:line="259" w:lineRule="auto"/>
            </w:pPr>
            <w:r>
              <w:rPr>
                <w:rFonts w:ascii="Calibri" w:hAnsi="Calibri"/>
                <w:b/>
                <w:i w:val="0"/>
                <w:color w:val="212121"/>
                <w:sz w:val="19"/>
              </w:rPr>
              <w:t>Restless, disturbed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waking, tossing and unrefreshing sleep from upper-airway obstruction.</w:t>
            </w:r>
          </w:p>
        </w:tc>
      </w:tr>
      <w:tr>
        <w:trPr>
          <w:cantSplit/>
        </w:trPr>
        <w:tc>
          <w:tcPr>
            <w:tcW w:type="dxa" w:w="2304"/>
            <w:vAlign w:val="top"/>
          </w:tcPr>
          <w:p>
            <w:pPr>
              <w:spacing w:after="40" w:before="0" w:line="259" w:lineRule="auto"/>
            </w:pPr>
            <w:r>
              <w:rPr>
                <w:rFonts w:ascii="Calibri" w:hAnsi="Calibri"/>
                <w:b/>
                <w:i w:val="0"/>
                <w:color w:val="212121"/>
                <w:sz w:val="19"/>
              </w:rPr>
              <w:t>Recurrent ear infection / blocked ears / hearing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Eustachian-tube obstruction causes effusion, recurrent otitis and conductive hearing loss.</w:t>
            </w:r>
          </w:p>
        </w:tc>
      </w:tr>
      <w:tr>
        <w:trPr>
          <w:cantSplit/>
        </w:trPr>
        <w:tc>
          <w:tcPr>
            <w:tcW w:type="dxa" w:w="2304"/>
            <w:vAlign w:val="top"/>
          </w:tcPr>
          <w:p>
            <w:pPr>
              <w:spacing w:after="40" w:before="0" w:line="259" w:lineRule="auto"/>
            </w:pPr>
            <w:r>
              <w:rPr>
                <w:rFonts w:ascii="Calibri" w:hAnsi="Calibri"/>
                <w:b/>
                <w:i w:val="0"/>
                <w:color w:val="212121"/>
                <w:sz w:val="19"/>
              </w:rPr>
              <w:t>Witnessed apnoeas / gasping in sleep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Pauses in breathing and gasping indicate obstructive sleep apnoea - a warning feature.</w:t>
            </w:r>
          </w:p>
        </w:tc>
      </w:tr>
      <w:tr>
        <w:trPr>
          <w:cantSplit/>
        </w:trPr>
        <w:tc>
          <w:tcPr>
            <w:tcW w:type="dxa" w:w="2304"/>
            <w:vAlign w:val="top"/>
          </w:tcPr>
          <w:p>
            <w:pPr>
              <w:spacing w:after="40" w:before="0" w:line="259" w:lineRule="auto"/>
            </w:pPr>
            <w:r>
              <w:rPr>
                <w:rFonts w:ascii="Calibri" w:hAnsi="Calibri"/>
                <w:b/>
                <w:i w:val="0"/>
                <w:color w:val="212121"/>
                <w:sz w:val="19"/>
              </w:rPr>
              <w:t>Daytime somnolence, irritability, poor concentration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Consequences of fragmented, hypoxic sleep; may present as inattention or hyperactivity.</w:t>
            </w:r>
          </w:p>
        </w:tc>
      </w:tr>
      <w:tr>
        <w:trPr>
          <w:cantSplit/>
        </w:trPr>
        <w:tc>
          <w:tcPr>
            <w:tcW w:type="dxa" w:w="2304"/>
            <w:vAlign w:val="top"/>
          </w:tcPr>
          <w:p>
            <w:pPr>
              <w:spacing w:after="40" w:before="0" w:line="259" w:lineRule="auto"/>
            </w:pPr>
            <w:r>
              <w:rPr>
                <w:rFonts w:ascii="Calibri" w:hAnsi="Calibri"/>
                <w:b/>
                <w:i w:val="0"/>
                <w:color w:val="212121"/>
                <w:sz w:val="19"/>
              </w:rPr>
              <w:t>Chronic 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post-nasal drip and mouth breathing, often worse at night.</w:t>
            </w:r>
          </w:p>
        </w:tc>
      </w:tr>
      <w:tr>
        <w:trPr>
          <w:cantSplit/>
        </w:trPr>
        <w:tc>
          <w:tcPr>
            <w:tcW w:type="dxa" w:w="2304"/>
            <w:vAlign w:val="top"/>
          </w:tcPr>
          <w:p>
            <w:pPr>
              <w:spacing w:after="40" w:before="0" w:line="259" w:lineRule="auto"/>
            </w:pPr>
            <w:r>
              <w:rPr>
                <w:rFonts w:ascii="Calibri" w:hAnsi="Calibri"/>
                <w:b/>
                <w:i w:val="0"/>
                <w:color w:val="212121"/>
                <w:sz w:val="19"/>
              </w:rPr>
              <w:t>Halitosis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Bad breath from mouth breathing, stagnant secretions and chronic adenoiditis.</w:t>
            </w:r>
          </w:p>
        </w:tc>
      </w:tr>
      <w:tr>
        <w:trPr>
          <w:cantSplit/>
        </w:trPr>
        <w:tc>
          <w:tcPr>
            <w:tcW w:type="dxa" w:w="2304"/>
            <w:vAlign w:val="top"/>
          </w:tcPr>
          <w:p>
            <w:pPr>
              <w:spacing w:after="40" w:before="0" w:line="259" w:lineRule="auto"/>
            </w:pPr>
            <w:r>
              <w:rPr>
                <w:rFonts w:ascii="Calibri" w:hAnsi="Calibri"/>
                <w:b/>
                <w:i w:val="0"/>
                <w:color w:val="212121"/>
                <w:sz w:val="19"/>
              </w:rPr>
              <w:t>Poor feeding / faltering growth (infants)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Difficulty coordinating feeding and breathing, with poor weight gain in severe obstruction.</w:t>
            </w:r>
          </w:p>
        </w:tc>
      </w:tr>
      <w:tr>
        <w:trPr>
          <w:cantSplit/>
        </w:trPr>
        <w:tc>
          <w:tcPr>
            <w:tcW w:type="dxa" w:w="2304"/>
            <w:vAlign w:val="top"/>
          </w:tcPr>
          <w:p>
            <w:pPr>
              <w:spacing w:after="40" w:before="0" w:line="259" w:lineRule="auto"/>
            </w:pPr>
            <w:r>
              <w:rPr>
                <w:rFonts w:ascii="Calibri" w:hAnsi="Calibri"/>
                <w:b/>
                <w:i w:val="0"/>
                <w:color w:val="212121"/>
                <w:sz w:val="19"/>
              </w:rPr>
              <w:t>Nocturnal enuresis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Bed-wetting is over-represented in children with adenoid hypertrophy and often improves after treatment.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Adenoid facies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Open-mouth posture, elongated face, high-arched palate, dental crowding, short upper lip and a characteristic dull expression.</w:t>
            </w:r>
          </w:p>
        </w:tc>
      </w:tr>
      <w:tr>
        <w:trPr>
          <w:cantSplit/>
        </w:trPr>
        <w:tc>
          <w:tcPr>
            <w:tcW w:type="dxa" w:w="3456"/>
            <w:vAlign w:val="top"/>
          </w:tcPr>
          <w:p>
            <w:pPr>
              <w:spacing w:after="40" w:before="0" w:line="259" w:lineRule="auto"/>
            </w:pPr>
            <w:r>
              <w:rPr>
                <w:rFonts w:ascii="Calibri" w:hAnsi="Calibri"/>
                <w:b/>
                <w:i w:val="0"/>
                <w:color w:val="212121"/>
                <w:sz w:val="19"/>
              </w:rPr>
              <w:t>Chronic mouth breathing with open-mouth posture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Lips apart at rest with visible oral breathing - the hallmark external sign.</w:t>
            </w:r>
          </w:p>
        </w:tc>
      </w:tr>
      <w:tr>
        <w:trPr>
          <w:cantSplit/>
        </w:trPr>
        <w:tc>
          <w:tcPr>
            <w:tcW w:type="dxa" w:w="3456"/>
            <w:vAlign w:val="top"/>
          </w:tcPr>
          <w:p>
            <w:pPr>
              <w:spacing w:after="40" w:before="0" w:line="259" w:lineRule="auto"/>
            </w:pPr>
            <w:r>
              <w:rPr>
                <w:rFonts w:ascii="Calibri" w:hAnsi="Calibri"/>
                <w:b/>
                <w:i w:val="0"/>
                <w:color w:val="212121"/>
                <w:sz w:val="19"/>
              </w:rPr>
              <w:t>Hyponasal (rhinolalia clausa) voice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Muffled, blocked-nose speech on examination.</w:t>
            </w:r>
          </w:p>
        </w:tc>
      </w:tr>
      <w:tr>
        <w:trPr>
          <w:cantSplit/>
        </w:trPr>
        <w:tc>
          <w:tcPr>
            <w:tcW w:type="dxa" w:w="3456"/>
            <w:vAlign w:val="top"/>
          </w:tcPr>
          <w:p>
            <w:pPr>
              <w:spacing w:after="40" w:before="0" w:line="259" w:lineRule="auto"/>
            </w:pPr>
            <w:r>
              <w:rPr>
                <w:rFonts w:ascii="Calibri" w:hAnsi="Calibri"/>
                <w:b/>
                <w:i w:val="0"/>
                <w:color w:val="212121"/>
                <w:sz w:val="19"/>
              </w:rPr>
              <w:t>Mucopurulent post-nasal discharge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Secretions tracking down the posterior pharyngeal wall on oral/endoscopic exam.</w:t>
            </w:r>
          </w:p>
        </w:tc>
      </w:tr>
      <w:tr>
        <w:trPr>
          <w:cantSplit/>
        </w:trPr>
        <w:tc>
          <w:tcPr>
            <w:tcW w:type="dxa" w:w="3456"/>
            <w:vAlign w:val="top"/>
          </w:tcPr>
          <w:p>
            <w:pPr>
              <w:spacing w:after="40" w:before="0" w:line="259" w:lineRule="auto"/>
            </w:pPr>
            <w:r>
              <w:rPr>
                <w:rFonts w:ascii="Calibri" w:hAnsi="Calibri"/>
                <w:b/>
                <w:i w:val="0"/>
                <w:color w:val="212121"/>
                <w:sz w:val="19"/>
              </w:rPr>
              <w:t>Enlarged adenoid mass obstructing the choanae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Directly visualised on flexible nasopharyngoscopy, gradable by percentage obstruction.</w:t>
            </w:r>
          </w:p>
        </w:tc>
      </w:tr>
      <w:tr>
        <w:trPr>
          <w:cantSplit/>
        </w:trPr>
        <w:tc>
          <w:tcPr>
            <w:tcW w:type="dxa" w:w="3456"/>
            <w:vAlign w:val="top"/>
          </w:tcPr>
          <w:p>
            <w:pPr>
              <w:spacing w:after="40" w:before="0" w:line="259" w:lineRule="auto"/>
            </w:pPr>
            <w:r>
              <w:rPr>
                <w:rFonts w:ascii="Calibri" w:hAnsi="Calibri"/>
                <w:b/>
                <w:i w:val="0"/>
                <w:color w:val="212121"/>
                <w:sz w:val="19"/>
              </w:rPr>
              <w:t>Increased adenoid-nasopharyngeal (A/N) ratio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Soft-tissue adenoid shadow narrowing the nasopharyngeal air column on lateral radiograph (&gt; 0.7 when large).</w:t>
            </w:r>
          </w:p>
        </w:tc>
      </w:tr>
      <w:tr>
        <w:trPr>
          <w:cantSplit/>
        </w:trPr>
        <w:tc>
          <w:tcPr>
            <w:tcW w:type="dxa" w:w="3456"/>
            <w:vAlign w:val="top"/>
          </w:tcPr>
          <w:p>
            <w:pPr>
              <w:spacing w:after="40" w:before="0" w:line="259" w:lineRule="auto"/>
            </w:pPr>
            <w:r>
              <w:rPr>
                <w:rFonts w:ascii="Calibri" w:hAnsi="Calibri"/>
                <w:b/>
                <w:i w:val="0"/>
                <w:color w:val="212121"/>
                <w:sz w:val="19"/>
              </w:rPr>
              <w:t>Retracted, dull tympanic membrane with effusion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Otoscopic sign of otitis media with effusion; a type B tympanogram confirms it.</w:t>
            </w:r>
          </w:p>
        </w:tc>
      </w:tr>
      <w:tr>
        <w:trPr>
          <w:cantSplit/>
        </w:trPr>
        <w:tc>
          <w:tcPr>
            <w:tcW w:type="dxa" w:w="3456"/>
            <w:vAlign w:val="top"/>
          </w:tcPr>
          <w:p>
            <w:pPr>
              <w:spacing w:after="40" w:before="0" w:line="259" w:lineRule="auto"/>
            </w:pPr>
            <w:r>
              <w:rPr>
                <w:rFonts w:ascii="Calibri" w:hAnsi="Calibri"/>
                <w:b/>
                <w:i w:val="0"/>
                <w:color w:val="212121"/>
                <w:sz w:val="19"/>
              </w:rPr>
              <w:t>Conductive hearing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Air-bone gap on audiometry from middle-ear effusion behind the obstructed Eustachian tube.</w:t>
            </w:r>
          </w:p>
        </w:tc>
      </w:tr>
      <w:tr>
        <w:trPr>
          <w:cantSplit/>
        </w:trPr>
        <w:tc>
          <w:tcPr>
            <w:tcW w:type="dxa" w:w="3456"/>
            <w:vAlign w:val="top"/>
          </w:tcPr>
          <w:p>
            <w:pPr>
              <w:spacing w:after="40" w:before="0" w:line="259" w:lineRule="auto"/>
            </w:pPr>
            <w:r>
              <w:rPr>
                <w:rFonts w:ascii="Calibri" w:hAnsi="Calibri"/>
                <w:b/>
                <w:i w:val="0"/>
                <w:color w:val="212121"/>
                <w:sz w:val="19"/>
              </w:rPr>
              <w:t>Coexisting tonsillar hypertrophy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palatine tonsils frequently accompany the adenoid (adenotonsillar hypertrophy).</w:t>
            </w:r>
          </w:p>
        </w:tc>
      </w:tr>
      <w:tr>
        <w:trPr>
          <w:cantSplit/>
        </w:trPr>
        <w:tc>
          <w:tcPr>
            <w:tcW w:type="dxa" w:w="3456"/>
            <w:vAlign w:val="top"/>
          </w:tcPr>
          <w:p>
            <w:pPr>
              <w:spacing w:after="40" w:before="0" w:line="259" w:lineRule="auto"/>
            </w:pPr>
            <w:r>
              <w:rPr>
                <w:rFonts w:ascii="Calibri" w:hAnsi="Calibri"/>
                <w:b/>
                <w:i w:val="0"/>
                <w:color w:val="212121"/>
                <w:sz w:val="19"/>
              </w:rPr>
              <w:t>High-arched palate &amp; dental malocclusion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Dentofacial change from long-standing mouth breathing during craniofacial growth.</w:t>
            </w:r>
          </w:p>
        </w:tc>
      </w:tr>
      <w:tr>
        <w:trPr>
          <w:cantSplit/>
        </w:trPr>
        <w:tc>
          <w:tcPr>
            <w:tcW w:type="dxa" w:w="3456"/>
            <w:vAlign w:val="top"/>
          </w:tcPr>
          <w:p>
            <w:pPr>
              <w:spacing w:after="40" w:before="0" w:line="259" w:lineRule="auto"/>
            </w:pPr>
            <w:r>
              <w:rPr>
                <w:rFonts w:ascii="Calibri" w:hAnsi="Calibri"/>
                <w:b/>
                <w:i w:val="0"/>
                <w:color w:val="212121"/>
                <w:sz w:val="19"/>
              </w:rPr>
              <w:t>Failure to thrive / signs of cor pulmonale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Poor growth or, in severe untreated OSA, pulmonary hypertension and right-heart strain.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nasal (posterior choanal) airway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Habitual mouth breathing and hyponasal speech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Chronic/recurrent adenoiditis with post-nasal drip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Snoring and disrupted sleep</w:t>
            </w:r>
          </w:p>
        </w:tc>
        <w:tc>
          <w:tcPr>
            <w:tcW w:type="dxa" w:w="2980"/>
            <w:vAlign w:val="top"/>
          </w:tcPr>
          <w:p>
            <w:pPr>
              <w:spacing w:after="40" w:before="0" w:line="259" w:lineRule="auto"/>
            </w:pPr>
            <w:r>
              <w:rPr>
                <w:rFonts w:ascii="Calibri" w:hAnsi="Calibri"/>
                <w:b w:val="0"/>
                <w:i w:val="0"/>
                <w:color w:val="212121"/>
                <w:sz w:val="19"/>
              </w:rPr>
              <w:t>Direct mechanical and inflammatory consequences of the enlarged adenoid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 media with effusion ('glue ear') and recurrent acute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Conductive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 / sleep-disordered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rhinosinusitis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Adenoid facies and early dentofacial/orthodontic changes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Speech and language delay from hearing loss</w:t>
            </w:r>
          </w:p>
        </w:tc>
        <w:tc>
          <w:tcPr>
            <w:tcW w:type="dxa" w:w="2980"/>
            <w:vAlign w:val="top"/>
          </w:tcPr>
          <w:p>
            <w:pPr>
              <w:spacing w:after="40" w:before="0" w:line="259" w:lineRule="auto"/>
            </w:pPr>
            <w:r>
              <w:rPr>
                <w:rFonts w:ascii="Calibri" w:hAnsi="Calibri"/>
                <w:b w:val="0"/>
                <w:i w:val="0"/>
                <w:color w:val="212121"/>
                <w:sz w:val="19"/>
              </w:rPr>
              <w:t>Regional consequences of Eustachian-tube and sinus obstruction and of sleep-disordered breathing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and cor pulmonale (severe, untreated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retardation / faltering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Neurocognitive and behavioural impairment (inattention, hyperactivity, poor academic 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Nocturnal enuresis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craniofacial and dental deformity requiring orthodontic correction</w:t>
            </w:r>
          </w:p>
        </w:tc>
        <w:tc>
          <w:tcPr>
            <w:tcW w:type="dxa" w:w="2980"/>
            <w:vAlign w:val="top"/>
          </w:tcPr>
          <w:p>
            <w:pPr>
              <w:spacing w:after="40" w:before="0" w:line="259" w:lineRule="auto"/>
            </w:pPr>
            <w:r>
              <w:rPr>
                <w:rFonts w:ascii="Calibri" w:hAnsi="Calibri"/>
                <w:b w:val="0"/>
                <w:i w:val="0"/>
                <w:color w:val="212121"/>
                <w:sz w:val="19"/>
              </w:rPr>
              <w:t>Irreversible or disabling systemic and developmental outcomes of longstanding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Otitis media with effusion (glue ear)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adenoid obstructs the Eustachian-tube orifice, causing chronic middle-ear effusion and conductive hearing loss; adenoidectomy (often with grommets) is a core treatment.</w:t>
            </w:r>
          </w:p>
          <w:p>
            <w:pPr>
              <w:spacing w:after="40" w:before="0" w:line="259" w:lineRule="auto"/>
            </w:pPr>
            <w:r>
              <w:rPr>
                <w:rFonts w:ascii="Calibri" w:hAnsi="Calibri"/>
                <w:b/>
                <w:i w:val="0"/>
                <w:color w:val="212121"/>
                <w:sz w:val="19"/>
              </w:rPr>
              <w:t>Adenoid covered the Eustachian-tube orifice in ~95% of OME cases (India)</w:t>
            </w:r>
          </w:p>
        </w:tc>
      </w:tr>
      <w:tr>
        <w:trPr>
          <w:cantSplit/>
        </w:trPr>
        <w:tc>
          <w:tcPr>
            <w:tcW w:type="dxa" w:w="2232"/>
            <w:vAlign w:val="top"/>
          </w:tcPr>
          <w:p>
            <w:pPr>
              <w:spacing w:after="40" w:before="0" w:line="259" w:lineRule="auto"/>
            </w:pPr>
            <w:r>
              <w:rPr>
                <w:rFonts w:ascii="Calibri" w:hAnsi="Calibri"/>
                <w:b/>
                <w:i w:val="0"/>
                <w:color w:val="212121"/>
                <w:sz w:val="19"/>
              </w:rPr>
              <w:t>Recurrent acute otitis media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Adenoidal reservoir/biofilm and Eustachian obstruction predispose to repeated middle-ear infection in young children.</w:t>
            </w:r>
          </w:p>
        </w:tc>
      </w:tr>
      <w:tr>
        <w:trPr>
          <w:cantSplit/>
        </w:trPr>
        <w:tc>
          <w:tcPr>
            <w:tcW w:type="dxa" w:w="2232"/>
            <w:vAlign w:val="top"/>
          </w:tcPr>
          <w:p>
            <w:pPr>
              <w:spacing w:after="40" w:before="0" w:line="259" w:lineRule="auto"/>
            </w:pPr>
            <w:r>
              <w:rPr>
                <w:rFonts w:ascii="Calibri" w:hAnsi="Calibri"/>
                <w:b/>
                <w:i w:val="0"/>
                <w:color w:val="212121"/>
                <w:sz w:val="19"/>
              </w:rPr>
              <w:t>Obstructive sleep apnoea (paediatric)</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Adenoidal (and adenotonsillar) hypertrophy is the leading cause of childhood OSA; its recognition determines the need for adenotonsillectomy.</w:t>
            </w:r>
          </w:p>
          <w:p>
            <w:pPr>
              <w:spacing w:after="40" w:before="0" w:line="259" w:lineRule="auto"/>
            </w:pPr>
            <w:r>
              <w:rPr>
                <w:rFonts w:ascii="Calibri" w:hAnsi="Calibri"/>
                <w:b/>
                <w:i w:val="0"/>
                <w:color w:val="212121"/>
                <w:sz w:val="19"/>
              </w:rPr>
              <w:t>Paediatric OSA ~2-5% of children</w:t>
            </w:r>
          </w:p>
        </w:tc>
      </w:tr>
      <w:tr>
        <w:trPr>
          <w:cantSplit/>
        </w:trPr>
        <w:tc>
          <w:tcPr>
            <w:tcW w:type="dxa" w:w="2232"/>
            <w:vAlign w:val="top"/>
          </w:tcPr>
          <w:p>
            <w:pPr>
              <w:spacing w:after="40" w:before="0" w:line="259" w:lineRule="auto"/>
            </w:pPr>
            <w:r>
              <w:rPr>
                <w:rFonts w:ascii="Calibri" w:hAnsi="Calibri"/>
                <w:b/>
                <w:i w:val="0"/>
                <w:color w:val="212121"/>
                <w:sz w:val="19"/>
              </w:rPr>
              <w:t>Allergic rhinitis / atopy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Allergic inflammation enlarges the adenoid and worsens nasal obstruction; the two coexist and aggravate one another, and treating allergy can shrink symptomatic tissue.</w:t>
            </w:r>
          </w:p>
          <w:p>
            <w:pPr>
              <w:spacing w:after="40" w:before="0" w:line="259" w:lineRule="auto"/>
            </w:pPr>
            <w:r>
              <w:rPr>
                <w:rFonts w:ascii="Calibri" w:hAnsi="Calibri"/>
                <w:b/>
                <w:i w:val="0"/>
                <w:color w:val="212121"/>
                <w:sz w:val="19"/>
              </w:rPr>
              <w:t>Skin-prick positive in ~65% of symptomatic cases</w:t>
            </w:r>
          </w:p>
        </w:tc>
      </w:tr>
      <w:tr>
        <w:trPr>
          <w:cantSplit/>
        </w:trPr>
        <w:tc>
          <w:tcPr>
            <w:tcW w:type="dxa" w:w="2232"/>
            <w:vAlign w:val="top"/>
          </w:tcPr>
          <w:p>
            <w:pPr>
              <w:spacing w:after="40" w:before="0" w:line="259" w:lineRule="auto"/>
            </w:pPr>
            <w:r>
              <w:rPr>
                <w:rFonts w:ascii="Calibri" w:hAnsi="Calibri"/>
                <w:b/>
                <w:i w:val="0"/>
                <w:color w:val="212121"/>
                <w:sz w:val="19"/>
              </w:rPr>
              <w:t>Chronic rhinosinusitis / recurrent URI</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adenoid acts as a bacterial reservoir and obstructs drainage, perpetuating chronic sinus and upper-respiratory infection.</w:t>
            </w:r>
          </w:p>
          <w:p>
            <w:pPr>
              <w:spacing w:after="40" w:before="0" w:line="259" w:lineRule="auto"/>
            </w:pPr>
            <w:r>
              <w:rPr>
                <w:rFonts w:ascii="Calibri" w:hAnsi="Calibri"/>
                <w:b/>
                <w:i w:val="0"/>
                <w:color w:val="212121"/>
                <w:sz w:val="19"/>
              </w:rPr>
              <w:t>Coincident sinusitis in ~57% (India)</w:t>
            </w:r>
          </w:p>
        </w:tc>
      </w:tr>
      <w:tr>
        <w:trPr>
          <w:cantSplit/>
        </w:trPr>
        <w:tc>
          <w:tcPr>
            <w:tcW w:type="dxa" w:w="2232"/>
            <w:vAlign w:val="top"/>
          </w:tcPr>
          <w:p>
            <w:pPr>
              <w:spacing w:after="40" w:before="0" w:line="259" w:lineRule="auto"/>
            </w:pPr>
            <w:r>
              <w:rPr>
                <w:rFonts w:ascii="Calibri" w:hAnsi="Calibri"/>
                <w:b/>
                <w:i w:val="0"/>
                <w:color w:val="212121"/>
                <w:sz w:val="19"/>
              </w:rPr>
              <w:t>Adenotonsillar (palatine tonsil) hypertrophy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Enlarged tonsils frequently accompany the adenoid; together they magnify upper-airway obstruction and are usually addressed at the same operation.</w:t>
            </w:r>
          </w:p>
        </w:tc>
      </w:tr>
      <w:tr>
        <w:trPr>
          <w:cantSplit/>
        </w:trPr>
        <w:tc>
          <w:tcPr>
            <w:tcW w:type="dxa" w:w="2232"/>
            <w:vAlign w:val="top"/>
          </w:tcPr>
          <w:p>
            <w:pPr>
              <w:spacing w:after="40" w:before="0" w:line="259" w:lineRule="auto"/>
            </w:pPr>
            <w:r>
              <w:rPr>
                <w:rFonts w:ascii="Calibri" w:hAnsi="Calibri"/>
                <w:b/>
                <w:i w:val="0"/>
                <w:color w:val="212121"/>
                <w:sz w:val="19"/>
              </w:rPr>
              <w:t>Nocturnal enuresis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Bed-wetting is strongly over-represented in children with adenoid hypertrophy and often resolves after relief of obstruction.</w:t>
            </w:r>
          </w:p>
          <w:p>
            <w:pPr>
              <w:spacing w:after="40" w:before="0" w:line="259" w:lineRule="auto"/>
            </w:pPr>
            <w:r>
              <w:rPr>
                <w:rFonts w:ascii="Calibri" w:hAnsi="Calibri"/>
                <w:b/>
                <w:i w:val="0"/>
                <w:color w:val="212121"/>
                <w:sz w:val="19"/>
              </w:rPr>
              <w:t>Enuresis 40% vs 15% in controls (OR ~8.2)</w:t>
            </w:r>
          </w:p>
        </w:tc>
      </w:tr>
      <w:tr>
        <w:trPr>
          <w:cantSplit/>
        </w:trPr>
        <w:tc>
          <w:tcPr>
            <w:tcW w:type="dxa" w:w="2232"/>
            <w:vAlign w:val="top"/>
          </w:tcPr>
          <w:p>
            <w:pPr>
              <w:spacing w:after="40" w:before="0" w:line="259" w:lineRule="auto"/>
            </w:pPr>
            <w:r>
              <w:rPr>
                <w:rFonts w:ascii="Calibri" w:hAnsi="Calibri"/>
                <w:b/>
                <w:i w:val="0"/>
                <w:color w:val="212121"/>
                <w:sz w:val="19"/>
              </w:rPr>
              <w:t>Pulmonary hypertension / cor pulmonale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nocturnal hypoxia from severe untreated obstruction can raise pulmonary pressures and strain the right heart, reversible after adenotonsillectomy.</w:t>
            </w:r>
          </w:p>
        </w:tc>
      </w:tr>
      <w:tr>
        <w:trPr>
          <w:cantSplit/>
        </w:trPr>
        <w:tc>
          <w:tcPr>
            <w:tcW w:type="dxa" w:w="2232"/>
            <w:vAlign w:val="top"/>
          </w:tcPr>
          <w:p>
            <w:pPr>
              <w:spacing w:after="40" w:before="0" w:line="259" w:lineRule="auto"/>
            </w:pPr>
            <w:r>
              <w:rPr>
                <w:rFonts w:ascii="Calibri" w:hAnsi="Calibri"/>
                <w:b/>
                <w:i w:val="0"/>
                <w:color w:val="212121"/>
                <w:sz w:val="19"/>
              </w:rPr>
              <w:t>Dentofacial abnormality / malocclusion (adenoid facies)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Long-standing mouth breathing during facial growth produces a high-arched palate, dental crowding and the adenoid-facies morphology needing orthodontic care.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pattern - persistent blocked nose, mouth breathing, snoring, restless sleep and recurrent ear trouble in a young child - and seek an ENT opinion.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adenoids usually shrink with age, but that obstruction causing sleep apnoea, hearing loss or dentofacial change needs active treatment, not just waiting.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and car completely smoke-free and reduce indoor biomass smoke, as smoke exposure worsens adenoidal enlargement.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allergy and colds promptly and complete prescribed courses to reduce the recurrent infection that keeps the adenoid enlarged.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for daytime sleepiness, poor concentration, falling school performance or bed-wetting, which can reflect sleep-disordered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hearing checks if the child mishears, turns up the TV volume, is inattentive or has delayed speech.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Preschool &amp; 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urban-slum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Anganwadi / school-health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prescribed medical trial - intranasal steroid spray with or without an antihistamine/leukotriene antagonist - for several weeks before judging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Accept adenoidectomy (often with grommets or tonsillectomy) when there is obstructive sleep apnoea, persistent effusion with hearing loss, dentofacial change or failed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post-operative advice and attend follow-up, including repeat hearing and sleep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some adenoid tissue can re-grow, especially after very early surgery, and report recurrent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on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Post-adenoidectomy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outdoor play and general fitness to support immunity and healthy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nasal (rather than mouth) breathing during activity once the airway is cleared.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oro-myofunctional / breathing exercises as an adjunct where advised, to reinforce lip closure and nasal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exercise intolerance or excessive daytime tiredness as clues to significant sleep-disordered breathing.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nasal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Mouth-breathing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 exclusively for the first 6 months and continue thereafter, feeding infants held upright rather than lying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balanced diet adequate in protein, vitamin A, zinc and iron to support mucosal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reduce dietary and inhalant allergens in atopic children, alongside medical allergy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late-night, spicy or fatty meals that provoke reflux, and manage gastro-oesophageal reflux where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&amp;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snoring, witnessed pauses in breathing, gasping or very restless sleep for formal sleep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side-lying or slightly head-elevated sleeping position to reduce nocturnal obstruction while awaiting definitive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blockage and allergic rhinitis before bedtime (saline, prescribed nasal steroid) to improve airflow.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consistent, adequate sleep duration for age and re-check sleep quality after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Snoring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Post-adenoidectomy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car strictly smoke-free - eliminate all passive tobacco-smoke exposure for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wood/charcoal (biomass) cooking to clean fuel (LPG) or use a ventilated chimney stove.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kitchen ventilation to cut indoor smoke in solid-fuel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to household members who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smoking/biomass homes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solid-fuel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 applicable to the affected child; caregivers should avoid smoking and alcohol-related neglect of the child's ear, nose and sleep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against sedative or alcohol use in adolescents/adults with untreated obstructive sleep apnoea, as it worsens airway collapse.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that intoxication in caregivers never delays attention to a child's breathing or hearing problems.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Adolescents/adults with OSA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affected children for inattention, hyperactivity, learning and behavioural difficulties that may stem from poor sleep and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hearing rehabilitation and classroom support (front seating, clear speech) where effusion-related hearing loss persists.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concentration, behaviour, bed-wetting and school performance often improve after effective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speech-and-language therapy where hearing loss has delayed speech.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OSA/hearing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Under-performing schoolchildren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Families/caregivers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6984/" TargetMode="External"/><Relationship Id="rId10" Type="http://schemas.openxmlformats.org/officeDocument/2006/relationships/hyperlink" Target="https://pmc.ncbi.nlm.nih.gov/articles/PMC4298585/" TargetMode="External"/><Relationship Id="rId11" Type="http://schemas.openxmlformats.org/officeDocument/2006/relationships/hyperlink" Target="https://www.frontiersin.org/journals/pediatrics/articles/10.3389/fped.2023.1179218/full" TargetMode="External"/><Relationship Id="rId12" Type="http://schemas.openxmlformats.org/officeDocument/2006/relationships/hyperlink" Target="https://link.springer.com/article/10.1007/s12070-020-02332-8" TargetMode="External"/><Relationship Id="rId13" Type="http://schemas.openxmlformats.org/officeDocument/2006/relationships/hyperlink" Target="https://www.ncbi.nlm.nih.gov/books/NBK557610/" TargetMode="External"/><Relationship Id="rId14" Type="http://schemas.openxmlformats.org/officeDocument/2006/relationships/hyperlink" Target="https://link.springer.com/article/10.1186/s12887-025-06503-w" TargetMode="External"/><Relationship Id="rId15" Type="http://schemas.openxmlformats.org/officeDocument/2006/relationships/hyperlink" Target="https://www.medpulse.in/ENT/Article/Volume19Issue3/ENT_19_3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