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Oral submucous fibrosis</w:t>
      </w:r>
    </w:p>
    <w:p>
      <w:pPr>
        <w:spacing w:before="0" w:after="160"/>
      </w:pPr>
      <w:r>
        <w:rPr>
          <w:rFonts w:ascii="Calibri" w:hAnsi="Calibri"/>
          <w:b/>
          <w:i w:val="0"/>
          <w:color w:val="212121"/>
          <w:sz w:val="22"/>
        </w:rPr>
        <w:t xml:space="preserve">AKA </w:t>
      </w:r>
      <w:r>
        <w:rPr>
          <w:rFonts w:ascii="Calibri" w:hAnsi="Calibri"/>
          <w:b w:val="0"/>
          <w:i w:val="0"/>
          <w:color w:val="212121"/>
          <w:sz w:val="22"/>
        </w:rPr>
        <w:t>i.e., OSMF, OSF, Submucous fibrosis of the oral cavity, Areca-nut / gutka-related oral fibrosis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Oral submucous fibrosis (OSMF) is a chronic, progressive, potentially malignant (premalignant) fibrosing disease of the oral mucosa, oropharynx and occasionally the upper third of the oesophagus. It is characterised by juxta-epithelial inflammation followed by progressive fibro-elastic change of the lamina propria and submucosa, producing mucosal blanching, stiffness, palpable fibrous bands and steadily worsening limitation of mouth opening (trismus). OSMF is strongly and causally linked to areca (betel) nut chewing - especially commercial gutka and pan-masala - and carries a well-defined risk of transformation to oral squamous cell carcinoma, making it one of the most important oral potentially malignant disorders in India.</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OSMF is overwhelmingly a disease of the Indian subcontinent and of South-Asian populations. Community-based surveys place the general-population prevalence in India in the region of 0.2-1.2% - for example about 0.4% in a Kerala community survey - but the figure rises steeply with areca-nut exposure: a global meta-analysis found a pooled prevalence of roughly 5% among areca-nut chewers. India is estimated to carry the largest share of the world's several-million OSMF cases, and incidence is climbing among adolescents and young adults with the aggressive marketing of cheap sachet gutka and pan-masala.</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OSMF is primarily a clinical diagnosis based on a history of areca-nut / gutka / betel-quid use together with characteristic mucosal findings, confirmed by biopsy where needed. Diagnosis rests on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history of areca-nut, betel-quid, gutka or pan-masala chewing, frequently with a burning sensation on eating spicy or hot food (an early hallmark symptom);</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blanching (marble-white change) of the oral mucosa, which feels leathery, stiff and non-pliable on palpation;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palpable fibrous bands - vertical bands in the buccal mucosa, a circular band around the lips/mouth, or bands in the soft palate and faucial pillars;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progressive limitation of mouth opening (trismus); the interincisal distance (normal ~35-45 mm) is measured to grade severity;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signs such as a blanched, depapillated tongue with restricted protrusion, a shrunken or bud-like uvula, and inability to puff out the cheeks;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incisional biopsy with histopathology to confirm the diagnosis, grade epithelial dysplasia and exclude malignant transformation - mandatory for any non-healing ulcer, red/white patch or indurated area.</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OSMF is described using several complementary systems - clinical (mouth-opening) staging, functional staging and histopathological staging - used together to define severity and guide management:</w:t>
      </w:r>
    </w:p>
    <w:p>
      <w:pPr>
        <w:spacing w:before="0" w:after="80"/>
      </w:pPr>
      <w:r>
        <w:rPr>
          <w:rFonts w:ascii="Calibri" w:hAnsi="Calibri"/>
          <w:b w:val="0"/>
          <w:i w:val="0"/>
          <w:color w:val="212121"/>
          <w:sz w:val="21"/>
        </w:rPr>
        <w:t>(1) Clinical staging by interincisal mouth opening (Khanna &amp; Andrade, 1995): Group I (very early - mouth opening &gt; 35 mm with only burning or vesicles), Group II (early - ~26-35 mm with buccal bands), Group III (moderately advanced - ~15-26 mm) and Group IVa/IVb (advanced - &lt; 15 mm and/or associated premalignant or malignant change).</w:t>
      </w:r>
    </w:p>
    <w:p>
      <w:pPr>
        <w:spacing w:before="0" w:after="80"/>
      </w:pPr>
      <w:r>
        <w:rPr>
          <w:rFonts w:ascii="Calibri" w:hAnsi="Calibri"/>
          <w:b w:val="0"/>
          <w:i w:val="0"/>
          <w:color w:val="212121"/>
          <w:sz w:val="21"/>
        </w:rPr>
        <w:t>(2) Functional staging: M1 (interincisal opening &gt; 20 mm) versus M2 (&lt;= 20 mm), reflecting the severity of trismus and its impact on eating, speech and oral hygiene.</w:t>
      </w:r>
    </w:p>
    <w:p>
      <w:pPr>
        <w:spacing w:before="0" w:after="80"/>
      </w:pPr>
      <w:r>
        <w:rPr>
          <w:rFonts w:ascii="Calibri" w:hAnsi="Calibri"/>
          <w:b w:val="0"/>
          <w:i w:val="0"/>
          <w:color w:val="212121"/>
          <w:sz w:val="21"/>
        </w:rPr>
        <w:t>(3) Clinical staging by extent (More et al. / Passi et al.): Stage 1 (faucial bands and burning), Stage 2 (additional buccal and labial bands), Stage 3 (involvement of the soft palate and pterygomandibular raphe with marked trismus) and Stage 4 (OSMF with associated leukoplakia/other potentially malignant disorder, or with frank oral squamous cell carcinoma).</w:t>
      </w:r>
    </w:p>
    <w:p>
      <w:pPr>
        <w:spacing w:before="0" w:after="80"/>
      </w:pPr>
      <w:r>
        <w:rPr>
          <w:rFonts w:ascii="Calibri" w:hAnsi="Calibri"/>
          <w:b w:val="0"/>
          <w:i w:val="0"/>
          <w:color w:val="212121"/>
          <w:sz w:val="21"/>
        </w:rPr>
        <w:t>(4) Histopathological staging (Pindborg): very early, early, moderately advanced and advanced stages, based on the amount and hyalinisation of subepithelial collagen, the inflammatory infiltrate, vascularity and epithelial atrophy; the grade of epithelial dysplasia determines malignant potential.</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Areca (betel) nut chewing: The primary cause. Arecoline and related alkaloids stimulate fibroblast proliferation and collagen synthesis while inhibiting collagen breakdown; copper in areca nut up-regulates lysyl oxidase, which cross-links and stabilises collagen. The coarse areca fibre also causes chronic mucosal micro-trauma.</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Commercial gutka / pan-masala: Cheap, flavoured, industrially produced sachet products with a high, concentrated areca-nut content (often mixed with tobacco, slaked lime and flavourings) accelerate OSMF and shift its onset into adolescence and young adulthood.</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Slaked lime (chuna) and tobacco: Raise the intra-oral pH and add tobacco-specific nitrosamines and other carcinogens, amplifying mucosal injury and the risk of malignant transformation.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Chilli / capsaicin and spicy diet: Chronic chemical irritation contributes to juxta-epithelial inflammation and the characteristic burning sensation and may act as a co-factor.</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Micronutrient deficiency and anaemia: Iron, zinc and vitamin-B/complex deficiency impair mucosal repair and increase susceptibility; a vicious cycle develops as painful eating worsens nutrition.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Genetic and immunological susceptibility: HLA associations, altered collagen-related, TGF-beta and matrix-metalloproteinase gene expression and autoimmune features explain why only a subset of chewers develop OSMF.</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Adolescents &amp; young adults (15-35 yrs)</w:t>
            </w:r>
          </w:p>
        </w:tc>
        <w:tc>
          <w:tcPr>
            <w:tcW w:type="dxa" w:w="4276"/>
            <w:vAlign w:val="top"/>
          </w:tcPr>
          <w:p>
            <w:pPr>
              <w:spacing w:after="60" w:line="259" w:lineRule="auto"/>
            </w:pPr>
            <w:r>
              <w:rPr>
                <w:rFonts w:ascii="Calibri" w:hAnsi="Calibri"/>
                <w:b w:val="0"/>
                <w:i w:val="0"/>
                <w:color w:val="212121"/>
                <w:sz w:val="19"/>
              </w:rPr>
              <w:t>Cheap, palatable sachet gutka and pan-masala are heavily used by teenagers and young adults, so OSMF now presents a decade or more earlier than in the traditional betel-quid era; early, intense exposure drives rapid fibrosis.</w:t>
            </w:r>
          </w:p>
          <w:p>
            <w:pPr>
              <w:spacing w:after="40" w:before="60" w:line="259" w:lineRule="auto"/>
            </w:pPr>
            <w:r>
              <w:rPr>
                <w:rFonts w:ascii="Calibri" w:hAnsi="Calibri"/>
                <w:b w:val="0"/>
                <w:i w:val="0"/>
                <w:color w:val="212121"/>
                <w:sz w:val="19"/>
              </w:rPr>
              <w:t>Indian dental-OPD demographic studies find OSMF concentrated in younger adults, mirroring the spread of sachet gutka among students and young workers.</w:t>
            </w:r>
          </w:p>
          <w:p>
            <w:pPr>
              <w:spacing w:after="40" w:line="252" w:lineRule="auto"/>
            </w:pPr>
            <w:hyperlink r:id="rId9">
              <w:r>
                <w:rPr>
                  <w:rFonts w:ascii="Calibri" w:hAnsi="Calibri" w:cs="Calibri"/>
                  <w:sz w:val="18"/>
                  <w:color w:val="1155CC"/>
                  <w:u w:val="single"/>
                </w:rPr>
                <w:t xml:space="preserve">pubmed.ncbi.nlm.nih.gov/31548942 - OSMF demographic study (India)</w:t>
              </w:r>
            </w:hyperlink>
          </w:p>
          <w:p>
            <w:pPr>
              <w:spacing w:before="60" w:after="40"/>
            </w:pPr>
            <w:r>
              <w:rPr>
                <w:rFonts w:ascii="Calibri" w:hAnsi="Calibri"/>
                <w:b w:val="0"/>
                <w:i w:val="0"/>
                <w:color w:val="5A5A5A"/>
                <w:sz w:val="18"/>
              </w:rPr>
              <w:t>#gutka  #youngadults  #arecanut  #sachet  #earlyonset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Long-standing / older chewers (40+ yrs)</w:t>
            </w:r>
          </w:p>
        </w:tc>
        <w:tc>
          <w:tcPr>
            <w:tcW w:type="dxa" w:w="4276"/>
            <w:vAlign w:val="top"/>
          </w:tcPr>
          <w:p>
            <w:pPr>
              <w:spacing w:after="60" w:line="259" w:lineRule="auto"/>
            </w:pPr>
            <w:r>
              <w:rPr>
                <w:rFonts w:ascii="Calibri" w:hAnsi="Calibri"/>
                <w:b w:val="0"/>
                <w:i w:val="0"/>
                <w:color w:val="212121"/>
                <w:sz w:val="19"/>
              </w:rPr>
              <w:t>Older patients with decades of habit present with advanced, fixed fibrosis and, importantly, the highest cumulative risk of malignant transformation to oral cancer.</w:t>
            </w:r>
          </w:p>
          <w:p>
            <w:pPr>
              <w:spacing w:after="40" w:before="60" w:line="259" w:lineRule="auto"/>
            </w:pPr>
            <w:r>
              <w:rPr>
                <w:rFonts w:ascii="Calibri" w:hAnsi="Calibri"/>
                <w:b w:val="0"/>
                <w:i w:val="0"/>
                <w:color w:val="212121"/>
                <w:sz w:val="19"/>
              </w:rPr>
              <w:t>A meta-analysis reported an overall malignant-transformation rate of about 6%, rising to roughly 8% in Indian cohorts.</w:t>
            </w:r>
          </w:p>
          <w:p>
            <w:pPr>
              <w:spacing w:after="40" w:line="252" w:lineRule="auto"/>
            </w:pPr>
            <w:hyperlink r:id="rId10">
              <w:r>
                <w:rPr>
                  <w:rFonts w:ascii="Calibri" w:hAnsi="Calibri" w:cs="Calibri"/>
                  <w:sz w:val="18"/>
                  <w:color w:val="1155CC"/>
                  <w:u w:val="single"/>
                </w:rPr>
                <w:t xml:space="preserve">pubmed.ncbi.nlm.nih.gov/35407401 - OSMF malignant transformation meta-analysis</w:t>
              </w:r>
            </w:hyperlink>
          </w:p>
          <w:p>
            <w:pPr>
              <w:spacing w:before="60" w:after="40"/>
            </w:pPr>
            <w:r>
              <w:rPr>
                <w:rFonts w:ascii="Calibri" w:hAnsi="Calibri"/>
                <w:b w:val="0"/>
                <w:i w:val="0"/>
                <w:color w:val="5A5A5A"/>
                <w:sz w:val="18"/>
              </w:rPr>
              <w:t>#malignanttransformation  #oralcancer  #chronicexposure  #OPMD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Males in gutka-using regions</w:t>
            </w:r>
          </w:p>
        </w:tc>
        <w:tc>
          <w:tcPr>
            <w:tcW w:type="dxa" w:w="4276"/>
            <w:vAlign w:val="top"/>
          </w:tcPr>
          <w:p>
            <w:pPr>
              <w:spacing w:after="60" w:line="259" w:lineRule="auto"/>
            </w:pPr>
            <w:r>
              <w:rPr>
                <w:rFonts w:ascii="Calibri" w:hAnsi="Calibri"/>
                <w:b w:val="0"/>
                <w:i w:val="0"/>
                <w:color w:val="212121"/>
                <w:sz w:val="19"/>
              </w:rPr>
              <w:t>In north, central and western India, where commercial gutka/pan-masala dominate, males predominate; in some southern series with traditional betel-quid use the sex ratio is more balanced or female-predominant. Sex distribution therefore tracks the local product and habit pattern.</w:t>
            </w:r>
          </w:p>
          <w:p>
            <w:pPr>
              <w:spacing w:after="40" w:before="60" w:line="259" w:lineRule="auto"/>
            </w:pPr>
            <w:r>
              <w:rPr>
                <w:rFonts w:ascii="Calibri" w:hAnsi="Calibri"/>
                <w:b w:val="0"/>
                <w:i w:val="0"/>
                <w:color w:val="212121"/>
                <w:sz w:val="19"/>
              </w:rPr>
              <w:t>Male predominance is typical in commercial-gutka regions, reflecting higher product use among men.</w:t>
            </w:r>
          </w:p>
          <w:p>
            <w:pPr>
              <w:spacing w:before="60" w:after="40"/>
            </w:pPr>
            <w:r>
              <w:rPr>
                <w:rFonts w:ascii="Calibri" w:hAnsi="Calibri"/>
                <w:b w:val="0"/>
                <w:i w:val="0"/>
                <w:color w:val="5A5A5A"/>
                <w:sz w:val="18"/>
              </w:rPr>
              <w:t>#malepredominance  #gutkabelt  #habitpattern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groups, labourers, students</w:t>
            </w:r>
          </w:p>
        </w:tc>
        <w:tc>
          <w:tcPr>
            <w:tcW w:type="dxa" w:w="4276"/>
            <w:vAlign w:val="top"/>
          </w:tcPr>
          <w:p>
            <w:pPr>
              <w:spacing w:after="60" w:line="259" w:lineRule="auto"/>
            </w:pPr>
            <w:r>
              <w:rPr>
                <w:rFonts w:ascii="Calibri" w:hAnsi="Calibri"/>
                <w:b w:val="0"/>
                <w:i w:val="0"/>
                <w:color w:val="212121"/>
                <w:sz w:val="19"/>
              </w:rPr>
              <w:t>Low-cost single-use sachets, aggressive marketing and peer influence make gutka highly accessible to lower socioeconomic and student populations, who also have less access to early screening and cessation support.</w:t>
            </w:r>
          </w:p>
          <w:p>
            <w:pPr>
              <w:spacing w:after="40" w:before="60" w:line="259" w:lineRule="auto"/>
            </w:pPr>
            <w:r>
              <w:rPr>
                <w:rFonts w:ascii="Calibri" w:hAnsi="Calibri"/>
                <w:b w:val="0"/>
                <w:i w:val="0"/>
                <w:color w:val="212121"/>
                <w:sz w:val="19"/>
              </w:rPr>
              <w:t>Affordability and marketing of sachet products concentrate OSMF risk in lower-income and young populations.</w:t>
            </w:r>
          </w:p>
          <w:p>
            <w:pPr>
              <w:spacing w:before="60" w:after="40"/>
            </w:pPr>
            <w:r>
              <w:rPr>
                <w:rFonts w:ascii="Calibri" w:hAnsi="Calibri"/>
                <w:b w:val="0"/>
                <w:i w:val="0"/>
                <w:color w:val="5A5A5A"/>
                <w:sz w:val="18"/>
              </w:rPr>
              <w:t>#affordability  #lowincome  #peerinfluence  #accessgap</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South Asians (Indian subcontinent)</w:t>
            </w:r>
          </w:p>
        </w:tc>
        <w:tc>
          <w:tcPr>
            <w:tcW w:type="dxa" w:w="4276"/>
            <w:vAlign w:val="top"/>
          </w:tcPr>
          <w:p>
            <w:pPr>
              <w:spacing w:after="60" w:line="259" w:lineRule="auto"/>
            </w:pPr>
            <w:r>
              <w:rPr>
                <w:rFonts w:ascii="Calibri" w:hAnsi="Calibri"/>
                <w:b w:val="0"/>
                <w:i w:val="0"/>
                <w:color w:val="212121"/>
                <w:sz w:val="19"/>
              </w:rPr>
              <w:t>OSMF is essentially confined to areca-chewing South-Asian populations (India, Pakistan, Bangladesh, Sri Lanka, Nepal) and their diaspora; it is rare in populations that do not chew areca nut.</w:t>
            </w:r>
          </w:p>
          <w:p>
            <w:pPr>
              <w:spacing w:after="40" w:before="60" w:line="259" w:lineRule="auto"/>
            </w:pPr>
            <w:r>
              <w:rPr>
                <w:rFonts w:ascii="Calibri" w:hAnsi="Calibri"/>
                <w:b w:val="0"/>
                <w:i w:val="0"/>
                <w:color w:val="212121"/>
                <w:sz w:val="19"/>
              </w:rPr>
              <w:t>Community surveys in India report general-population prevalence around 0.2-1.2% (e.g. 0.4% in a Kerala survey).</w:t>
            </w:r>
          </w:p>
          <w:p>
            <w:pPr>
              <w:spacing w:after="40" w:line="252" w:lineRule="auto"/>
            </w:pPr>
            <w:hyperlink r:id="rId11">
              <w:r>
                <w:rPr>
                  <w:rFonts w:ascii="Calibri" w:hAnsi="Calibri" w:cs="Calibri"/>
                  <w:sz w:val="18"/>
                  <w:color w:val="1155CC"/>
                  <w:u w:val="single"/>
                </w:rPr>
                <w:t xml:space="preserve">pubmed.ncbi.nlm.nih.gov/1486676 - Kerala community prevalence (0.4%)</w:t>
              </w:r>
            </w:hyperlink>
          </w:p>
          <w:p>
            <w:pPr>
              <w:spacing w:before="60" w:after="40"/>
            </w:pPr>
            <w:r>
              <w:rPr>
                <w:rFonts w:ascii="Calibri" w:hAnsi="Calibri"/>
                <w:b w:val="0"/>
                <w:i w:val="0"/>
                <w:color w:val="5A5A5A"/>
                <w:sz w:val="18"/>
              </w:rPr>
              <w:t>#southasian  #india  #arecabelt  #endemic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High areca/gutka-use states (central, western &amp; southern India)</w:t>
            </w:r>
          </w:p>
        </w:tc>
        <w:tc>
          <w:tcPr>
            <w:tcW w:type="dxa" w:w="4276"/>
            <w:vAlign w:val="top"/>
          </w:tcPr>
          <w:p>
            <w:pPr>
              <w:spacing w:after="60" w:line="259" w:lineRule="auto"/>
            </w:pPr>
            <w:r>
              <w:rPr>
                <w:rFonts w:ascii="Calibri" w:hAnsi="Calibri"/>
                <w:b w:val="0"/>
                <w:i w:val="0"/>
                <w:color w:val="212121"/>
                <w:sz w:val="19"/>
              </w:rPr>
              <w:t>States and communities with the heaviest areca-nut and smokeless-tobacco consumption carry the greatest OSMF burden; local product type (gutka, pan-masala, plain supari, mawa) shapes onset and severity.</w:t>
            </w:r>
          </w:p>
          <w:p>
            <w:pPr>
              <w:spacing w:after="40" w:before="60" w:line="259" w:lineRule="auto"/>
            </w:pPr>
            <w:r>
              <w:rPr>
                <w:rFonts w:ascii="Calibri" w:hAnsi="Calibri"/>
                <w:b w:val="0"/>
                <w:i w:val="0"/>
                <w:color w:val="212121"/>
                <w:sz w:val="19"/>
              </w:rPr>
              <w:t>A 2024 southern-Rajasthan study confirmed a strong link between areca-nut usage and OSMF among Indians.</w:t>
            </w:r>
          </w:p>
          <w:p>
            <w:pPr>
              <w:spacing w:after="40" w:line="252" w:lineRule="auto"/>
            </w:pPr>
            <w:hyperlink r:id="rId12">
              <w:r>
                <w:rPr>
                  <w:rFonts w:ascii="Calibri" w:hAnsi="Calibri" w:cs="Calibri"/>
                  <w:sz w:val="18"/>
                  <w:color w:val="1155CC"/>
                  <w:u w:val="single"/>
                </w:rPr>
                <w:t xml:space="preserve">pubmed.ncbi.nlm.nih.gov/39309566 - OSMF &amp; areca-nut use among Indians</w:t>
              </w:r>
            </w:hyperlink>
          </w:p>
          <w:p>
            <w:pPr>
              <w:spacing w:before="60" w:after="40"/>
            </w:pPr>
            <w:r>
              <w:rPr>
                <w:rFonts w:ascii="Calibri" w:hAnsi="Calibri"/>
                <w:b w:val="0"/>
                <w:i w:val="0"/>
                <w:color w:val="5A5A5A"/>
                <w:sz w:val="18"/>
              </w:rPr>
              <w:t>#gutkabelt  #regionalburden  #supari  #mawa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Migration</w:t>
            </w:r>
          </w:p>
        </w:tc>
        <w:tc>
          <w:tcPr>
            <w:tcW w:type="dxa" w:w="2160"/>
            <w:vAlign w:val="top"/>
          </w:tcPr>
          <w:p>
            <w:pPr>
              <w:spacing w:after="40" w:before="0" w:line="259" w:lineRule="auto"/>
            </w:pPr>
            <w:r>
              <w:rPr>
                <w:rFonts w:ascii="Calibri" w:hAnsi="Calibri"/>
                <w:b w:val="0"/>
                <w:i w:val="0"/>
                <w:color w:val="212121"/>
                <w:sz w:val="19"/>
              </w:rPr>
              <w:t>South-Asian diaspora (UK, South Africa, SE Asia, Gulf)</w:t>
            </w:r>
          </w:p>
        </w:tc>
        <w:tc>
          <w:tcPr>
            <w:tcW w:type="dxa" w:w="4276"/>
            <w:vAlign w:val="top"/>
          </w:tcPr>
          <w:p>
            <w:pPr>
              <w:spacing w:after="60" w:line="259" w:lineRule="auto"/>
            </w:pPr>
            <w:r>
              <w:rPr>
                <w:rFonts w:ascii="Calibri" w:hAnsi="Calibri"/>
                <w:b w:val="0"/>
                <w:i w:val="0"/>
                <w:color w:val="212121"/>
                <w:sz w:val="19"/>
              </w:rPr>
              <w:t>Migrant South-Asian communities carry the areca-chewing habit abroad, so OSMF appears in countries where it is otherwise unknown, often under-recognised by non-specialist clinicians.</w:t>
            </w:r>
          </w:p>
          <w:p>
            <w:pPr>
              <w:spacing w:after="40" w:before="60" w:line="259" w:lineRule="auto"/>
            </w:pPr>
            <w:r>
              <w:rPr>
                <w:rFonts w:ascii="Calibri" w:hAnsi="Calibri"/>
                <w:b w:val="0"/>
                <w:i w:val="0"/>
                <w:color w:val="212121"/>
                <w:sz w:val="19"/>
              </w:rPr>
              <w:t>OSMF in Western countries is seen almost exclusively in South-Asian migrant populations who retain the habit.</w:t>
            </w:r>
          </w:p>
          <w:p>
            <w:pPr>
              <w:spacing w:before="60" w:after="40"/>
            </w:pPr>
            <w:r>
              <w:rPr>
                <w:rFonts w:ascii="Calibri" w:hAnsi="Calibri"/>
                <w:b w:val="0"/>
                <w:i w:val="0"/>
                <w:color w:val="5A5A5A"/>
                <w:sz w:val="18"/>
              </w:rPr>
              <w:t>#diaspora  #migranthealth  #imported  #underrecognised</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Areca-nut / gutka chewing</w:t>
            </w:r>
          </w:p>
        </w:tc>
        <w:tc>
          <w:tcPr>
            <w:tcW w:type="dxa" w:w="2160"/>
            <w:vAlign w:val="top"/>
          </w:tcPr>
          <w:p>
            <w:pPr>
              <w:spacing w:after="40" w:before="0" w:line="259" w:lineRule="auto"/>
            </w:pPr>
            <w:r>
              <w:rPr>
                <w:rFonts w:ascii="Calibri" w:hAnsi="Calibri"/>
                <w:b w:val="0"/>
                <w:i w:val="0"/>
                <w:color w:val="212121"/>
                <w:sz w:val="19"/>
              </w:rPr>
              <w:t>Habitual areca-nut / gutka / pan-masala users</w:t>
            </w:r>
          </w:p>
        </w:tc>
        <w:tc>
          <w:tcPr>
            <w:tcW w:type="dxa" w:w="4276"/>
            <w:vAlign w:val="top"/>
          </w:tcPr>
          <w:p>
            <w:pPr>
              <w:spacing w:after="60" w:line="259" w:lineRule="auto"/>
            </w:pPr>
            <w:r>
              <w:rPr>
                <w:rFonts w:ascii="Calibri" w:hAnsi="Calibri"/>
                <w:b w:val="0"/>
                <w:i w:val="0"/>
                <w:color w:val="212121"/>
                <w:sz w:val="19"/>
              </w:rPr>
              <w:t>The single most important, direct and dose-dependent cause. Arecoline drives fibroblast activation and collagen deposition; risk and severity rise with the number of quids/sachets, duration of habit and retention time in the mouth.</w:t>
            </w:r>
          </w:p>
          <w:p>
            <w:pPr>
              <w:spacing w:after="40" w:before="60" w:line="259" w:lineRule="auto"/>
            </w:pPr>
            <w:r>
              <w:rPr>
                <w:rFonts w:ascii="Calibri" w:hAnsi="Calibri"/>
                <w:b w:val="0"/>
                <w:i w:val="0"/>
                <w:color w:val="212121"/>
                <w:sz w:val="19"/>
              </w:rPr>
              <w:t>A global meta-analysis found a pooled OSMF prevalence of about 5% among areca-nut chewers (15 studies; 929 cases in 53,213 chewers).</w:t>
            </w:r>
          </w:p>
          <w:p>
            <w:pPr>
              <w:spacing w:after="40" w:line="252" w:lineRule="auto"/>
            </w:pPr>
            <w:hyperlink r:id="rId13">
              <w:r>
                <w:rPr>
                  <w:rFonts w:ascii="Calibri" w:hAnsi="Calibri" w:cs="Calibri"/>
                  <w:sz w:val="18"/>
                  <w:color w:val="1155CC"/>
                  <w:u w:val="single"/>
                </w:rPr>
                <w:t xml:space="preserve">pubmed.ncbi.nlm.nih.gov/35503720 - OSMF prevalence among areca-nut chewers</w:t>
              </w:r>
            </w:hyperlink>
          </w:p>
          <w:p>
            <w:pPr>
              <w:spacing w:before="60" w:after="40"/>
            </w:pPr>
            <w:r>
              <w:rPr>
                <w:rFonts w:ascii="Calibri" w:hAnsi="Calibri"/>
                <w:b w:val="0"/>
                <w:i w:val="0"/>
                <w:color w:val="5A5A5A"/>
                <w:sz w:val="18"/>
              </w:rPr>
              <w:t>#arecanut  #arecoline  #doseresponse  #gutka  #coreetiology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Smokeless tobacco co-use</w:t>
            </w:r>
          </w:p>
        </w:tc>
        <w:tc>
          <w:tcPr>
            <w:tcW w:type="dxa" w:w="2160"/>
            <w:vAlign w:val="top"/>
          </w:tcPr>
          <w:p>
            <w:pPr>
              <w:spacing w:after="40" w:before="0" w:line="259" w:lineRule="auto"/>
            </w:pPr>
            <w:r>
              <w:rPr>
                <w:rFonts w:ascii="Calibri" w:hAnsi="Calibri"/>
                <w:b w:val="0"/>
                <w:i w:val="0"/>
                <w:color w:val="212121"/>
                <w:sz w:val="19"/>
              </w:rPr>
              <w:t>Users of gutka/khaini/betel-quid with tobacco</w:t>
            </w:r>
          </w:p>
        </w:tc>
        <w:tc>
          <w:tcPr>
            <w:tcW w:type="dxa" w:w="4276"/>
            <w:vAlign w:val="top"/>
          </w:tcPr>
          <w:p>
            <w:pPr>
              <w:spacing w:after="60" w:line="259" w:lineRule="auto"/>
            </w:pPr>
            <w:r>
              <w:rPr>
                <w:rFonts w:ascii="Calibri" w:hAnsi="Calibri"/>
                <w:b w:val="0"/>
                <w:i w:val="0"/>
                <w:color w:val="212121"/>
                <w:sz w:val="19"/>
              </w:rPr>
              <w:t>Adding tobacco to the areca quid layers tobacco-specific nitrosamines onto the fibrogenic areca injury, worsening progression and sharply increasing the risk of malignant transformation.</w:t>
            </w:r>
          </w:p>
          <w:p>
            <w:pPr>
              <w:spacing w:after="40" w:before="60" w:line="259" w:lineRule="auto"/>
            </w:pPr>
            <w:r>
              <w:rPr>
                <w:rFonts w:ascii="Calibri" w:hAnsi="Calibri"/>
                <w:b w:val="0"/>
                <w:i w:val="0"/>
                <w:color w:val="212121"/>
                <w:sz w:val="19"/>
              </w:rPr>
              <w:t>The Global Adult Tobacco Survey documents very widespread betel-quid and smokeless-tobacco use across India, sustaining a large at-risk reservoir for OSMF.</w:t>
            </w:r>
          </w:p>
          <w:p>
            <w:pPr>
              <w:spacing w:after="40" w:line="252" w:lineRule="auto"/>
            </w:pPr>
            <w:hyperlink r:id="rId14">
              <w:r>
                <w:rPr>
                  <w:rFonts w:ascii="Calibri" w:hAnsi="Calibri" w:cs="Calibri"/>
                  <w:sz w:val="18"/>
                  <w:color w:val="1155CC"/>
                  <w:u w:val="single"/>
                </w:rPr>
                <w:t xml:space="preserve">pubmed.ncbi.nlm.nih.gov/32569539 - Betel-quid use in India (GATS)</w:t>
              </w:r>
            </w:hyperlink>
          </w:p>
          <w:p>
            <w:pPr>
              <w:spacing w:before="60" w:after="40"/>
            </w:pPr>
            <w:r>
              <w:rPr>
                <w:rFonts w:ascii="Calibri" w:hAnsi="Calibri"/>
                <w:b w:val="0"/>
                <w:i w:val="0"/>
                <w:color w:val="5A5A5A"/>
                <w:sz w:val="18"/>
              </w:rPr>
              <w:t>#smokelesstobacco  #khaini  #nitrosamines  #dualhabit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who also chew areca/gutka</w:t>
            </w:r>
          </w:p>
        </w:tc>
        <w:tc>
          <w:tcPr>
            <w:tcW w:type="dxa" w:w="4276"/>
            <w:vAlign w:val="top"/>
          </w:tcPr>
          <w:p>
            <w:pPr>
              <w:spacing w:after="60" w:line="259" w:lineRule="auto"/>
            </w:pPr>
            <w:r>
              <w:rPr>
                <w:rFonts w:ascii="Calibri" w:hAnsi="Calibri"/>
                <w:b w:val="0"/>
                <w:i w:val="0"/>
                <w:color w:val="212121"/>
                <w:sz w:val="19"/>
              </w:rPr>
              <w:t>Concurrent smoking adds further carcinogen exposure and mucosal injury; combined smoked and smokeless habits produce the highest oral-cancer risk in OSMF patients.</w:t>
            </w:r>
          </w:p>
          <w:p>
            <w:pPr>
              <w:spacing w:after="40" w:before="60" w:line="259" w:lineRule="auto"/>
            </w:pPr>
            <w:r>
              <w:rPr>
                <w:rFonts w:ascii="Calibri" w:hAnsi="Calibri"/>
                <w:b w:val="0"/>
                <w:i w:val="0"/>
                <w:color w:val="212121"/>
                <w:sz w:val="19"/>
              </w:rPr>
              <w:t>Combined tobacco habits act synergistically with areca nut to accelerate dysplasia and cancer risk.</w:t>
            </w:r>
          </w:p>
          <w:p>
            <w:pPr>
              <w:spacing w:before="60" w:after="40"/>
            </w:pPr>
            <w:r>
              <w:rPr>
                <w:rFonts w:ascii="Calibri" w:hAnsi="Calibri"/>
                <w:b w:val="0"/>
                <w:i w:val="0"/>
                <w:color w:val="5A5A5A"/>
                <w:sz w:val="18"/>
              </w:rPr>
              <w:t>#smoking  #dualuse  #synergy  #carcinogen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alcohol users with areca/tobacco habit</w:t>
            </w:r>
          </w:p>
        </w:tc>
        <w:tc>
          <w:tcPr>
            <w:tcW w:type="dxa" w:w="4276"/>
            <w:vAlign w:val="top"/>
          </w:tcPr>
          <w:p>
            <w:pPr>
              <w:spacing w:after="60" w:line="259" w:lineRule="auto"/>
            </w:pPr>
            <w:r>
              <w:rPr>
                <w:rFonts w:ascii="Calibri" w:hAnsi="Calibri"/>
                <w:b w:val="0"/>
                <w:i w:val="0"/>
                <w:color w:val="212121"/>
                <w:sz w:val="19"/>
              </w:rPr>
              <w:t>Alcohol is a recognised synergistic mucosal carcinogen; combined with areca nut and tobacco it multiplies the risk of malignant transformation in OSMF.</w:t>
            </w:r>
          </w:p>
          <w:p>
            <w:pPr>
              <w:spacing w:after="40" w:before="60" w:line="259" w:lineRule="auto"/>
            </w:pPr>
            <w:r>
              <w:rPr>
                <w:rFonts w:ascii="Calibri" w:hAnsi="Calibri"/>
                <w:b w:val="0"/>
                <w:i w:val="0"/>
                <w:color w:val="212121"/>
                <w:sz w:val="19"/>
              </w:rPr>
              <w:t>Alcohol combined with areca/tobacco use compounds the risk of oral squamous cell carcinoma.</w:t>
            </w:r>
          </w:p>
          <w:p>
            <w:pPr>
              <w:spacing w:before="60" w:after="40"/>
            </w:pPr>
            <w:r>
              <w:rPr>
                <w:rFonts w:ascii="Calibri" w:hAnsi="Calibri"/>
                <w:b w:val="0"/>
                <w:i w:val="0"/>
                <w:color w:val="5A5A5A"/>
                <w:sz w:val="18"/>
              </w:rPr>
              <w:t>#alcohol  #synergy  #oralcancer  #cofactor</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Spicy / chilli-rich diet</w:t>
            </w:r>
          </w:p>
        </w:tc>
        <w:tc>
          <w:tcPr>
            <w:tcW w:type="dxa" w:w="2160"/>
            <w:vAlign w:val="top"/>
          </w:tcPr>
          <w:p>
            <w:pPr>
              <w:spacing w:after="40" w:before="0" w:line="259" w:lineRule="auto"/>
            </w:pPr>
            <w:r>
              <w:rPr>
                <w:rFonts w:ascii="Calibri" w:hAnsi="Calibri"/>
                <w:b w:val="0"/>
                <w:i w:val="0"/>
                <w:color w:val="212121"/>
                <w:sz w:val="19"/>
              </w:rPr>
              <w:t>Heavy chilli/capsaicin consumers</w:t>
            </w:r>
          </w:p>
        </w:tc>
        <w:tc>
          <w:tcPr>
            <w:tcW w:type="dxa" w:w="4276"/>
            <w:vAlign w:val="top"/>
          </w:tcPr>
          <w:p>
            <w:pPr>
              <w:spacing w:after="60" w:line="259" w:lineRule="auto"/>
            </w:pPr>
            <w:r>
              <w:rPr>
                <w:rFonts w:ascii="Calibri" w:hAnsi="Calibri"/>
                <w:b w:val="0"/>
                <w:i w:val="0"/>
                <w:color w:val="212121"/>
                <w:sz w:val="19"/>
              </w:rPr>
              <w:t>Capsaicin causes chronic chemical irritation of the mucosa, contributing to the juxta-epithelial inflammation and the burning sensation that is often the earliest OSMF symptom, and acting as a co-factor with areca nut.</w:t>
            </w:r>
          </w:p>
          <w:p>
            <w:pPr>
              <w:spacing w:after="40" w:before="60" w:line="259" w:lineRule="auto"/>
            </w:pPr>
            <w:r>
              <w:rPr>
                <w:rFonts w:ascii="Calibri" w:hAnsi="Calibri"/>
                <w:b w:val="0"/>
                <w:i w:val="0"/>
                <w:color w:val="212121"/>
                <w:sz w:val="19"/>
              </w:rPr>
              <w:t>Chronic chilli/capsaicin exposure is a recognised irritant co-factor in OSMF.</w:t>
            </w:r>
          </w:p>
          <w:p>
            <w:pPr>
              <w:spacing w:before="60" w:after="40"/>
            </w:pPr>
            <w:r>
              <w:rPr>
                <w:rFonts w:ascii="Calibri" w:hAnsi="Calibri"/>
                <w:b w:val="0"/>
                <w:i w:val="0"/>
                <w:color w:val="5A5A5A"/>
                <w:sz w:val="18"/>
              </w:rPr>
              <w:t>#capsaicin  #chilli  #mucosalirritation  #burningsensation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Micronutrient-poor diet</w:t>
            </w:r>
          </w:p>
        </w:tc>
        <w:tc>
          <w:tcPr>
            <w:tcW w:type="dxa" w:w="2160"/>
            <w:vAlign w:val="top"/>
          </w:tcPr>
          <w:p>
            <w:pPr>
              <w:spacing w:after="40" w:before="0" w:line="259" w:lineRule="auto"/>
            </w:pPr>
            <w:r>
              <w:rPr>
                <w:rFonts w:ascii="Calibri" w:hAnsi="Calibri"/>
                <w:b w:val="0"/>
                <w:i w:val="0"/>
                <w:color w:val="212121"/>
                <w:sz w:val="19"/>
              </w:rPr>
              <w:t>Iron-/vitamin-deficient, low-income, vegetarian diets</w:t>
            </w:r>
          </w:p>
        </w:tc>
        <w:tc>
          <w:tcPr>
            <w:tcW w:type="dxa" w:w="4276"/>
            <w:vAlign w:val="top"/>
          </w:tcPr>
          <w:p>
            <w:pPr>
              <w:spacing w:after="60" w:line="259" w:lineRule="auto"/>
            </w:pPr>
            <w:r>
              <w:rPr>
                <w:rFonts w:ascii="Calibri" w:hAnsi="Calibri"/>
                <w:b w:val="0"/>
                <w:i w:val="0"/>
                <w:color w:val="212121"/>
                <w:sz w:val="19"/>
              </w:rPr>
              <w:t>Diets low in iron, zinc and vitamins (and coexisting anaemia) impair mucosal repair and epithelial integrity, increasing susceptibility; painful restricted eating then worsens nutrition further.</w:t>
            </w:r>
          </w:p>
          <w:p>
            <w:pPr>
              <w:spacing w:after="40" w:before="60" w:line="259" w:lineRule="auto"/>
            </w:pPr>
            <w:r>
              <w:rPr>
                <w:rFonts w:ascii="Calibri" w:hAnsi="Calibri"/>
                <w:b w:val="0"/>
                <w:i w:val="0"/>
                <w:color w:val="212121"/>
                <w:sz w:val="19"/>
              </w:rPr>
              <w:t>Iron and micronutrient deficiency impair mucosal healing and are commonly associated with OSMF.</w:t>
            </w:r>
          </w:p>
          <w:p>
            <w:pPr>
              <w:spacing w:before="60" w:after="40"/>
            </w:pPr>
            <w:r>
              <w:rPr>
                <w:rFonts w:ascii="Calibri" w:hAnsi="Calibri"/>
                <w:b w:val="0"/>
                <w:i w:val="0"/>
                <w:color w:val="5A5A5A"/>
                <w:sz w:val="18"/>
              </w:rPr>
              <w:t>#irondeficiency  #anaemia  #micronutrients  #mucosalrepair</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Genetic / immunological susceptibility</w:t>
            </w:r>
          </w:p>
        </w:tc>
        <w:tc>
          <w:tcPr>
            <w:tcW w:type="dxa" w:w="2160"/>
            <w:vAlign w:val="top"/>
          </w:tcPr>
          <w:p>
            <w:pPr>
              <w:spacing w:after="40" w:before="0" w:line="259" w:lineRule="auto"/>
            </w:pPr>
            <w:r>
              <w:rPr>
                <w:rFonts w:ascii="Calibri" w:hAnsi="Calibri"/>
                <w:b w:val="0"/>
                <w:i w:val="0"/>
                <w:color w:val="212121"/>
                <w:sz w:val="19"/>
              </w:rPr>
              <w:t>Chewers with susceptible HLA / fibrogenic genotype</w:t>
            </w:r>
          </w:p>
        </w:tc>
        <w:tc>
          <w:tcPr>
            <w:tcW w:type="dxa" w:w="4276"/>
            <w:vAlign w:val="top"/>
          </w:tcPr>
          <w:p>
            <w:pPr>
              <w:spacing w:after="60" w:line="259" w:lineRule="auto"/>
            </w:pPr>
            <w:r>
              <w:rPr>
                <w:rFonts w:ascii="Calibri" w:hAnsi="Calibri"/>
                <w:b w:val="0"/>
                <w:i w:val="0"/>
                <w:color w:val="212121"/>
                <w:sz w:val="19"/>
              </w:rPr>
              <w:t>Only a subset of chewers develop OSMF, pointing to inherited susceptibility - HLA associations and altered TGF-beta, collagen and matrix-metalloproteinase pathways determine who progresses to fibrosis.</w:t>
            </w:r>
          </w:p>
          <w:p>
            <w:pPr>
              <w:spacing w:after="40" w:before="60" w:line="259" w:lineRule="auto"/>
            </w:pPr>
            <w:r>
              <w:rPr>
                <w:rFonts w:ascii="Calibri" w:hAnsi="Calibri"/>
                <w:b w:val="0"/>
                <w:i w:val="0"/>
                <w:color w:val="212121"/>
                <w:sz w:val="19"/>
              </w:rPr>
              <w:t>Arecoline up-regulates TGF-beta and collagen synthesis while copper activates lysyl oxidase to cross-link collagen - the core fibrogenic mechanism modulated by host genetics.</w:t>
            </w:r>
          </w:p>
          <w:p>
            <w:pPr>
              <w:spacing w:after="40" w:line="252" w:lineRule="auto"/>
            </w:pPr>
            <w:hyperlink r:id="rId15">
              <w:r>
                <w:rPr>
                  <w:rFonts w:ascii="Calibri" w:hAnsi="Calibri" w:cs="Calibri"/>
                  <w:sz w:val="18"/>
                  <w:color w:val="1155CC"/>
                  <w:u w:val="single"/>
                </w:rPr>
                <w:t xml:space="preserve">pubmed.ncbi.nlm.nih.gov/36902423 - OSMF etiological mechanism &amp; targets</w:t>
              </w:r>
            </w:hyperlink>
          </w:p>
          <w:p>
            <w:pPr>
              <w:spacing w:before="60" w:after="40"/>
            </w:pPr>
            <w:r>
              <w:rPr>
                <w:rFonts w:ascii="Calibri" w:hAnsi="Calibri"/>
                <w:b w:val="0"/>
                <w:i w:val="0"/>
                <w:color w:val="5A5A5A"/>
                <w:sz w:val="18"/>
              </w:rPr>
              <w:t>#HLA  #TGFbeta  #geneticsusceptibility  #fibrogenesis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Oral leukoplakia / other OPMD</w:t>
            </w:r>
          </w:p>
        </w:tc>
        <w:tc>
          <w:tcPr>
            <w:tcW w:type="dxa" w:w="2160"/>
            <w:vAlign w:val="top"/>
          </w:tcPr>
          <w:p>
            <w:pPr>
              <w:spacing w:after="40" w:before="0" w:line="259" w:lineRule="auto"/>
            </w:pPr>
            <w:r>
              <w:rPr>
                <w:rFonts w:ascii="Calibri" w:hAnsi="Calibri"/>
                <w:b w:val="0"/>
                <w:i w:val="0"/>
                <w:color w:val="212121"/>
                <w:sz w:val="19"/>
              </w:rPr>
              <w:t>Chewers with coexisting leukoplakia</w:t>
            </w:r>
          </w:p>
        </w:tc>
        <w:tc>
          <w:tcPr>
            <w:tcW w:type="dxa" w:w="4276"/>
            <w:vAlign w:val="top"/>
          </w:tcPr>
          <w:p>
            <w:pPr>
              <w:spacing w:after="60" w:line="259" w:lineRule="auto"/>
            </w:pPr>
            <w:r>
              <w:rPr>
                <w:rFonts w:ascii="Calibri" w:hAnsi="Calibri"/>
                <w:b w:val="0"/>
                <w:i w:val="0"/>
                <w:color w:val="212121"/>
                <w:sz w:val="19"/>
              </w:rPr>
              <w:t>OSMF frequently coexists with other oral potentially malignant disorders such as leukoplakia because they share the same areca/tobacco aetiology; concurrent lesions markedly raise the overall risk of oral cancer.</w:t>
            </w:r>
          </w:p>
          <w:p>
            <w:pPr>
              <w:spacing w:after="40" w:before="60" w:line="259" w:lineRule="auto"/>
            </w:pPr>
            <w:r>
              <w:rPr>
                <w:rFonts w:ascii="Calibri" w:hAnsi="Calibri"/>
                <w:b w:val="0"/>
                <w:i w:val="0"/>
                <w:color w:val="212121"/>
                <w:sz w:val="19"/>
              </w:rPr>
              <w:t>OSMF commonly coexists with leukoplakia and other potentially malignant disorders driven by the same habits.</w:t>
            </w:r>
          </w:p>
          <w:p>
            <w:pPr>
              <w:spacing w:after="40" w:line="252" w:lineRule="auto"/>
            </w:pPr>
            <w:hyperlink r:id="rId16">
              <w:r>
                <w:rPr>
                  <w:rFonts w:ascii="Calibri" w:hAnsi="Calibri" w:cs="Calibri"/>
                  <w:sz w:val="18"/>
                  <w:color w:val="1155CC"/>
                  <w:u w:val="single"/>
                </w:rPr>
                <w:t xml:space="preserve">pubmed.ncbi.nlm.nih.gov/35517828 - Oral potentially malignant disorders</w:t>
              </w:r>
            </w:hyperlink>
          </w:p>
          <w:p>
            <w:pPr>
              <w:spacing w:before="60" w:after="40"/>
            </w:pPr>
            <w:r>
              <w:rPr>
                <w:rFonts w:ascii="Calibri" w:hAnsi="Calibri"/>
                <w:b w:val="0"/>
                <w:i w:val="0"/>
                <w:color w:val="5A5A5A"/>
                <w:sz w:val="18"/>
              </w:rPr>
              <w:t>#leukoplakia  #OPMD  #fieldchange  #coexisting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Iron-deficiency anaemia</w:t>
            </w:r>
          </w:p>
        </w:tc>
        <w:tc>
          <w:tcPr>
            <w:tcW w:type="dxa" w:w="2160"/>
            <w:vAlign w:val="top"/>
          </w:tcPr>
          <w:p>
            <w:pPr>
              <w:spacing w:after="40" w:before="0" w:line="259" w:lineRule="auto"/>
            </w:pPr>
            <w:r>
              <w:rPr>
                <w:rFonts w:ascii="Calibri" w:hAnsi="Calibri"/>
                <w:b w:val="0"/>
                <w:i w:val="0"/>
                <w:color w:val="212121"/>
                <w:sz w:val="19"/>
              </w:rPr>
              <w:t>Anaemic / nutritionally deficient patients</w:t>
            </w:r>
          </w:p>
        </w:tc>
        <w:tc>
          <w:tcPr>
            <w:tcW w:type="dxa" w:w="4276"/>
            <w:vAlign w:val="top"/>
          </w:tcPr>
          <w:p>
            <w:pPr>
              <w:spacing w:after="60" w:line="259" w:lineRule="auto"/>
            </w:pPr>
            <w:r>
              <w:rPr>
                <w:rFonts w:ascii="Calibri" w:hAnsi="Calibri"/>
                <w:b w:val="0"/>
                <w:i w:val="0"/>
                <w:color w:val="212121"/>
                <w:sz w:val="19"/>
              </w:rPr>
              <w:t>Iron-deficiency anaemia and OSMF share a bidirectional link: deficiency weakens the mucosal barrier and predisposes to fibrosis, while painful, restricted eating in established OSMF worsens iron and nutrient intake.</w:t>
            </w:r>
          </w:p>
          <w:p>
            <w:pPr>
              <w:spacing w:after="40" w:before="60" w:line="259" w:lineRule="auto"/>
            </w:pPr>
            <w:r>
              <w:rPr>
                <w:rFonts w:ascii="Calibri" w:hAnsi="Calibri"/>
                <w:b w:val="0"/>
                <w:i w:val="0"/>
                <w:color w:val="212121"/>
                <w:sz w:val="19"/>
              </w:rPr>
              <w:t>Iron-deficiency anaemia is a recognised associated and aggravating condition in OSMF.</w:t>
            </w:r>
          </w:p>
          <w:p>
            <w:pPr>
              <w:spacing w:before="60" w:after="40"/>
            </w:pPr>
            <w:r>
              <w:rPr>
                <w:rFonts w:ascii="Calibri" w:hAnsi="Calibri"/>
                <w:b w:val="0"/>
                <w:i w:val="0"/>
                <w:color w:val="5A5A5A"/>
                <w:sz w:val="18"/>
              </w:rPr>
              <w:t>#anaemia  #irondeficiency  #bidirectional  #nutrition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Oral squamous cell carcinoma</w:t>
            </w:r>
          </w:p>
        </w:tc>
        <w:tc>
          <w:tcPr>
            <w:tcW w:type="dxa" w:w="2160"/>
            <w:vAlign w:val="top"/>
          </w:tcPr>
          <w:p>
            <w:pPr>
              <w:spacing w:after="40" w:before="0" w:line="259" w:lineRule="auto"/>
            </w:pPr>
            <w:r>
              <w:rPr>
                <w:rFonts w:ascii="Calibri" w:hAnsi="Calibri"/>
                <w:b w:val="0"/>
                <w:i w:val="0"/>
                <w:color w:val="212121"/>
                <w:sz w:val="19"/>
              </w:rPr>
              <w:t>Long-standing OSMF with dysplasia</w:t>
            </w:r>
          </w:p>
        </w:tc>
        <w:tc>
          <w:tcPr>
            <w:tcW w:type="dxa" w:w="4276"/>
            <w:vAlign w:val="top"/>
          </w:tcPr>
          <w:p>
            <w:pPr>
              <w:spacing w:after="60" w:line="259" w:lineRule="auto"/>
            </w:pPr>
            <w:r>
              <w:rPr>
                <w:rFonts w:ascii="Calibri" w:hAnsi="Calibri"/>
                <w:b w:val="0"/>
                <w:i w:val="0"/>
                <w:color w:val="212121"/>
                <w:sz w:val="19"/>
              </w:rPr>
              <w:t>OSMF is an established precursor of oral squamous cell carcinoma; malignant transformation is the most serious outcome and the reason lifelong surveillance is required.</w:t>
            </w:r>
          </w:p>
          <w:p>
            <w:pPr>
              <w:spacing w:after="40" w:before="60" w:line="259" w:lineRule="auto"/>
            </w:pPr>
            <w:r>
              <w:rPr>
                <w:rFonts w:ascii="Calibri" w:hAnsi="Calibri"/>
                <w:b w:val="0"/>
                <w:i w:val="0"/>
                <w:color w:val="212121"/>
                <w:sz w:val="19"/>
              </w:rPr>
              <w:t>Systematic reviews confirm OSMF as a potentially malignant disorder with a definite transformation risk to oral cancer.</w:t>
            </w:r>
          </w:p>
          <w:p>
            <w:pPr>
              <w:spacing w:after="40" w:line="252" w:lineRule="auto"/>
            </w:pPr>
            <w:hyperlink r:id="rId17">
              <w:r>
                <w:rPr>
                  <w:rFonts w:ascii="Calibri" w:hAnsi="Calibri" w:cs="Calibri"/>
                  <w:sz w:val="18"/>
                  <w:color w:val="1155CC"/>
                  <w:u w:val="single"/>
                </w:rPr>
                <w:t xml:space="preserve">pubmed.ncbi.nlm.nih.gov/33205543 - Malignant transformation of OSMF (review)</w:t>
              </w:r>
            </w:hyperlink>
          </w:p>
          <w:p>
            <w:pPr>
              <w:spacing w:before="60" w:after="40"/>
            </w:pPr>
            <w:r>
              <w:rPr>
                <w:rFonts w:ascii="Calibri" w:hAnsi="Calibri"/>
                <w:b w:val="0"/>
                <w:i w:val="0"/>
                <w:color w:val="5A5A5A"/>
                <w:sz w:val="18"/>
              </w:rPr>
              <w:t>#oralcancer  #OSCC  #malignanttransformation  #surveillance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periodontitis / poor oral health</w:t>
            </w:r>
          </w:p>
        </w:tc>
        <w:tc>
          <w:tcPr>
            <w:tcW w:type="dxa" w:w="2160"/>
            <w:vAlign w:val="top"/>
          </w:tcPr>
          <w:p>
            <w:pPr>
              <w:spacing w:after="40" w:before="0" w:line="259" w:lineRule="auto"/>
            </w:pPr>
            <w:r>
              <w:rPr>
                <w:rFonts w:ascii="Calibri" w:hAnsi="Calibri"/>
                <w:b w:val="0"/>
                <w:i w:val="0"/>
                <w:color w:val="212121"/>
                <w:sz w:val="19"/>
              </w:rPr>
              <w:t>OSMF with trismus-limited hygiene</w:t>
            </w:r>
          </w:p>
        </w:tc>
        <w:tc>
          <w:tcPr>
            <w:tcW w:type="dxa" w:w="4276"/>
            <w:vAlign w:val="top"/>
          </w:tcPr>
          <w:p>
            <w:pPr>
              <w:spacing w:after="60" w:line="259" w:lineRule="auto"/>
            </w:pPr>
            <w:r>
              <w:rPr>
                <w:rFonts w:ascii="Calibri" w:hAnsi="Calibri"/>
                <w:b w:val="0"/>
                <w:i w:val="0"/>
                <w:color w:val="212121"/>
                <w:sz w:val="19"/>
              </w:rPr>
              <w:t>Progressive trismus makes tooth-brushing and dental access difficult, and retained gutka plus the shared habit worsen periodontal disease, caries and tooth loss.</w:t>
            </w:r>
          </w:p>
          <w:p>
            <w:pPr>
              <w:spacing w:after="40" w:before="60" w:line="259" w:lineRule="auto"/>
            </w:pPr>
            <w:r>
              <w:rPr>
                <w:rFonts w:ascii="Calibri" w:hAnsi="Calibri"/>
                <w:b w:val="0"/>
                <w:i w:val="0"/>
                <w:color w:val="212121"/>
                <w:sz w:val="19"/>
              </w:rPr>
              <w:t>Reduced mouth opening and gutka retention promote periodontal disease and impaired oral hygiene.</w:t>
            </w:r>
          </w:p>
          <w:p>
            <w:pPr>
              <w:spacing w:before="60" w:after="40"/>
            </w:pPr>
            <w:r>
              <w:rPr>
                <w:rFonts w:ascii="Calibri" w:hAnsi="Calibri"/>
                <w:b w:val="0"/>
                <w:i w:val="0"/>
                <w:color w:val="5A5A5A"/>
                <w:sz w:val="18"/>
              </w:rPr>
              <w:t>#periodontitis  #trismus  #oralhygiene  #toothloss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has no established direct role in OSMF pathogenesis; however, jaw and mouth-opening physiotherapy is central to treating trismus, and general fitness supports mucosal healing.</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Chilli/capsaicin and hot, spicy food are recognised mucosal irritant co-factors, while iron, zinc and vitamin deficiency (and anaemia) impair mucosal repair and increase susceptibility to fibrosis.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link between sleep and OSMF is established; advanced disease with pain or associated cancer can disrupt sleep, and poor rest may aggravate stress-driven chewing.</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Smoked and (especially) smokeless tobacco added to the areca quid layer carcinogenic nitrosamines onto the fibrogenic injury, accelerating progression and malignant transformation.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is a synergistic mucosal carcinogen; combined with areca nut and tobacco it multiplies the risk of oral squamous cell carcinoma, though its independent role in fibrosis is modest.</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Areca nut is addictive; stress and anxiety drive habitual chewing, while trismus, disfigurement and fear of cancer cause significant psychological distress and complicate cessation.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has no established direct role; adequate fluids and saliva substitutes can ease the oral dryness and burning that accompany mucosal atrophy.</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association between caffeine intake and OSMF risk or progression.</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Trismus limits tooth-brushing and dental access, and retained gutka worsens periodontal disease; good oral hygiene reduces secondary infection and supports surveillance for malignancy.</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Chewing areca nut, gutka, pan-masala or betel quid is the direct provoking agent - each exposure re-triggers juxta-epithelial inflammation and fibrosis; spicy food provokes the burning sensation.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Areca-nut / gutka sachets or quids per day</w:t>
            </w:r>
          </w:p>
        </w:tc>
        <w:tc>
          <w:tcPr>
            <w:tcW w:type="dxa" w:w="1655"/>
            <w:vAlign w:val="top"/>
          </w:tcPr>
          <w:p>
            <w:pPr>
              <w:spacing w:after="40" w:before="0" w:line="259" w:lineRule="auto"/>
            </w:pPr>
            <w:r>
              <w:rPr>
                <w:rFonts w:ascii="Calibri" w:hAnsi="Calibri"/>
                <w:b w:val="0"/>
                <w:i w:val="0"/>
                <w:color w:val="212121"/>
                <w:sz w:val="19"/>
              </w:rPr>
              <w:t>Chewers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&gt;= 1 sachet/quid per day</w:t>
            </w:r>
          </w:p>
        </w:tc>
        <w:tc>
          <w:tcPr>
            <w:tcW w:type="dxa" w:w="1468"/>
            <w:vAlign w:val="top"/>
          </w:tcPr>
          <w:p>
            <w:pPr>
              <w:spacing w:after="60" w:line="259" w:lineRule="auto"/>
            </w:pPr>
            <w:r>
              <w:rPr>
                <w:rFonts w:ascii="Calibri" w:hAnsi="Calibri"/>
                <w:b w:val="0"/>
                <w:i w:val="0"/>
                <w:color w:val="212121"/>
                <w:sz w:val="19"/>
              </w:rPr>
              <w:t>Clear dose-response - risk and severity of OSMF rise with the number chewed.</w:t>
            </w:r>
          </w:p>
          <w:p>
            <w:pPr>
              <w:spacing w:after="40" w:line="252" w:lineRule="auto"/>
            </w:pPr>
            <w:hyperlink r:id="rId13">
              <w:r>
                <w:rPr>
                  <w:rFonts w:ascii="Calibri" w:hAnsi="Calibri" w:cs="Calibri"/>
                  <w:sz w:val="18"/>
                  <w:color w:val="1155CC"/>
                  <w:u w:val="single"/>
                </w:rPr>
                <w:t xml:space="preserve">https://pubmed.ncbi.nlm.nih.gov/35503720/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Duration of chewing habit (years)</w:t>
            </w:r>
          </w:p>
        </w:tc>
        <w:tc>
          <w:tcPr>
            <w:tcW w:type="dxa" w:w="1655"/>
            <w:vAlign w:val="top"/>
          </w:tcPr>
          <w:p>
            <w:pPr>
              <w:spacing w:after="40" w:before="0" w:line="259" w:lineRule="auto"/>
            </w:pPr>
            <w:r>
              <w:rPr>
                <w:rFonts w:ascii="Calibri" w:hAnsi="Calibri"/>
                <w:b w:val="0"/>
                <w:i w:val="0"/>
                <w:color w:val="212121"/>
                <w:sz w:val="19"/>
              </w:rPr>
              <w:t>Chewers</w:t>
            </w:r>
          </w:p>
        </w:tc>
        <w:tc>
          <w:tcPr>
            <w:tcW w:type="dxa" w:w="1512"/>
            <w:vAlign w:val="top"/>
          </w:tcPr>
          <w:p>
            <w:pPr>
              <w:spacing w:after="40" w:before="0" w:line="259" w:lineRule="auto"/>
            </w:pPr>
            <w:r>
              <w:rPr>
                <w:rFonts w:ascii="Calibri" w:hAnsi="Calibri"/>
                <w:b w:val="0"/>
                <w:i w:val="0"/>
                <w:color w:val="212121"/>
                <w:sz w:val="19"/>
              </w:rPr>
              <w:t>0 (non-chewer)</w:t>
            </w:r>
          </w:p>
        </w:tc>
        <w:tc>
          <w:tcPr>
            <w:tcW w:type="dxa" w:w="1512"/>
            <w:vAlign w:val="top"/>
          </w:tcPr>
          <w:p>
            <w:pPr>
              <w:spacing w:after="40" w:before="0" w:line="259" w:lineRule="auto"/>
            </w:pPr>
            <w:r>
              <w:rPr>
                <w:rFonts w:ascii="Calibri" w:hAnsi="Calibri"/>
                <w:b w:val="0"/>
                <w:i w:val="0"/>
                <w:color w:val="212121"/>
                <w:sz w:val="19"/>
              </w:rPr>
              <w:t>Habitual use over months to years</w:t>
            </w:r>
          </w:p>
        </w:tc>
        <w:tc>
          <w:tcPr>
            <w:tcW w:type="dxa" w:w="1468"/>
            <w:vAlign w:val="top"/>
          </w:tcPr>
          <w:p>
            <w:pPr>
              <w:spacing w:after="40" w:before="0" w:line="259" w:lineRule="auto"/>
            </w:pPr>
            <w:r>
              <w:rPr>
                <w:rFonts w:ascii="Calibri" w:hAnsi="Calibri"/>
                <w:b w:val="0"/>
                <w:i w:val="0"/>
                <w:color w:val="212121"/>
                <w:sz w:val="19"/>
              </w:rPr>
              <w:t>Cumulative exposure drives progressive, often irreversible fibrosis.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Retention / contact time per quid (minutes)</w:t>
            </w:r>
          </w:p>
        </w:tc>
        <w:tc>
          <w:tcPr>
            <w:tcW w:type="dxa" w:w="1655"/>
            <w:vAlign w:val="top"/>
          </w:tcPr>
          <w:p>
            <w:pPr>
              <w:spacing w:after="40" w:before="0" w:line="259" w:lineRule="auto"/>
            </w:pPr>
            <w:r>
              <w:rPr>
                <w:rFonts w:ascii="Calibri" w:hAnsi="Calibri"/>
                <w:b w:val="0"/>
                <w:i w:val="0"/>
                <w:color w:val="212121"/>
                <w:sz w:val="19"/>
              </w:rPr>
              <w:t>Chewers</w:t>
            </w:r>
          </w:p>
        </w:tc>
        <w:tc>
          <w:tcPr>
            <w:tcW w:type="dxa" w:w="1512"/>
            <w:vAlign w:val="top"/>
          </w:tcPr>
          <w:p>
            <w:pPr>
              <w:spacing w:after="40" w:before="0" w:line="259" w:lineRule="auto"/>
            </w:pPr>
            <w:r>
              <w:rPr>
                <w:rFonts w:ascii="Calibri" w:hAnsi="Calibri"/>
                <w:b w:val="0"/>
                <w:i w:val="0"/>
                <w:color w:val="212121"/>
                <w:sz w:val="19"/>
              </w:rPr>
              <w:t>No chewing</w:t>
            </w:r>
          </w:p>
        </w:tc>
        <w:tc>
          <w:tcPr>
            <w:tcW w:type="dxa" w:w="1512"/>
            <w:vAlign w:val="top"/>
          </w:tcPr>
          <w:p>
            <w:pPr>
              <w:spacing w:after="40" w:before="0" w:line="259" w:lineRule="auto"/>
            </w:pPr>
            <w:r>
              <w:rPr>
                <w:rFonts w:ascii="Calibri" w:hAnsi="Calibri"/>
                <w:b w:val="0"/>
                <w:i w:val="0"/>
                <w:color w:val="212121"/>
                <w:sz w:val="19"/>
              </w:rPr>
              <w:t>Prolonged retention in the buccal sulcus</w:t>
            </w:r>
          </w:p>
        </w:tc>
        <w:tc>
          <w:tcPr>
            <w:tcW w:type="dxa" w:w="1468"/>
            <w:vAlign w:val="top"/>
          </w:tcPr>
          <w:p>
            <w:pPr>
              <w:spacing w:after="40" w:before="0" w:line="259" w:lineRule="auto"/>
            </w:pPr>
            <w:r>
              <w:rPr>
                <w:rFonts w:ascii="Calibri" w:hAnsi="Calibri"/>
                <w:b w:val="0"/>
                <w:i w:val="0"/>
                <w:color w:val="212121"/>
                <w:sz w:val="19"/>
              </w:rPr>
              <w:t>Longer mucosal contact intensifies local fibrogenesis at the retention site.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Maximal interincisal mouth opening (mm)</w:t>
            </w:r>
          </w:p>
        </w:tc>
        <w:tc>
          <w:tcPr>
            <w:tcW w:type="dxa" w:w="1655"/>
            <w:vAlign w:val="top"/>
          </w:tcPr>
          <w:p>
            <w:pPr>
              <w:spacing w:after="40" w:before="0" w:line="259" w:lineRule="auto"/>
            </w:pPr>
            <w:r>
              <w:rPr>
                <w:rFonts w:ascii="Calibri" w:hAnsi="Calibri"/>
                <w:b w:val="0"/>
                <w:i w:val="0"/>
                <w:color w:val="212121"/>
                <w:sz w:val="19"/>
              </w:rPr>
              <w:t>OSMF patients</w:t>
            </w:r>
          </w:p>
        </w:tc>
        <w:tc>
          <w:tcPr>
            <w:tcW w:type="dxa" w:w="1512"/>
            <w:vAlign w:val="top"/>
          </w:tcPr>
          <w:p>
            <w:pPr>
              <w:spacing w:after="40" w:before="0" w:line="259" w:lineRule="auto"/>
            </w:pPr>
            <w:r>
              <w:rPr>
                <w:rFonts w:ascii="Calibri" w:hAnsi="Calibri"/>
                <w:b w:val="0"/>
                <w:i w:val="0"/>
                <w:color w:val="212121"/>
                <w:sz w:val="19"/>
              </w:rPr>
              <w:t>&gt;= 35-40 mm</w:t>
            </w:r>
          </w:p>
        </w:tc>
        <w:tc>
          <w:tcPr>
            <w:tcW w:type="dxa" w:w="1512"/>
            <w:vAlign w:val="top"/>
          </w:tcPr>
          <w:p>
            <w:pPr>
              <w:spacing w:after="40" w:before="0" w:line="259" w:lineRule="auto"/>
            </w:pPr>
            <w:r>
              <w:rPr>
                <w:rFonts w:ascii="Calibri" w:hAnsi="Calibri"/>
                <w:b w:val="0"/>
                <w:i w:val="0"/>
                <w:color w:val="212121"/>
                <w:sz w:val="19"/>
              </w:rPr>
              <w:t>&lt; 35 mm (early); &lt; 15 mm (advanced)</w:t>
            </w:r>
          </w:p>
        </w:tc>
        <w:tc>
          <w:tcPr>
            <w:tcW w:type="dxa" w:w="1468"/>
            <w:vAlign w:val="top"/>
          </w:tcPr>
          <w:p>
            <w:pPr>
              <w:spacing w:after="40" w:before="0" w:line="259" w:lineRule="auto"/>
            </w:pPr>
            <w:r>
              <w:rPr>
                <w:rFonts w:ascii="Calibri" w:hAnsi="Calibri"/>
                <w:b w:val="0"/>
                <w:i w:val="0"/>
                <w:color w:val="212121"/>
                <w:sz w:val="19"/>
              </w:rPr>
              <w:t>Primary clinical measure of severity and of response to treatment.</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Tongue protrusion &amp; cheek distensibility</w:t>
            </w:r>
          </w:p>
        </w:tc>
        <w:tc>
          <w:tcPr>
            <w:tcW w:type="dxa" w:w="1655"/>
            <w:vAlign w:val="top"/>
          </w:tcPr>
          <w:p>
            <w:pPr>
              <w:spacing w:after="40" w:before="0" w:line="259" w:lineRule="auto"/>
            </w:pPr>
            <w:r>
              <w:rPr>
                <w:rFonts w:ascii="Calibri" w:hAnsi="Calibri"/>
                <w:b w:val="0"/>
                <w:i w:val="0"/>
                <w:color w:val="212121"/>
                <w:sz w:val="19"/>
              </w:rPr>
              <w:t>OSMF patients</w:t>
            </w:r>
          </w:p>
        </w:tc>
        <w:tc>
          <w:tcPr>
            <w:tcW w:type="dxa" w:w="1512"/>
            <w:vAlign w:val="top"/>
          </w:tcPr>
          <w:p>
            <w:pPr>
              <w:spacing w:after="40" w:before="0" w:line="259" w:lineRule="auto"/>
            </w:pPr>
            <w:r>
              <w:rPr>
                <w:rFonts w:ascii="Calibri" w:hAnsi="Calibri"/>
                <w:b w:val="0"/>
                <w:i w:val="0"/>
                <w:color w:val="212121"/>
                <w:sz w:val="19"/>
              </w:rPr>
              <w:t>Full, unrestricted</w:t>
            </w:r>
          </w:p>
        </w:tc>
        <w:tc>
          <w:tcPr>
            <w:tcW w:type="dxa" w:w="1512"/>
            <w:vAlign w:val="top"/>
          </w:tcPr>
          <w:p>
            <w:pPr>
              <w:spacing w:after="40" w:before="0" w:line="259" w:lineRule="auto"/>
            </w:pPr>
            <w:r>
              <w:rPr>
                <w:rFonts w:ascii="Calibri" w:hAnsi="Calibri"/>
                <w:b w:val="0"/>
                <w:i w:val="0"/>
                <w:color w:val="212121"/>
                <w:sz w:val="19"/>
              </w:rPr>
              <w:t>Restricted protrusion; unable to puff out cheeks</w:t>
            </w:r>
          </w:p>
        </w:tc>
        <w:tc>
          <w:tcPr>
            <w:tcW w:type="dxa" w:w="1468"/>
            <w:vAlign w:val="top"/>
          </w:tcPr>
          <w:p>
            <w:pPr>
              <w:spacing w:after="40" w:before="0" w:line="259" w:lineRule="auto"/>
            </w:pPr>
            <w:r>
              <w:rPr>
                <w:rFonts w:ascii="Calibri" w:hAnsi="Calibri"/>
                <w:b w:val="0"/>
                <w:i w:val="0"/>
                <w:color w:val="212121"/>
                <w:sz w:val="19"/>
              </w:rPr>
              <w:t>Reflects deep palatal and buccal fibrous-band involvement.</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use (smoked + smokeless) units/day</w:t>
            </w:r>
          </w:p>
        </w:tc>
        <w:tc>
          <w:tcPr>
            <w:tcW w:type="dxa" w:w="1655"/>
            <w:vAlign w:val="top"/>
          </w:tcPr>
          <w:p>
            <w:pPr>
              <w:spacing w:after="40" w:before="0" w:line="259" w:lineRule="auto"/>
            </w:pPr>
            <w:r>
              <w:rPr>
                <w:rFonts w:ascii="Calibri" w:hAnsi="Calibri"/>
                <w:b w:val="0"/>
                <w:i w:val="0"/>
                <w:color w:val="212121"/>
                <w:sz w:val="19"/>
              </w:rPr>
              <w:t>Tobacco users</w:t>
            </w:r>
          </w:p>
        </w:tc>
        <w:tc>
          <w:tcPr>
            <w:tcW w:type="dxa" w:w="1512"/>
            <w:vAlign w:val="top"/>
          </w:tcPr>
          <w:p>
            <w:pPr>
              <w:spacing w:after="40" w:before="0" w:line="259" w:lineRule="auto"/>
            </w:pPr>
            <w:r>
              <w:rPr>
                <w:rFonts w:ascii="Calibri" w:hAnsi="Calibri"/>
                <w:b w:val="0"/>
                <w:i w:val="0"/>
                <w:color w:val="212121"/>
                <w:sz w:val="19"/>
              </w:rPr>
              <w:t>0</w:t>
            </w:r>
          </w:p>
        </w:tc>
        <w:tc>
          <w:tcPr>
            <w:tcW w:type="dxa" w:w="1512"/>
            <w:vAlign w:val="top"/>
          </w:tcPr>
          <w:p>
            <w:pPr>
              <w:spacing w:after="40" w:before="0" w:line="259" w:lineRule="auto"/>
            </w:pPr>
            <w:r>
              <w:rPr>
                <w:rFonts w:ascii="Calibri" w:hAnsi="Calibri"/>
                <w:b w:val="0"/>
                <w:i w:val="0"/>
                <w:color w:val="212121"/>
                <w:sz w:val="19"/>
              </w:rPr>
              <w:t>Any daily use</w:t>
            </w:r>
          </w:p>
        </w:tc>
        <w:tc>
          <w:tcPr>
            <w:tcW w:type="dxa" w:w="1468"/>
            <w:vAlign w:val="top"/>
          </w:tcPr>
          <w:p>
            <w:pPr>
              <w:spacing w:after="60" w:line="259" w:lineRule="auto"/>
            </w:pPr>
            <w:r>
              <w:rPr>
                <w:rFonts w:ascii="Calibri" w:hAnsi="Calibri"/>
                <w:b w:val="0"/>
                <w:i w:val="0"/>
                <w:color w:val="212121"/>
                <w:sz w:val="19"/>
              </w:rPr>
              <w:t>Adds carcinogens; accelerates dysplasia and malignant transformation.</w:t>
            </w:r>
          </w:p>
          <w:p>
            <w:pPr>
              <w:spacing w:after="40" w:line="252" w:lineRule="auto"/>
            </w:pPr>
            <w:hyperlink r:id="rId14">
              <w:r>
                <w:rPr>
                  <w:rFonts w:ascii="Calibri" w:hAnsi="Calibri" w:cs="Calibri"/>
                  <w:sz w:val="18"/>
                  <w:color w:val="1155CC"/>
                  <w:u w:val="single"/>
                </w:rPr>
                <w:t xml:space="preserve">https://pubmed.ncbi.nlm.nih.gov/32569539/</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(drinks/week)</w:t>
            </w:r>
          </w:p>
        </w:tc>
        <w:tc>
          <w:tcPr>
            <w:tcW w:type="dxa" w:w="1655"/>
            <w:vAlign w:val="top"/>
          </w:tcPr>
          <w:p>
            <w:pPr>
              <w:spacing w:after="40" w:before="0" w:line="259" w:lineRule="auto"/>
            </w:pPr>
            <w:r>
              <w:rPr>
                <w:rFonts w:ascii="Calibri" w:hAnsi="Calibri"/>
                <w:b w:val="0"/>
                <w:i w:val="0"/>
                <w:color w:val="212121"/>
                <w:sz w:val="19"/>
              </w:rPr>
              <w:t>Adults with oral habits</w:t>
            </w:r>
          </w:p>
        </w:tc>
        <w:tc>
          <w:tcPr>
            <w:tcW w:type="dxa" w:w="1512"/>
            <w:vAlign w:val="top"/>
          </w:tcPr>
          <w:p>
            <w:pPr>
              <w:spacing w:after="40" w:before="0" w:line="259" w:lineRule="auto"/>
            </w:pPr>
            <w:r>
              <w:rPr>
                <w:rFonts w:ascii="Calibri" w:hAnsi="Calibri"/>
                <w:b w:val="0"/>
                <w:i w:val="0"/>
                <w:color w:val="212121"/>
                <w:sz w:val="19"/>
              </w:rPr>
              <w:t>0 to light</w:t>
            </w:r>
          </w:p>
        </w:tc>
        <w:tc>
          <w:tcPr>
            <w:tcW w:type="dxa" w:w="1512"/>
            <w:vAlign w:val="top"/>
          </w:tcPr>
          <w:p>
            <w:pPr>
              <w:spacing w:after="40" w:before="0" w:line="259" w:lineRule="auto"/>
            </w:pPr>
            <w:r>
              <w:rPr>
                <w:rFonts w:ascii="Calibri" w:hAnsi="Calibri"/>
                <w:b w:val="0"/>
                <w:i w:val="0"/>
                <w:color w:val="212121"/>
                <w:sz w:val="19"/>
              </w:rPr>
              <w:t>Regular / heavy use</w:t>
            </w:r>
          </w:p>
        </w:tc>
        <w:tc>
          <w:tcPr>
            <w:tcW w:type="dxa" w:w="1468"/>
            <w:vAlign w:val="top"/>
          </w:tcPr>
          <w:p>
            <w:pPr>
              <w:spacing w:after="40" w:before="0" w:line="259" w:lineRule="auto"/>
            </w:pPr>
            <w:r>
              <w:rPr>
                <w:rFonts w:ascii="Calibri" w:hAnsi="Calibri"/>
                <w:b w:val="0"/>
                <w:i w:val="0"/>
                <w:color w:val="212121"/>
                <w:sz w:val="19"/>
              </w:rPr>
              <w:t>Synergistic mucosal carcinogen with areca nut and tobacco.</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Spice/chilli-related burning sensation</w:t>
            </w:r>
          </w:p>
        </w:tc>
        <w:tc>
          <w:tcPr>
            <w:tcW w:type="dxa" w:w="1655"/>
            <w:vAlign w:val="top"/>
          </w:tcPr>
          <w:p>
            <w:pPr>
              <w:spacing w:after="40" w:before="0" w:line="259" w:lineRule="auto"/>
            </w:pPr>
            <w:r>
              <w:rPr>
                <w:rFonts w:ascii="Calibri" w:hAnsi="Calibri"/>
                <w:b w:val="0"/>
                <w:i w:val="0"/>
                <w:color w:val="212121"/>
                <w:sz w:val="19"/>
              </w:rPr>
              <w:t>OSMF patients</w:t>
            </w:r>
          </w:p>
        </w:tc>
        <w:tc>
          <w:tcPr>
            <w:tcW w:type="dxa" w:w="1512"/>
            <w:vAlign w:val="top"/>
          </w:tcPr>
          <w:p>
            <w:pPr>
              <w:spacing w:after="40" w:before="0" w:line="259" w:lineRule="auto"/>
            </w:pPr>
            <w:r>
              <w:rPr>
                <w:rFonts w:ascii="Calibri" w:hAnsi="Calibri"/>
                <w:b w:val="0"/>
                <w:i w:val="0"/>
                <w:color w:val="212121"/>
                <w:sz w:val="19"/>
              </w:rPr>
              <w:t>Absent</w:t>
            </w:r>
          </w:p>
        </w:tc>
        <w:tc>
          <w:tcPr>
            <w:tcW w:type="dxa" w:w="1512"/>
            <w:vAlign w:val="top"/>
          </w:tcPr>
          <w:p>
            <w:pPr>
              <w:spacing w:after="40" w:before="0" w:line="259" w:lineRule="auto"/>
            </w:pPr>
            <w:r>
              <w:rPr>
                <w:rFonts w:ascii="Calibri" w:hAnsi="Calibri"/>
                <w:b w:val="0"/>
                <w:i w:val="0"/>
                <w:color w:val="212121"/>
                <w:sz w:val="19"/>
              </w:rPr>
              <w:t>Burning on spicy or hot food</w:t>
            </w:r>
          </w:p>
        </w:tc>
        <w:tc>
          <w:tcPr>
            <w:tcW w:type="dxa" w:w="1468"/>
            <w:vAlign w:val="top"/>
          </w:tcPr>
          <w:p>
            <w:pPr>
              <w:spacing w:after="40" w:before="0" w:line="259" w:lineRule="auto"/>
            </w:pPr>
            <w:r>
              <w:rPr>
                <w:rFonts w:ascii="Calibri" w:hAnsi="Calibri"/>
                <w:b w:val="0"/>
                <w:i w:val="0"/>
                <w:color w:val="212121"/>
                <w:sz w:val="19"/>
              </w:rPr>
              <w:t>Intolerance to spice is frequently the earliest OSMF symptom.</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Haemoglobin (anaemia screen)</w:t>
            </w:r>
          </w:p>
        </w:tc>
        <w:tc>
          <w:tcPr>
            <w:tcW w:type="dxa" w:w="1655"/>
            <w:vAlign w:val="top"/>
          </w:tcPr>
          <w:p>
            <w:pPr>
              <w:spacing w:after="40" w:before="0" w:line="259" w:lineRule="auto"/>
            </w:pPr>
            <w:r>
              <w:rPr>
                <w:rFonts w:ascii="Calibri" w:hAnsi="Calibri"/>
                <w:b w:val="0"/>
                <w:i w:val="0"/>
                <w:color w:val="212121"/>
                <w:sz w:val="19"/>
              </w:rPr>
              <w:t>OSMF patients</w:t>
            </w:r>
          </w:p>
        </w:tc>
        <w:tc>
          <w:tcPr>
            <w:tcW w:type="dxa" w:w="1512"/>
            <w:vAlign w:val="top"/>
          </w:tcPr>
          <w:p>
            <w:pPr>
              <w:spacing w:after="40" w:before="0" w:line="259" w:lineRule="auto"/>
            </w:pPr>
            <w:r>
              <w:rPr>
                <w:rFonts w:ascii="Calibri" w:hAnsi="Calibri"/>
                <w:b w:val="0"/>
                <w:i w:val="0"/>
                <w:color w:val="212121"/>
                <w:sz w:val="19"/>
              </w:rPr>
              <w:t>M &gt;= 13, F &gt;= 12 g/dL</w:t>
            </w:r>
          </w:p>
        </w:tc>
        <w:tc>
          <w:tcPr>
            <w:tcW w:type="dxa" w:w="1512"/>
            <w:vAlign w:val="top"/>
          </w:tcPr>
          <w:p>
            <w:pPr>
              <w:spacing w:after="40" w:before="0" w:line="259" w:lineRule="auto"/>
            </w:pPr>
            <w:r>
              <w:rPr>
                <w:rFonts w:ascii="Calibri" w:hAnsi="Calibri"/>
                <w:b w:val="0"/>
                <w:i w:val="0"/>
                <w:color w:val="212121"/>
                <w:sz w:val="19"/>
              </w:rPr>
              <w:t>Low Hb / microcytic anaemia</w:t>
            </w:r>
          </w:p>
        </w:tc>
        <w:tc>
          <w:tcPr>
            <w:tcW w:type="dxa" w:w="1468"/>
            <w:vAlign w:val="top"/>
          </w:tcPr>
          <w:p>
            <w:pPr>
              <w:spacing w:after="40" w:before="0" w:line="259" w:lineRule="auto"/>
            </w:pPr>
            <w:r>
              <w:rPr>
                <w:rFonts w:ascii="Calibri" w:hAnsi="Calibri"/>
                <w:b w:val="0"/>
                <w:i w:val="0"/>
                <w:color w:val="212121"/>
                <w:sz w:val="19"/>
              </w:rPr>
              <w:t>Iron-deficiency anaemia impairs mucosal repair and should be corrected.</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Oral hygiene / periodontal status</w:t>
            </w:r>
          </w:p>
        </w:tc>
        <w:tc>
          <w:tcPr>
            <w:tcW w:type="dxa" w:w="1655"/>
            <w:vAlign w:val="top"/>
          </w:tcPr>
          <w:p>
            <w:pPr>
              <w:spacing w:after="40" w:before="0" w:line="259" w:lineRule="auto"/>
            </w:pPr>
            <w:r>
              <w:rPr>
                <w:rFonts w:ascii="Calibri" w:hAnsi="Calibri"/>
                <w:b w:val="0"/>
                <w:i w:val="0"/>
                <w:color w:val="212121"/>
                <w:sz w:val="19"/>
              </w:rPr>
              <w:t>OSMF patients</w:t>
            </w:r>
          </w:p>
        </w:tc>
        <w:tc>
          <w:tcPr>
            <w:tcW w:type="dxa" w:w="1512"/>
            <w:vAlign w:val="top"/>
          </w:tcPr>
          <w:p>
            <w:pPr>
              <w:spacing w:after="40" w:before="0" w:line="259" w:lineRule="auto"/>
            </w:pPr>
            <w:r>
              <w:rPr>
                <w:rFonts w:ascii="Calibri" w:hAnsi="Calibri"/>
                <w:b w:val="0"/>
                <w:i w:val="0"/>
                <w:color w:val="212121"/>
                <w:sz w:val="19"/>
              </w:rPr>
              <w:t>Good; no retained quid</w:t>
            </w:r>
          </w:p>
        </w:tc>
        <w:tc>
          <w:tcPr>
            <w:tcW w:type="dxa" w:w="1512"/>
            <w:vAlign w:val="top"/>
          </w:tcPr>
          <w:p>
            <w:pPr>
              <w:spacing w:after="40" w:before="0" w:line="259" w:lineRule="auto"/>
            </w:pPr>
            <w:r>
              <w:rPr>
                <w:rFonts w:ascii="Calibri" w:hAnsi="Calibri"/>
                <w:b w:val="0"/>
                <w:i w:val="0"/>
                <w:color w:val="212121"/>
                <w:sz w:val="19"/>
              </w:rPr>
              <w:t>Poor hygiene; retained gutka; periodontitis</w:t>
            </w:r>
          </w:p>
        </w:tc>
        <w:tc>
          <w:tcPr>
            <w:tcW w:type="dxa" w:w="1468"/>
            <w:vAlign w:val="top"/>
          </w:tcPr>
          <w:p>
            <w:pPr>
              <w:spacing w:after="40" w:before="0" w:line="259" w:lineRule="auto"/>
            </w:pPr>
            <w:r>
              <w:rPr>
                <w:rFonts w:ascii="Calibri" w:hAnsi="Calibri"/>
                <w:b w:val="0"/>
                <w:i w:val="0"/>
                <w:color w:val="212121"/>
                <w:sz w:val="19"/>
              </w:rPr>
              <w:t>Trismus limits cleaning and dental access, worsening oral health.</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Epithelial atrophy, subepithelial collagen hyalinisation, dysplasia grade</w:t>
            </w:r>
          </w:p>
        </w:tc>
        <w:tc>
          <w:tcPr>
            <w:tcW w:type="dxa" w:w="892"/>
            <w:vAlign w:val="top"/>
          </w:tcPr>
          <w:p>
            <w:pPr>
              <w:spacing w:after="40" w:before="0" w:line="259" w:lineRule="auto"/>
            </w:pPr>
            <w:r>
              <w:rPr>
                <w:rFonts w:ascii="Calibri" w:hAnsi="Calibri"/>
                <w:b w:val="0"/>
                <w:i w:val="0"/>
                <w:color w:val="212121"/>
                <w:sz w:val="16"/>
              </w:rPr>
              <w:t>Incisional biopsy</w:t>
            </w:r>
          </w:p>
        </w:tc>
        <w:tc>
          <w:tcPr>
            <w:tcW w:type="dxa" w:w="950"/>
            <w:vAlign w:val="top"/>
          </w:tcPr>
          <w:p>
            <w:pPr>
              <w:spacing w:after="40" w:before="0" w:line="259" w:lineRule="auto"/>
            </w:pPr>
            <w:r>
              <w:rPr>
                <w:rFonts w:ascii="Calibri" w:hAnsi="Calibri"/>
                <w:b w:val="0"/>
                <w:i w:val="0"/>
                <w:color w:val="212121"/>
                <w:sz w:val="16"/>
              </w:rPr>
              <w:t>Normal epithelium, no dysplasia</w:t>
            </w:r>
          </w:p>
        </w:tc>
        <w:tc>
          <w:tcPr>
            <w:tcW w:type="dxa" w:w="950"/>
            <w:vAlign w:val="top"/>
          </w:tcPr>
          <w:p>
            <w:pPr>
              <w:spacing w:after="40" w:before="0" w:line="259" w:lineRule="auto"/>
            </w:pPr>
            <w:r>
              <w:rPr>
                <w:rFonts w:ascii="Calibri" w:hAnsi="Calibri"/>
                <w:b w:val="0"/>
                <w:i w:val="0"/>
                <w:color w:val="212121"/>
                <w:sz w:val="16"/>
              </w:rPr>
              <w:t>Atrophic epithelium, dense hyalinised collagen, +/- epithelial dysplasia</w:t>
            </w:r>
          </w:p>
        </w:tc>
        <w:tc>
          <w:tcPr>
            <w:tcW w:type="dxa" w:w="1036"/>
            <w:vAlign w:val="top"/>
          </w:tcPr>
          <w:p>
            <w:pPr>
              <w:spacing w:after="40" w:before="0" w:line="259" w:lineRule="auto"/>
            </w:pPr>
            <w:r>
              <w:rPr>
                <w:rFonts w:ascii="Calibri" w:hAnsi="Calibri"/>
                <w:b w:val="0"/>
                <w:i w:val="0"/>
                <w:color w:val="212121"/>
                <w:sz w:val="16"/>
              </w:rPr>
              <w:t>Confirms OSMF, grades dysplasia and detects malignant transformation</w:t>
            </w:r>
          </w:p>
        </w:tc>
        <w:tc>
          <w:tcPr>
            <w:tcW w:type="dxa" w:w="1036"/>
            <w:vAlign w:val="top"/>
          </w:tcPr>
          <w:p>
            <w:pPr>
              <w:spacing w:after="40" w:before="0" w:line="259" w:lineRule="auto"/>
            </w:pPr>
            <w:r>
              <w:rPr>
                <w:rFonts w:ascii="Calibri" w:hAnsi="Calibri"/>
                <w:b w:val="0"/>
                <w:i w:val="0"/>
                <w:color w:val="212121"/>
                <w:sz w:val="16"/>
              </w:rPr>
              <w:t>All suspected OSMF; any ulcer/red-white patch/induration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Mandatory for any non-healing or indurated lesion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Haemoglobin, MCV, MCH</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Hb M &gt;= 13, F &gt;= 12 g/dL</w:t>
            </w:r>
          </w:p>
        </w:tc>
        <w:tc>
          <w:tcPr>
            <w:tcW w:type="dxa" w:w="950"/>
            <w:vAlign w:val="top"/>
          </w:tcPr>
          <w:p>
            <w:pPr>
              <w:spacing w:after="40" w:before="0" w:line="259" w:lineRule="auto"/>
            </w:pPr>
            <w:r>
              <w:rPr>
                <w:rFonts w:ascii="Calibri" w:hAnsi="Calibri"/>
                <w:b w:val="0"/>
                <w:i w:val="0"/>
                <w:color w:val="212121"/>
                <w:sz w:val="16"/>
              </w:rPr>
              <w:t>Microcytic hypochromic anaemia</w:t>
            </w:r>
          </w:p>
        </w:tc>
        <w:tc>
          <w:tcPr>
            <w:tcW w:type="dxa" w:w="1036"/>
            <w:vAlign w:val="top"/>
          </w:tcPr>
          <w:p>
            <w:pPr>
              <w:spacing w:after="40" w:before="0" w:line="259" w:lineRule="auto"/>
            </w:pPr>
            <w:r>
              <w:rPr>
                <w:rFonts w:ascii="Calibri" w:hAnsi="Calibri"/>
                <w:b w:val="0"/>
                <w:i w:val="0"/>
                <w:color w:val="212121"/>
                <w:sz w:val="16"/>
              </w:rPr>
              <w:t>Detects iron-deficiency anaemia commonly associated with OSMF</w:t>
            </w:r>
          </w:p>
        </w:tc>
        <w:tc>
          <w:tcPr>
            <w:tcW w:type="dxa" w:w="1036"/>
            <w:vAlign w:val="top"/>
          </w:tcPr>
          <w:p>
            <w:pPr>
              <w:spacing w:after="40" w:before="0" w:line="259" w:lineRule="auto"/>
            </w:pPr>
            <w:r>
              <w:rPr>
                <w:rFonts w:ascii="Calibri" w:hAnsi="Calibri"/>
                <w:b w:val="0"/>
                <w:i w:val="0"/>
                <w:color w:val="212121"/>
                <w:sz w:val="16"/>
              </w:rPr>
              <w:t>OSMF patients, women, vegetarian diets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Anaemia impairs mucosal repair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iron, ferritin, TIBC</w:t>
            </w:r>
          </w:p>
        </w:tc>
        <w:tc>
          <w:tcPr>
            <w:tcW w:type="dxa" w:w="892"/>
            <w:vAlign w:val="top"/>
          </w:tcPr>
          <w:p>
            <w:pPr>
              <w:spacing w:after="40" w:before="0" w:line="259" w:lineRule="auto"/>
            </w:pPr>
            <w:r>
              <w:rPr>
                <w:rFonts w:ascii="Calibri" w:hAnsi="Calibri"/>
                <w:b w:val="0"/>
                <w:i w:val="0"/>
                <w:color w:val="212121"/>
                <w:sz w:val="16"/>
              </w:rPr>
              <w:t>Iron studies</w:t>
            </w:r>
          </w:p>
        </w:tc>
        <w:tc>
          <w:tcPr>
            <w:tcW w:type="dxa" w:w="950"/>
            <w:vAlign w:val="top"/>
          </w:tcPr>
          <w:p>
            <w:pPr>
              <w:spacing w:after="40" w:before="0" w:line="259" w:lineRule="auto"/>
            </w:pPr>
            <w:r>
              <w:rPr>
                <w:rFonts w:ascii="Calibri" w:hAnsi="Calibri"/>
                <w:b w:val="0"/>
                <w:i w:val="0"/>
                <w:color w:val="212121"/>
                <w:sz w:val="16"/>
              </w:rPr>
              <w:t>Ferritin within reference range</w:t>
            </w:r>
          </w:p>
        </w:tc>
        <w:tc>
          <w:tcPr>
            <w:tcW w:type="dxa" w:w="950"/>
            <w:vAlign w:val="top"/>
          </w:tcPr>
          <w:p>
            <w:pPr>
              <w:spacing w:after="40" w:before="0" w:line="259" w:lineRule="auto"/>
            </w:pPr>
            <w:r>
              <w:rPr>
                <w:rFonts w:ascii="Calibri" w:hAnsi="Calibri"/>
                <w:b w:val="0"/>
                <w:i w:val="0"/>
                <w:color w:val="212121"/>
                <w:sz w:val="16"/>
              </w:rPr>
              <w:t>Low iron/ferritin, raised TIBC</w:t>
            </w:r>
          </w:p>
        </w:tc>
        <w:tc>
          <w:tcPr>
            <w:tcW w:type="dxa" w:w="1036"/>
            <w:vAlign w:val="top"/>
          </w:tcPr>
          <w:p>
            <w:pPr>
              <w:spacing w:after="40" w:before="0" w:line="259" w:lineRule="auto"/>
            </w:pPr>
            <w:r>
              <w:rPr>
                <w:rFonts w:ascii="Calibri" w:hAnsi="Calibri"/>
                <w:b w:val="0"/>
                <w:i w:val="0"/>
                <w:color w:val="212121"/>
                <w:sz w:val="16"/>
              </w:rPr>
              <w:t>Confirms iron deficiency for correction</w:t>
            </w:r>
          </w:p>
        </w:tc>
        <w:tc>
          <w:tcPr>
            <w:tcW w:type="dxa" w:w="1036"/>
            <w:vAlign w:val="top"/>
          </w:tcPr>
          <w:p>
            <w:pPr>
              <w:spacing w:after="40" w:before="0" w:line="259" w:lineRule="auto"/>
            </w:pPr>
            <w:r>
              <w:rPr>
                <w:rFonts w:ascii="Calibri" w:hAnsi="Calibri"/>
                <w:b w:val="0"/>
                <w:i w:val="0"/>
                <w:color w:val="212121"/>
                <w:sz w:val="16"/>
              </w:rPr>
              <w:t>Anaemic OSMF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Guides iron/nutrient supplementation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copper, zinc, copper:zinc ratio</w:t>
            </w:r>
          </w:p>
        </w:tc>
        <w:tc>
          <w:tcPr>
            <w:tcW w:type="dxa" w:w="892"/>
            <w:vAlign w:val="top"/>
          </w:tcPr>
          <w:p>
            <w:pPr>
              <w:spacing w:after="40" w:before="0" w:line="259" w:lineRule="auto"/>
            </w:pPr>
            <w:r>
              <w:rPr>
                <w:rFonts w:ascii="Calibri" w:hAnsi="Calibri"/>
                <w:b w:val="0"/>
                <w:i w:val="0"/>
                <w:color w:val="212121"/>
                <w:sz w:val="16"/>
              </w:rPr>
              <w:t>Trace-element assay</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Raised copper / altered Cu:Zn ratio</w:t>
            </w:r>
          </w:p>
        </w:tc>
        <w:tc>
          <w:tcPr>
            <w:tcW w:type="dxa" w:w="1036"/>
            <w:vAlign w:val="top"/>
          </w:tcPr>
          <w:p>
            <w:pPr>
              <w:spacing w:after="40" w:before="0" w:line="259" w:lineRule="auto"/>
            </w:pPr>
            <w:r>
              <w:rPr>
                <w:rFonts w:ascii="Calibri" w:hAnsi="Calibri"/>
                <w:b w:val="0"/>
                <w:i w:val="0"/>
                <w:color w:val="212121"/>
                <w:sz w:val="16"/>
              </w:rPr>
              <w:t>Reflects areca exposure; copper drives lysyl-oxidase-mediated collagen cross-linking</w:t>
            </w:r>
          </w:p>
        </w:tc>
        <w:tc>
          <w:tcPr>
            <w:tcW w:type="dxa" w:w="1036"/>
            <w:vAlign w:val="top"/>
          </w:tcPr>
          <w:p>
            <w:pPr>
              <w:spacing w:after="40" w:before="0" w:line="259" w:lineRule="auto"/>
            </w:pPr>
            <w:r>
              <w:rPr>
                <w:rFonts w:ascii="Calibri" w:hAnsi="Calibri"/>
                <w:b w:val="0"/>
                <w:i w:val="0"/>
                <w:color w:val="212121"/>
                <w:sz w:val="16"/>
              </w:rPr>
              <w:t>Areca-nut / gutka chewers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Research / supportive</w:t>
            </w:r>
          </w:p>
        </w:tc>
        <w:tc>
          <w:tcPr>
            <w:tcW w:type="dxa" w:w="720"/>
            <w:vAlign w:val="top"/>
          </w:tcPr>
          <w:p>
            <w:pPr>
              <w:spacing w:after="40" w:before="0" w:line="259" w:lineRule="auto"/>
            </w:pPr>
            <w:r>
              <w:rPr>
                <w:rFonts w:ascii="Calibri" w:hAnsi="Calibri"/>
                <w:b w:val="0"/>
                <w:i w:val="0"/>
                <w:color w:val="212121"/>
                <w:sz w:val="16"/>
              </w:rPr>
              <w:t>Mechanistic marker of fibrogenesis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Special stain</w:t>
            </w:r>
          </w:p>
        </w:tc>
        <w:tc>
          <w:tcPr>
            <w:tcW w:type="dxa" w:w="1036"/>
            <w:vAlign w:val="top"/>
          </w:tcPr>
          <w:p>
            <w:pPr>
              <w:spacing w:after="40" w:before="0" w:line="259" w:lineRule="auto"/>
            </w:pPr>
            <w:r>
              <w:rPr>
                <w:rFonts w:ascii="Calibri" w:hAnsi="Calibri"/>
                <w:b w:val="0"/>
                <w:i w:val="0"/>
                <w:color w:val="212121"/>
                <w:sz w:val="16"/>
              </w:rPr>
              <w:t>Collagen quantity &amp; hyalinisation</w:t>
            </w:r>
          </w:p>
        </w:tc>
        <w:tc>
          <w:tcPr>
            <w:tcW w:type="dxa" w:w="892"/>
            <w:vAlign w:val="top"/>
          </w:tcPr>
          <w:p>
            <w:pPr>
              <w:spacing w:after="40" w:before="0" w:line="259" w:lineRule="auto"/>
            </w:pPr>
            <w:r>
              <w:rPr>
                <w:rFonts w:ascii="Calibri" w:hAnsi="Calibri"/>
                <w:b w:val="0"/>
                <w:i w:val="0"/>
                <w:color w:val="212121"/>
                <w:sz w:val="16"/>
              </w:rPr>
              <w:t>Van Gieson / Masson trichrome</w:t>
            </w:r>
          </w:p>
        </w:tc>
        <w:tc>
          <w:tcPr>
            <w:tcW w:type="dxa" w:w="950"/>
            <w:vAlign w:val="top"/>
          </w:tcPr>
          <w:p>
            <w:pPr>
              <w:spacing w:after="40" w:before="0" w:line="259" w:lineRule="auto"/>
            </w:pPr>
            <w:r>
              <w:rPr>
                <w:rFonts w:ascii="Calibri" w:hAnsi="Calibri"/>
                <w:b w:val="0"/>
                <w:i w:val="0"/>
                <w:color w:val="212121"/>
                <w:sz w:val="16"/>
              </w:rPr>
              <w:t>Normal collagen</w:t>
            </w:r>
          </w:p>
        </w:tc>
        <w:tc>
          <w:tcPr>
            <w:tcW w:type="dxa" w:w="950"/>
            <w:vAlign w:val="top"/>
          </w:tcPr>
          <w:p>
            <w:pPr>
              <w:spacing w:after="40" w:before="0" w:line="259" w:lineRule="auto"/>
            </w:pPr>
            <w:r>
              <w:rPr>
                <w:rFonts w:ascii="Calibri" w:hAnsi="Calibri"/>
                <w:b w:val="0"/>
                <w:i w:val="0"/>
                <w:color w:val="212121"/>
                <w:sz w:val="16"/>
              </w:rPr>
              <w:t>Increased dense, hyalinised collagen</w:t>
            </w:r>
          </w:p>
        </w:tc>
        <w:tc>
          <w:tcPr>
            <w:tcW w:type="dxa" w:w="1036"/>
            <w:vAlign w:val="top"/>
          </w:tcPr>
          <w:p>
            <w:pPr>
              <w:spacing w:after="40" w:before="0" w:line="259" w:lineRule="auto"/>
            </w:pPr>
            <w:r>
              <w:rPr>
                <w:rFonts w:ascii="Calibri" w:hAnsi="Calibri"/>
                <w:b w:val="0"/>
                <w:i w:val="0"/>
                <w:color w:val="212121"/>
                <w:sz w:val="16"/>
              </w:rPr>
              <w:t>Quantifies subepithelial fibrosis for histological staging</w:t>
            </w:r>
          </w:p>
        </w:tc>
        <w:tc>
          <w:tcPr>
            <w:tcW w:type="dxa" w:w="1036"/>
            <w:vAlign w:val="top"/>
          </w:tcPr>
          <w:p>
            <w:pPr>
              <w:spacing w:after="40" w:before="0" w:line="259" w:lineRule="auto"/>
            </w:pPr>
            <w:r>
              <w:rPr>
                <w:rFonts w:ascii="Calibri" w:hAnsi="Calibri"/>
                <w:b w:val="0"/>
                <w:i w:val="0"/>
                <w:color w:val="212121"/>
                <w:sz w:val="16"/>
              </w:rPr>
              <w:t>Biopsy specimens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Supports Pindborg histological staging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Vital staining</w:t>
            </w:r>
          </w:p>
        </w:tc>
        <w:tc>
          <w:tcPr>
            <w:tcW w:type="dxa" w:w="1036"/>
            <w:vAlign w:val="top"/>
          </w:tcPr>
          <w:p>
            <w:pPr>
              <w:spacing w:after="40" w:before="0" w:line="259" w:lineRule="auto"/>
            </w:pPr>
            <w:r>
              <w:rPr>
                <w:rFonts w:ascii="Calibri" w:hAnsi="Calibri"/>
                <w:b w:val="0"/>
                <w:i w:val="0"/>
                <w:color w:val="212121"/>
                <w:sz w:val="16"/>
              </w:rPr>
              <w:t>Dye uptake by dysplastic mucosa</w:t>
            </w:r>
          </w:p>
        </w:tc>
        <w:tc>
          <w:tcPr>
            <w:tcW w:type="dxa" w:w="892"/>
            <w:vAlign w:val="top"/>
          </w:tcPr>
          <w:p>
            <w:pPr>
              <w:spacing w:after="40" w:before="0" w:line="259" w:lineRule="auto"/>
            </w:pPr>
            <w:r>
              <w:rPr>
                <w:rFonts w:ascii="Calibri" w:hAnsi="Calibri"/>
                <w:b w:val="0"/>
                <w:i w:val="0"/>
                <w:color w:val="212121"/>
                <w:sz w:val="16"/>
              </w:rPr>
              <w:t>Toluidine blue test</w:t>
            </w:r>
          </w:p>
        </w:tc>
        <w:tc>
          <w:tcPr>
            <w:tcW w:type="dxa" w:w="950"/>
            <w:vAlign w:val="top"/>
          </w:tcPr>
          <w:p>
            <w:pPr>
              <w:spacing w:after="40" w:before="0" w:line="259" w:lineRule="auto"/>
            </w:pPr>
            <w:r>
              <w:rPr>
                <w:rFonts w:ascii="Calibri" w:hAnsi="Calibri"/>
                <w:b w:val="0"/>
                <w:i w:val="0"/>
                <w:color w:val="212121"/>
                <w:sz w:val="16"/>
              </w:rPr>
              <w:t>No dye retention</w:t>
            </w:r>
          </w:p>
        </w:tc>
        <w:tc>
          <w:tcPr>
            <w:tcW w:type="dxa" w:w="950"/>
            <w:vAlign w:val="top"/>
          </w:tcPr>
          <w:p>
            <w:pPr>
              <w:spacing w:after="40" w:before="0" w:line="259" w:lineRule="auto"/>
            </w:pPr>
            <w:r>
              <w:rPr>
                <w:rFonts w:ascii="Calibri" w:hAnsi="Calibri"/>
                <w:b w:val="0"/>
                <w:i w:val="0"/>
                <w:color w:val="212121"/>
                <w:sz w:val="16"/>
              </w:rPr>
              <w:t>Positive dye retention</w:t>
            </w:r>
          </w:p>
        </w:tc>
        <w:tc>
          <w:tcPr>
            <w:tcW w:type="dxa" w:w="1036"/>
            <w:vAlign w:val="top"/>
          </w:tcPr>
          <w:p>
            <w:pPr>
              <w:spacing w:after="40" w:before="0" w:line="259" w:lineRule="auto"/>
            </w:pPr>
            <w:r>
              <w:rPr>
                <w:rFonts w:ascii="Calibri" w:hAnsi="Calibri"/>
                <w:b w:val="0"/>
                <w:i w:val="0"/>
                <w:color w:val="212121"/>
                <w:sz w:val="16"/>
              </w:rPr>
              <w:t>Highlights dysplastic/malignant areas to guide biopsy site selection</w:t>
            </w:r>
          </w:p>
        </w:tc>
        <w:tc>
          <w:tcPr>
            <w:tcW w:type="dxa" w:w="1036"/>
            <w:vAlign w:val="top"/>
          </w:tcPr>
          <w:p>
            <w:pPr>
              <w:spacing w:after="40" w:before="0" w:line="259" w:lineRule="auto"/>
            </w:pPr>
            <w:r>
              <w:rPr>
                <w:rFonts w:ascii="Calibri" w:hAnsi="Calibri"/>
                <w:b w:val="0"/>
                <w:i w:val="0"/>
                <w:color w:val="212121"/>
                <w:sz w:val="16"/>
              </w:rPr>
              <w:t>OSMF with suspicious mucosal change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adjunct</w:t>
            </w:r>
          </w:p>
        </w:tc>
        <w:tc>
          <w:tcPr>
            <w:tcW w:type="dxa" w:w="720"/>
            <w:vAlign w:val="top"/>
          </w:tcPr>
          <w:p>
            <w:pPr>
              <w:spacing w:after="40" w:before="0" w:line="259" w:lineRule="auto"/>
            </w:pPr>
            <w:r>
              <w:rPr>
                <w:rFonts w:ascii="Calibri" w:hAnsi="Calibri"/>
                <w:b w:val="0"/>
                <w:i w:val="0"/>
                <w:color w:val="212121"/>
                <w:sz w:val="16"/>
              </w:rPr>
              <w:t>Not a substitute for biopsy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Cytology</w:t>
            </w:r>
          </w:p>
        </w:tc>
        <w:tc>
          <w:tcPr>
            <w:tcW w:type="dxa" w:w="1036"/>
            <w:vAlign w:val="top"/>
          </w:tcPr>
          <w:p>
            <w:pPr>
              <w:spacing w:after="40" w:before="0" w:line="259" w:lineRule="auto"/>
            </w:pPr>
            <w:r>
              <w:rPr>
                <w:rFonts w:ascii="Calibri" w:hAnsi="Calibri"/>
                <w:b w:val="0"/>
                <w:i w:val="0"/>
                <w:color w:val="212121"/>
                <w:sz w:val="16"/>
              </w:rPr>
              <w:t>Cellular atypia</w:t>
            </w:r>
          </w:p>
        </w:tc>
        <w:tc>
          <w:tcPr>
            <w:tcW w:type="dxa" w:w="892"/>
            <w:vAlign w:val="top"/>
          </w:tcPr>
          <w:p>
            <w:pPr>
              <w:spacing w:after="40" w:before="0" w:line="259" w:lineRule="auto"/>
            </w:pPr>
            <w:r>
              <w:rPr>
                <w:rFonts w:ascii="Calibri" w:hAnsi="Calibri"/>
                <w:b w:val="0"/>
                <w:i w:val="0"/>
                <w:color w:val="212121"/>
                <w:sz w:val="16"/>
              </w:rPr>
              <w:t>Exfoliative / brush cytology</w:t>
            </w:r>
          </w:p>
        </w:tc>
        <w:tc>
          <w:tcPr>
            <w:tcW w:type="dxa" w:w="950"/>
            <w:vAlign w:val="top"/>
          </w:tcPr>
          <w:p>
            <w:pPr>
              <w:spacing w:after="40" w:before="0" w:line="259" w:lineRule="auto"/>
            </w:pPr>
            <w:r>
              <w:rPr>
                <w:rFonts w:ascii="Calibri" w:hAnsi="Calibri"/>
                <w:b w:val="0"/>
                <w:i w:val="0"/>
                <w:color w:val="212121"/>
                <w:sz w:val="16"/>
              </w:rPr>
              <w:t>No atypia</w:t>
            </w:r>
          </w:p>
        </w:tc>
        <w:tc>
          <w:tcPr>
            <w:tcW w:type="dxa" w:w="950"/>
            <w:vAlign w:val="top"/>
          </w:tcPr>
          <w:p>
            <w:pPr>
              <w:spacing w:after="40" w:before="0" w:line="259" w:lineRule="auto"/>
            </w:pPr>
            <w:r>
              <w:rPr>
                <w:rFonts w:ascii="Calibri" w:hAnsi="Calibri"/>
                <w:b w:val="0"/>
                <w:i w:val="0"/>
                <w:color w:val="212121"/>
                <w:sz w:val="16"/>
              </w:rPr>
              <w:t>Atypical / dysplastic cells</w:t>
            </w:r>
          </w:p>
        </w:tc>
        <w:tc>
          <w:tcPr>
            <w:tcW w:type="dxa" w:w="1036"/>
            <w:vAlign w:val="top"/>
          </w:tcPr>
          <w:p>
            <w:pPr>
              <w:spacing w:after="40" w:before="0" w:line="259" w:lineRule="auto"/>
            </w:pPr>
            <w:r>
              <w:rPr>
                <w:rFonts w:ascii="Calibri" w:hAnsi="Calibri"/>
                <w:b w:val="0"/>
                <w:i w:val="0"/>
                <w:color w:val="212121"/>
                <w:sz w:val="16"/>
              </w:rPr>
              <w:t>Non-invasive adjunct to flag lesions requiring biopsy</w:t>
            </w:r>
          </w:p>
        </w:tc>
        <w:tc>
          <w:tcPr>
            <w:tcW w:type="dxa" w:w="1036"/>
            <w:vAlign w:val="top"/>
          </w:tcPr>
          <w:p>
            <w:pPr>
              <w:spacing w:after="40" w:before="0" w:line="259" w:lineRule="auto"/>
            </w:pPr>
            <w:r>
              <w:rPr>
                <w:rFonts w:ascii="Calibri" w:hAnsi="Calibri"/>
                <w:b w:val="0"/>
                <w:i w:val="0"/>
                <w:color w:val="212121"/>
                <w:sz w:val="16"/>
              </w:rPr>
              <w:t>Screening of high-risk chewers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adjunct</w:t>
            </w:r>
          </w:p>
        </w:tc>
        <w:tc>
          <w:tcPr>
            <w:tcW w:type="dxa" w:w="720"/>
            <w:vAlign w:val="top"/>
          </w:tcPr>
          <w:p>
            <w:pPr>
              <w:spacing w:after="40" w:before="0" w:line="259" w:lineRule="auto"/>
            </w:pPr>
            <w:r>
              <w:rPr>
                <w:rFonts w:ascii="Calibri" w:hAnsi="Calibri"/>
                <w:b w:val="0"/>
                <w:i w:val="0"/>
                <w:color w:val="212121"/>
                <w:sz w:val="16"/>
              </w:rPr>
              <w:t>A positive result mandates biopsy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Buccal mucosal thickness / stiffness</w:t>
            </w:r>
          </w:p>
        </w:tc>
        <w:tc>
          <w:tcPr>
            <w:tcW w:type="dxa" w:w="892"/>
            <w:vAlign w:val="top"/>
          </w:tcPr>
          <w:p>
            <w:pPr>
              <w:spacing w:after="40" w:before="0" w:line="259" w:lineRule="auto"/>
            </w:pPr>
            <w:r>
              <w:rPr>
                <w:rFonts w:ascii="Calibri" w:hAnsi="Calibri"/>
                <w:b w:val="0"/>
                <w:i w:val="0"/>
                <w:color w:val="212121"/>
                <w:sz w:val="16"/>
              </w:rPr>
              <w:t>High-frequency ultrasonography / elastography</w:t>
            </w:r>
          </w:p>
        </w:tc>
        <w:tc>
          <w:tcPr>
            <w:tcW w:type="dxa" w:w="950"/>
            <w:vAlign w:val="top"/>
          </w:tcPr>
          <w:p>
            <w:pPr>
              <w:spacing w:after="40" w:before="0" w:line="259" w:lineRule="auto"/>
            </w:pPr>
            <w:r>
              <w:rPr>
                <w:rFonts w:ascii="Calibri" w:hAnsi="Calibri"/>
                <w:b w:val="0"/>
                <w:i w:val="0"/>
                <w:color w:val="212121"/>
                <w:sz w:val="16"/>
              </w:rPr>
              <w:t>Normal thickness &amp; elasticity</w:t>
            </w:r>
          </w:p>
        </w:tc>
        <w:tc>
          <w:tcPr>
            <w:tcW w:type="dxa" w:w="950"/>
            <w:vAlign w:val="top"/>
          </w:tcPr>
          <w:p>
            <w:pPr>
              <w:spacing w:after="40" w:before="0" w:line="259" w:lineRule="auto"/>
            </w:pPr>
            <w:r>
              <w:rPr>
                <w:rFonts w:ascii="Calibri" w:hAnsi="Calibri"/>
                <w:b w:val="0"/>
                <w:i w:val="0"/>
                <w:color w:val="212121"/>
                <w:sz w:val="16"/>
              </w:rPr>
              <w:t>Increased thickness, reduced elasticity</w:t>
            </w:r>
          </w:p>
        </w:tc>
        <w:tc>
          <w:tcPr>
            <w:tcW w:type="dxa" w:w="1036"/>
            <w:vAlign w:val="top"/>
          </w:tcPr>
          <w:p>
            <w:pPr>
              <w:spacing w:after="40" w:before="0" w:line="259" w:lineRule="auto"/>
            </w:pPr>
            <w:r>
              <w:rPr>
                <w:rFonts w:ascii="Calibri" w:hAnsi="Calibri"/>
                <w:b w:val="0"/>
                <w:i w:val="0"/>
                <w:color w:val="212121"/>
                <w:sz w:val="16"/>
              </w:rPr>
              <w:t>Non-invasive quantification of fibrous bands; monitors progression</w:t>
            </w:r>
          </w:p>
        </w:tc>
        <w:tc>
          <w:tcPr>
            <w:tcW w:type="dxa" w:w="1036"/>
            <w:vAlign w:val="top"/>
          </w:tcPr>
          <w:p>
            <w:pPr>
              <w:spacing w:after="40" w:before="0" w:line="259" w:lineRule="auto"/>
            </w:pPr>
            <w:r>
              <w:rPr>
                <w:rFonts w:ascii="Calibri" w:hAnsi="Calibri"/>
                <w:b w:val="0"/>
                <w:i w:val="0"/>
                <w:color w:val="212121"/>
                <w:sz w:val="16"/>
              </w:rPr>
              <w:t>OSMF follow-up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Emerging</w:t>
            </w:r>
          </w:p>
        </w:tc>
        <w:tc>
          <w:tcPr>
            <w:tcW w:type="dxa" w:w="720"/>
            <w:vAlign w:val="top"/>
          </w:tcPr>
          <w:p>
            <w:pPr>
              <w:spacing w:after="40" w:before="0" w:line="259" w:lineRule="auto"/>
            </w:pPr>
            <w:r>
              <w:rPr>
                <w:rFonts w:ascii="Calibri" w:hAnsi="Calibri"/>
                <w:b w:val="0"/>
                <w:i w:val="0"/>
                <w:color w:val="212121"/>
                <w:sz w:val="16"/>
              </w:rPr>
              <w:t>Operator-dependent; adjunct to clinical staging</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Habit history</w:t>
            </w:r>
          </w:p>
        </w:tc>
        <w:tc>
          <w:tcPr>
            <w:tcW w:type="dxa" w:w="979"/>
            <w:vAlign w:val="top"/>
          </w:tcPr>
          <w:p>
            <w:pPr>
              <w:spacing w:after="40" w:before="0" w:line="259" w:lineRule="auto"/>
            </w:pPr>
            <w:r>
              <w:rPr>
                <w:rFonts w:ascii="Calibri" w:hAnsi="Calibri"/>
                <w:b w:val="0"/>
                <w:i w:val="0"/>
                <w:color w:val="212121"/>
                <w:sz w:val="16"/>
              </w:rPr>
              <w:t>Areca-nut/gutka/betel-quid &amp; tobacco: type, amount, frequency, duration, retention site</w:t>
            </w:r>
          </w:p>
        </w:tc>
        <w:tc>
          <w:tcPr>
            <w:tcW w:type="dxa" w:w="950"/>
            <w:vAlign w:val="top"/>
          </w:tcPr>
          <w:p>
            <w:pPr>
              <w:spacing w:after="40" w:before="0" w:line="259" w:lineRule="auto"/>
            </w:pPr>
            <w:r>
              <w:rPr>
                <w:rFonts w:ascii="Calibri" w:hAnsi="Calibri"/>
                <w:b w:val="0"/>
                <w:i w:val="0"/>
                <w:color w:val="212121"/>
                <w:sz w:val="16"/>
              </w:rPr>
              <w:t>No habit</w:t>
            </w:r>
          </w:p>
        </w:tc>
        <w:tc>
          <w:tcPr>
            <w:tcW w:type="dxa" w:w="950"/>
            <w:vAlign w:val="top"/>
          </w:tcPr>
          <w:p>
            <w:pPr>
              <w:spacing w:after="40" w:before="0" w:line="259" w:lineRule="auto"/>
            </w:pPr>
            <w:r>
              <w:rPr>
                <w:rFonts w:ascii="Calibri" w:hAnsi="Calibri"/>
                <w:b w:val="0"/>
                <w:i w:val="0"/>
                <w:color w:val="212121"/>
                <w:sz w:val="16"/>
              </w:rPr>
              <w:t>Current or past habitual use</w:t>
            </w:r>
          </w:p>
        </w:tc>
        <w:tc>
          <w:tcPr>
            <w:tcW w:type="dxa" w:w="1036"/>
            <w:vAlign w:val="top"/>
          </w:tcPr>
          <w:p>
            <w:pPr>
              <w:spacing w:after="40" w:before="0" w:line="259" w:lineRule="auto"/>
            </w:pPr>
            <w:r>
              <w:rPr>
                <w:rFonts w:ascii="Calibri" w:hAnsi="Calibri"/>
                <w:b w:val="0"/>
                <w:i w:val="0"/>
                <w:color w:val="212121"/>
                <w:sz w:val="16"/>
              </w:rPr>
              <w:t>Establishes causal exposure and dose-response</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Cornerstone of diagnosis and cessation planning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Burning on spicy food, reduced mouth opening, oral dryness/stiffness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Early burning and progressive trismus are hallmark symptoms</w:t>
            </w:r>
          </w:p>
        </w:tc>
        <w:tc>
          <w:tcPr>
            <w:tcW w:type="dxa" w:w="1036"/>
            <w:vAlign w:val="top"/>
          </w:tcPr>
          <w:p>
            <w:pPr>
              <w:spacing w:after="40" w:before="0" w:line="259" w:lineRule="auto"/>
            </w:pPr>
            <w:r>
              <w:rPr>
                <w:rFonts w:ascii="Calibri" w:hAnsi="Calibri"/>
                <w:b w:val="0"/>
                <w:i w:val="0"/>
                <w:color w:val="212121"/>
                <w:sz w:val="16"/>
              </w:rPr>
              <w:t>Symptomatic chewers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Burning often precedes visible signs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Mouth-opening measurement</w:t>
            </w:r>
          </w:p>
        </w:tc>
        <w:tc>
          <w:tcPr>
            <w:tcW w:type="dxa" w:w="979"/>
            <w:vAlign w:val="top"/>
          </w:tcPr>
          <w:p>
            <w:pPr>
              <w:spacing w:after="40" w:before="0" w:line="259" w:lineRule="auto"/>
            </w:pPr>
            <w:r>
              <w:rPr>
                <w:rFonts w:ascii="Calibri" w:hAnsi="Calibri"/>
                <w:b w:val="0"/>
                <w:i w:val="0"/>
                <w:color w:val="212121"/>
                <w:sz w:val="16"/>
              </w:rPr>
              <w:t>Interincisal distance (mm)</w:t>
            </w:r>
          </w:p>
        </w:tc>
        <w:tc>
          <w:tcPr>
            <w:tcW w:type="dxa" w:w="950"/>
            <w:vAlign w:val="top"/>
          </w:tcPr>
          <w:p>
            <w:pPr>
              <w:spacing w:after="40" w:before="0" w:line="259" w:lineRule="auto"/>
            </w:pPr>
            <w:r>
              <w:rPr>
                <w:rFonts w:ascii="Calibri" w:hAnsi="Calibri"/>
                <w:b w:val="0"/>
                <w:i w:val="0"/>
                <w:color w:val="212121"/>
                <w:sz w:val="16"/>
              </w:rPr>
              <w:t>&gt;= 35-40 mm</w:t>
            </w:r>
          </w:p>
        </w:tc>
        <w:tc>
          <w:tcPr>
            <w:tcW w:type="dxa" w:w="950"/>
            <w:vAlign w:val="top"/>
          </w:tcPr>
          <w:p>
            <w:pPr>
              <w:spacing w:after="40" w:before="0" w:line="259" w:lineRule="auto"/>
            </w:pPr>
            <w:r>
              <w:rPr>
                <w:rFonts w:ascii="Calibri" w:hAnsi="Calibri"/>
                <w:b w:val="0"/>
                <w:i w:val="0"/>
                <w:color w:val="212121"/>
                <w:sz w:val="16"/>
              </w:rPr>
              <w:t>&lt; 35 mm (staged to &lt; 15 mm advanced)</w:t>
            </w:r>
          </w:p>
        </w:tc>
        <w:tc>
          <w:tcPr>
            <w:tcW w:type="dxa" w:w="1036"/>
            <w:vAlign w:val="top"/>
          </w:tcPr>
          <w:p>
            <w:pPr>
              <w:spacing w:after="40" w:before="0" w:line="259" w:lineRule="auto"/>
            </w:pPr>
            <w:r>
              <w:rPr>
                <w:rFonts w:ascii="Calibri" w:hAnsi="Calibri"/>
                <w:b w:val="0"/>
                <w:i w:val="0"/>
                <w:color w:val="212121"/>
                <w:sz w:val="16"/>
              </w:rPr>
              <w:t>Objective severity grading and treatment monitoring</w:t>
            </w:r>
          </w:p>
        </w:tc>
        <w:tc>
          <w:tcPr>
            <w:tcW w:type="dxa" w:w="1036"/>
            <w:vAlign w:val="top"/>
          </w:tcPr>
          <w:p>
            <w:pPr>
              <w:spacing w:after="40" w:before="0" w:line="259" w:lineRule="auto"/>
            </w:pPr>
            <w:r>
              <w:rPr>
                <w:rFonts w:ascii="Calibri" w:hAnsi="Calibri"/>
                <w:b w:val="0"/>
                <w:i w:val="0"/>
                <w:color w:val="212121"/>
                <w:sz w:val="16"/>
              </w:rPr>
              <w:t>OSMF patients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Key metric</w:t>
            </w:r>
          </w:p>
        </w:tc>
        <w:tc>
          <w:tcPr>
            <w:tcW w:type="dxa" w:w="720"/>
            <w:vAlign w:val="top"/>
          </w:tcPr>
          <w:p>
            <w:pPr>
              <w:spacing w:after="40" w:before="0" w:line="259" w:lineRule="auto"/>
            </w:pPr>
            <w:r>
              <w:rPr>
                <w:rFonts w:ascii="Calibri" w:hAnsi="Calibri"/>
                <w:b w:val="0"/>
                <w:i w:val="0"/>
                <w:color w:val="212121"/>
                <w:sz w:val="16"/>
              </w:rPr>
              <w:t>Record with scale/callipers at every visit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Mucosal palpation</w:t>
            </w:r>
          </w:p>
        </w:tc>
        <w:tc>
          <w:tcPr>
            <w:tcW w:type="dxa" w:w="979"/>
            <w:vAlign w:val="top"/>
          </w:tcPr>
          <w:p>
            <w:pPr>
              <w:spacing w:after="40" w:before="0" w:line="259" w:lineRule="auto"/>
            </w:pPr>
            <w:r>
              <w:rPr>
                <w:rFonts w:ascii="Calibri" w:hAnsi="Calibri"/>
                <w:b w:val="0"/>
                <w:i w:val="0"/>
                <w:color w:val="212121"/>
                <w:sz w:val="16"/>
              </w:rPr>
              <w:t>Fibrous bands, blanching, texture</w:t>
            </w:r>
          </w:p>
        </w:tc>
        <w:tc>
          <w:tcPr>
            <w:tcW w:type="dxa" w:w="950"/>
            <w:vAlign w:val="top"/>
          </w:tcPr>
          <w:p>
            <w:pPr>
              <w:spacing w:after="40" w:before="0" w:line="259" w:lineRule="auto"/>
            </w:pPr>
            <w:r>
              <w:rPr>
                <w:rFonts w:ascii="Calibri" w:hAnsi="Calibri"/>
                <w:b w:val="0"/>
                <w:i w:val="0"/>
                <w:color w:val="212121"/>
                <w:sz w:val="16"/>
              </w:rPr>
              <w:t>Soft, pink, pliable mucosa</w:t>
            </w:r>
          </w:p>
        </w:tc>
        <w:tc>
          <w:tcPr>
            <w:tcW w:type="dxa" w:w="950"/>
            <w:vAlign w:val="top"/>
          </w:tcPr>
          <w:p>
            <w:pPr>
              <w:spacing w:after="40" w:before="0" w:line="259" w:lineRule="auto"/>
            </w:pPr>
            <w:r>
              <w:rPr>
                <w:rFonts w:ascii="Calibri" w:hAnsi="Calibri"/>
                <w:b w:val="0"/>
                <w:i w:val="0"/>
                <w:color w:val="212121"/>
                <w:sz w:val="16"/>
              </w:rPr>
              <w:t>Blanched, leathery mucosa with palpable bands</w:t>
            </w:r>
          </w:p>
        </w:tc>
        <w:tc>
          <w:tcPr>
            <w:tcW w:type="dxa" w:w="1036"/>
            <w:vAlign w:val="top"/>
          </w:tcPr>
          <w:p>
            <w:pPr>
              <w:spacing w:after="40" w:before="0" w:line="259" w:lineRule="auto"/>
            </w:pPr>
            <w:r>
              <w:rPr>
                <w:rFonts w:ascii="Calibri" w:hAnsi="Calibri"/>
                <w:b w:val="0"/>
                <w:i w:val="0"/>
                <w:color w:val="212121"/>
                <w:sz w:val="16"/>
              </w:rPr>
              <w:t>Defines the site and extent of fibrosis</w:t>
            </w:r>
          </w:p>
        </w:tc>
        <w:tc>
          <w:tcPr>
            <w:tcW w:type="dxa" w:w="1036"/>
            <w:vAlign w:val="top"/>
          </w:tcPr>
          <w:p>
            <w:pPr>
              <w:spacing w:after="40" w:before="0" w:line="259" w:lineRule="auto"/>
            </w:pPr>
            <w:r>
              <w:rPr>
                <w:rFonts w:ascii="Calibri" w:hAnsi="Calibri"/>
                <w:b w:val="0"/>
                <w:i w:val="0"/>
                <w:color w:val="212121"/>
                <w:sz w:val="16"/>
              </w:rPr>
              <w:t>OSMF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Assess buccal, labial, palatal and faucial regions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Tongue &amp; palate assessment</w:t>
            </w:r>
          </w:p>
        </w:tc>
        <w:tc>
          <w:tcPr>
            <w:tcW w:type="dxa" w:w="979"/>
            <w:vAlign w:val="top"/>
          </w:tcPr>
          <w:p>
            <w:pPr>
              <w:spacing w:after="40" w:before="0" w:line="259" w:lineRule="auto"/>
            </w:pPr>
            <w:r>
              <w:rPr>
                <w:rFonts w:ascii="Calibri" w:hAnsi="Calibri"/>
                <w:b w:val="0"/>
                <w:i w:val="0"/>
                <w:color w:val="212121"/>
                <w:sz w:val="16"/>
              </w:rPr>
              <w:t>Tongue protrusion, papillae, uvula &amp; soft-palate mobility</w:t>
            </w:r>
          </w:p>
        </w:tc>
        <w:tc>
          <w:tcPr>
            <w:tcW w:type="dxa" w:w="950"/>
            <w:vAlign w:val="top"/>
          </w:tcPr>
          <w:p>
            <w:pPr>
              <w:spacing w:after="40" w:before="0" w:line="259" w:lineRule="auto"/>
            </w:pPr>
            <w:r>
              <w:rPr>
                <w:rFonts w:ascii="Calibri" w:hAnsi="Calibri"/>
                <w:b w:val="0"/>
                <w:i w:val="0"/>
                <w:color w:val="212121"/>
                <w:sz w:val="16"/>
              </w:rPr>
              <w:t>Full protrusion, normal papillae/uvula</w:t>
            </w:r>
          </w:p>
        </w:tc>
        <w:tc>
          <w:tcPr>
            <w:tcW w:type="dxa" w:w="950"/>
            <w:vAlign w:val="top"/>
          </w:tcPr>
          <w:p>
            <w:pPr>
              <w:spacing w:after="40" w:before="0" w:line="259" w:lineRule="auto"/>
            </w:pPr>
            <w:r>
              <w:rPr>
                <w:rFonts w:ascii="Calibri" w:hAnsi="Calibri"/>
                <w:b w:val="0"/>
                <w:i w:val="0"/>
                <w:color w:val="212121"/>
                <w:sz w:val="16"/>
              </w:rPr>
              <w:t>Restricted protrusion, depapillation, budded uvula</w:t>
            </w:r>
          </w:p>
        </w:tc>
        <w:tc>
          <w:tcPr>
            <w:tcW w:type="dxa" w:w="1036"/>
            <w:vAlign w:val="top"/>
          </w:tcPr>
          <w:p>
            <w:pPr>
              <w:spacing w:after="40" w:before="0" w:line="259" w:lineRule="auto"/>
            </w:pPr>
            <w:r>
              <w:rPr>
                <w:rFonts w:ascii="Calibri" w:hAnsi="Calibri"/>
                <w:b w:val="0"/>
                <w:i w:val="0"/>
                <w:color w:val="212121"/>
                <w:sz w:val="16"/>
              </w:rPr>
              <w:t>Indicates deep/posterior involvement</w:t>
            </w:r>
          </w:p>
        </w:tc>
        <w:tc>
          <w:tcPr>
            <w:tcW w:type="dxa" w:w="1036"/>
            <w:vAlign w:val="top"/>
          </w:tcPr>
          <w:p>
            <w:pPr>
              <w:spacing w:after="40" w:before="0" w:line="259" w:lineRule="auto"/>
            </w:pPr>
            <w:r>
              <w:rPr>
                <w:rFonts w:ascii="Calibri" w:hAnsi="Calibri"/>
                <w:b w:val="0"/>
                <w:i w:val="0"/>
                <w:color w:val="212121"/>
                <w:sz w:val="16"/>
              </w:rPr>
              <w:t>Advanced OSMF</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Correlates with functional impairment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Malignancy surveillance</w:t>
            </w:r>
          </w:p>
        </w:tc>
        <w:tc>
          <w:tcPr>
            <w:tcW w:type="dxa" w:w="979"/>
            <w:vAlign w:val="top"/>
          </w:tcPr>
          <w:p>
            <w:pPr>
              <w:spacing w:after="40" w:before="0" w:line="259" w:lineRule="auto"/>
            </w:pPr>
            <w:r>
              <w:rPr>
                <w:rFonts w:ascii="Calibri" w:hAnsi="Calibri"/>
                <w:b w:val="0"/>
                <w:i w:val="0"/>
                <w:color w:val="212121"/>
                <w:sz w:val="16"/>
              </w:rPr>
              <w:t>Ulcers, red/white patches, induration, exophytic growth</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suspicious lesion</w:t>
            </w:r>
          </w:p>
        </w:tc>
        <w:tc>
          <w:tcPr>
            <w:tcW w:type="dxa" w:w="1036"/>
            <w:vAlign w:val="top"/>
          </w:tcPr>
          <w:p>
            <w:pPr>
              <w:spacing w:after="40" w:before="0" w:line="259" w:lineRule="auto"/>
            </w:pPr>
            <w:r>
              <w:rPr>
                <w:rFonts w:ascii="Calibri" w:hAnsi="Calibri"/>
                <w:b w:val="0"/>
                <w:i w:val="0"/>
                <w:color w:val="212121"/>
                <w:sz w:val="16"/>
              </w:rPr>
              <w:t>Detects malignant transformation early</w:t>
            </w:r>
          </w:p>
        </w:tc>
        <w:tc>
          <w:tcPr>
            <w:tcW w:type="dxa" w:w="1036"/>
            <w:vAlign w:val="top"/>
          </w:tcPr>
          <w:p>
            <w:pPr>
              <w:spacing w:after="40" w:before="0" w:line="259" w:lineRule="auto"/>
            </w:pPr>
            <w:r>
              <w:rPr>
                <w:rFonts w:ascii="Calibri" w:hAnsi="Calibri"/>
                <w:b w:val="0"/>
                <w:i w:val="0"/>
                <w:color w:val="212121"/>
                <w:sz w:val="16"/>
              </w:rPr>
              <w:t>All OSMF, especially long-standing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Maintain a low threshold to biopsy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Nutritional / dietary history</w:t>
            </w:r>
          </w:p>
        </w:tc>
        <w:tc>
          <w:tcPr>
            <w:tcW w:type="dxa" w:w="979"/>
            <w:vAlign w:val="top"/>
          </w:tcPr>
          <w:p>
            <w:pPr>
              <w:spacing w:after="40" w:before="0" w:line="259" w:lineRule="auto"/>
            </w:pPr>
            <w:r>
              <w:rPr>
                <w:rFonts w:ascii="Calibri" w:hAnsi="Calibri"/>
                <w:b w:val="0"/>
                <w:i w:val="0"/>
                <w:color w:val="212121"/>
                <w:sz w:val="16"/>
              </w:rPr>
              <w:t>Spice intake, iron-/vitamin-poor diet, symptoms of anaemia</w:t>
            </w:r>
          </w:p>
        </w:tc>
        <w:tc>
          <w:tcPr>
            <w:tcW w:type="dxa" w:w="950"/>
            <w:vAlign w:val="top"/>
          </w:tcPr>
          <w:p>
            <w:pPr>
              <w:spacing w:after="40" w:before="0" w:line="259" w:lineRule="auto"/>
            </w:pPr>
            <w:r>
              <w:rPr>
                <w:rFonts w:ascii="Calibri" w:hAnsi="Calibri"/>
                <w:b w:val="0"/>
                <w:i w:val="0"/>
                <w:color w:val="212121"/>
                <w:sz w:val="16"/>
              </w:rPr>
              <w:t>Balanced diet, no deficiency</w:t>
            </w:r>
          </w:p>
        </w:tc>
        <w:tc>
          <w:tcPr>
            <w:tcW w:type="dxa" w:w="950"/>
            <w:vAlign w:val="top"/>
          </w:tcPr>
          <w:p>
            <w:pPr>
              <w:spacing w:after="40" w:before="0" w:line="259" w:lineRule="auto"/>
            </w:pPr>
            <w:r>
              <w:rPr>
                <w:rFonts w:ascii="Calibri" w:hAnsi="Calibri"/>
                <w:b w:val="0"/>
                <w:i w:val="0"/>
                <w:color w:val="212121"/>
                <w:sz w:val="16"/>
              </w:rPr>
              <w:t>Deficient diet, anaemia symptoms</w:t>
            </w:r>
          </w:p>
        </w:tc>
        <w:tc>
          <w:tcPr>
            <w:tcW w:type="dxa" w:w="1036"/>
            <w:vAlign w:val="top"/>
          </w:tcPr>
          <w:p>
            <w:pPr>
              <w:spacing w:after="40" w:before="0" w:line="259" w:lineRule="auto"/>
            </w:pPr>
            <w:r>
              <w:rPr>
                <w:rFonts w:ascii="Calibri" w:hAnsi="Calibri"/>
                <w:b w:val="0"/>
                <w:i w:val="0"/>
                <w:color w:val="212121"/>
                <w:sz w:val="16"/>
              </w:rPr>
              <w:t>Identifies co-factors and correctable deficiency</w:t>
            </w:r>
          </w:p>
        </w:tc>
        <w:tc>
          <w:tcPr>
            <w:tcW w:type="dxa" w:w="1036"/>
            <w:vAlign w:val="top"/>
          </w:tcPr>
          <w:p>
            <w:pPr>
              <w:spacing w:after="40" w:before="0" w:line="259" w:lineRule="auto"/>
            </w:pPr>
            <w:r>
              <w:rPr>
                <w:rFonts w:ascii="Calibri" w:hAnsi="Calibri"/>
                <w:b w:val="0"/>
                <w:i w:val="0"/>
                <w:color w:val="212121"/>
                <w:sz w:val="16"/>
              </w:rPr>
              <w:t>OSMF with anaemia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Guides dietary counselling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Dependence &amp; readiness to quit</w:t>
            </w:r>
          </w:p>
        </w:tc>
        <w:tc>
          <w:tcPr>
            <w:tcW w:type="dxa" w:w="979"/>
            <w:vAlign w:val="top"/>
          </w:tcPr>
          <w:p>
            <w:pPr>
              <w:spacing w:after="40" w:before="0" w:line="259" w:lineRule="auto"/>
            </w:pPr>
            <w:r>
              <w:rPr>
                <w:rFonts w:ascii="Calibri" w:hAnsi="Calibri"/>
                <w:b w:val="0"/>
                <w:i w:val="0"/>
                <w:color w:val="212121"/>
                <w:sz w:val="16"/>
              </w:rPr>
              <w:t>Areca/tobacco dependence, previous quit attempts, motivation</w:t>
            </w:r>
          </w:p>
        </w:tc>
        <w:tc>
          <w:tcPr>
            <w:tcW w:type="dxa" w:w="950"/>
            <w:vAlign w:val="top"/>
          </w:tcPr>
          <w:p>
            <w:pPr>
              <w:spacing w:after="40" w:before="0" w:line="259" w:lineRule="auto"/>
            </w:pPr>
            <w:r>
              <w:rPr>
                <w:rFonts w:ascii="Calibri" w:hAnsi="Calibri"/>
                <w:b w:val="0"/>
                <w:i w:val="0"/>
                <w:color w:val="212121"/>
                <w:sz w:val="16"/>
              </w:rPr>
              <w:t>No dependence</w:t>
            </w:r>
          </w:p>
        </w:tc>
        <w:tc>
          <w:tcPr>
            <w:tcW w:type="dxa" w:w="950"/>
            <w:vAlign w:val="top"/>
          </w:tcPr>
          <w:p>
            <w:pPr>
              <w:spacing w:after="40" w:before="0" w:line="259" w:lineRule="auto"/>
            </w:pPr>
            <w:r>
              <w:rPr>
                <w:rFonts w:ascii="Calibri" w:hAnsi="Calibri"/>
                <w:b w:val="0"/>
                <w:i w:val="0"/>
                <w:color w:val="212121"/>
                <w:sz w:val="16"/>
              </w:rPr>
              <w:t>Dependence present</w:t>
            </w:r>
          </w:p>
        </w:tc>
        <w:tc>
          <w:tcPr>
            <w:tcW w:type="dxa" w:w="1036"/>
            <w:vAlign w:val="top"/>
          </w:tcPr>
          <w:p>
            <w:pPr>
              <w:spacing w:after="40" w:before="0" w:line="259" w:lineRule="auto"/>
            </w:pPr>
            <w:r>
              <w:rPr>
                <w:rFonts w:ascii="Calibri" w:hAnsi="Calibri"/>
                <w:b w:val="0"/>
                <w:i w:val="0"/>
                <w:color w:val="212121"/>
                <w:sz w:val="16"/>
              </w:rPr>
              <w:t>Shapes cessation strategy and behavioural support</w:t>
            </w:r>
          </w:p>
        </w:tc>
        <w:tc>
          <w:tcPr>
            <w:tcW w:type="dxa" w:w="1036"/>
            <w:vAlign w:val="top"/>
          </w:tcPr>
          <w:p>
            <w:pPr>
              <w:spacing w:after="40" w:before="0" w:line="259" w:lineRule="auto"/>
            </w:pPr>
            <w:r>
              <w:rPr>
                <w:rFonts w:ascii="Calibri" w:hAnsi="Calibri"/>
                <w:b w:val="0"/>
                <w:i w:val="0"/>
                <w:color w:val="212121"/>
                <w:sz w:val="16"/>
              </w:rPr>
              <w:t>Habitual chewers</w:t>
            </w:r>
          </w:p>
        </w:tc>
        <w:tc>
          <w:tcPr>
            <w:tcW w:type="dxa" w:w="720"/>
            <w:vAlign w:val="top"/>
          </w:tcPr>
          <w:p>
            <w:pPr>
              <w:spacing w:after="40" w:before="0" w:line="259" w:lineRule="auto"/>
            </w:pPr>
            <w:r>
              <w:rPr>
                <w:rFonts w:ascii="Calibri" w:hAnsi="Calibri"/>
                <w:b w:val="0"/>
                <w:i w:val="0"/>
                <w:color w:val="212121"/>
                <w:sz w:val="16"/>
              </w:rPr>
              <w:t>Mental health; Provoking factors</w:t>
            </w:r>
          </w:p>
        </w:tc>
        <w:tc>
          <w:tcPr>
            <w:tcW w:type="dxa" w:w="720"/>
            <w:vAlign w:val="top"/>
          </w:tcPr>
          <w:p>
            <w:pPr>
              <w:spacing w:after="40" w:before="0" w:line="259" w:lineRule="auto"/>
            </w:pPr>
            <w:r>
              <w:rPr>
                <w:rFonts w:ascii="Calibri" w:hAnsi="Calibri"/>
                <w:b w:val="0"/>
                <w:i w:val="0"/>
                <w:color w:val="212121"/>
                <w:sz w:val="16"/>
              </w:rPr>
              <w:t>Management</w:t>
            </w:r>
          </w:p>
        </w:tc>
        <w:tc>
          <w:tcPr>
            <w:tcW w:type="dxa" w:w="720"/>
            <w:vAlign w:val="top"/>
          </w:tcPr>
          <w:p>
            <w:pPr>
              <w:spacing w:after="40" w:before="0" w:line="259" w:lineRule="auto"/>
            </w:pPr>
            <w:r>
              <w:rPr>
                <w:rFonts w:ascii="Calibri" w:hAnsi="Calibri"/>
                <w:b w:val="0"/>
                <w:i w:val="0"/>
                <w:color w:val="212121"/>
                <w:sz w:val="16"/>
              </w:rPr>
              <w:t>Central to preventing progression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Burning sensation of the mouth on spicy/hot food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Often the earliest symptom; intolerance to chilli and spice from mucosal inflammation.</w:t>
            </w:r>
          </w:p>
        </w:tc>
      </w:tr>
      <w:tr>
        <w:trPr>
          <w:cantSplit/>
        </w:trPr>
        <w:tc>
          <w:tcPr>
            <w:tcW w:type="dxa" w:w="2304"/>
            <w:vAlign w:val="top"/>
          </w:tcPr>
          <w:p>
            <w:pPr>
              <w:spacing w:after="40" w:before="0" w:line="259" w:lineRule="auto"/>
            </w:pPr>
            <w:r>
              <w:rPr>
                <w:rFonts w:ascii="Calibri" w:hAnsi="Calibri"/>
                <w:b/>
                <w:i w:val="0"/>
                <w:color w:val="212121"/>
                <w:sz w:val="19"/>
              </w:rPr>
              <w:t>Progressive difficulty opening the mouth (trismus)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Hallmark of established OSMF; steadily reduces the interincisal distance.</w:t>
            </w:r>
          </w:p>
        </w:tc>
      </w:tr>
      <w:tr>
        <w:trPr>
          <w:cantSplit/>
        </w:trPr>
        <w:tc>
          <w:tcPr>
            <w:tcW w:type="dxa" w:w="2304"/>
            <w:vAlign w:val="top"/>
          </w:tcPr>
          <w:p>
            <w:pPr>
              <w:spacing w:after="40" w:before="0" w:line="259" w:lineRule="auto"/>
            </w:pPr>
            <w:r>
              <w:rPr>
                <w:rFonts w:ascii="Calibri" w:hAnsi="Calibri"/>
                <w:b/>
                <w:i w:val="0"/>
                <w:color w:val="212121"/>
                <w:sz w:val="19"/>
              </w:rPr>
              <w:t>Stiffness / rigidity of the oral mucosa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Loss of the normal soft, elastic feel of the cheeks and lips.</w:t>
            </w:r>
          </w:p>
        </w:tc>
      </w:tr>
      <w:tr>
        <w:trPr>
          <w:cantSplit/>
        </w:trPr>
        <w:tc>
          <w:tcPr>
            <w:tcW w:type="dxa" w:w="2304"/>
            <w:vAlign w:val="top"/>
          </w:tcPr>
          <w:p>
            <w:pPr>
              <w:spacing w:after="40" w:before="0" w:line="259" w:lineRule="auto"/>
            </w:pPr>
            <w:r>
              <w:rPr>
                <w:rFonts w:ascii="Calibri" w:hAnsi="Calibri"/>
                <w:b/>
                <w:i w:val="0"/>
                <w:color w:val="212121"/>
                <w:sz w:val="19"/>
              </w:rPr>
              <w:t>Dryness of the mouth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Mucosal atrophy and altered salivation cause a persistent dry, tight feeling.</w:t>
            </w:r>
          </w:p>
        </w:tc>
      </w:tr>
      <w:tr>
        <w:trPr>
          <w:cantSplit/>
        </w:trPr>
        <w:tc>
          <w:tcPr>
            <w:tcW w:type="dxa" w:w="2304"/>
            <w:vAlign w:val="top"/>
          </w:tcPr>
          <w:p>
            <w:pPr>
              <w:spacing w:after="40" w:before="0" w:line="259" w:lineRule="auto"/>
            </w:pPr>
            <w:r>
              <w:rPr>
                <w:rFonts w:ascii="Calibri" w:hAnsi="Calibri"/>
                <w:b/>
                <w:i w:val="0"/>
                <w:color w:val="212121"/>
                <w:sz w:val="19"/>
              </w:rPr>
              <w:t>Recurrent oral vesicles, ulcers or soreness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Blistering and ulceration on the atrophic, fragile mucosa, especially after chewing.</w:t>
            </w:r>
          </w:p>
        </w:tc>
      </w:tr>
      <w:tr>
        <w:trPr>
          <w:cantSplit/>
        </w:trPr>
        <w:tc>
          <w:tcPr>
            <w:tcW w:type="dxa" w:w="2304"/>
            <w:vAlign w:val="top"/>
          </w:tcPr>
          <w:p>
            <w:pPr>
              <w:spacing w:after="40" w:before="0" w:line="259" w:lineRule="auto"/>
            </w:pPr>
            <w:r>
              <w:rPr>
                <w:rFonts w:ascii="Calibri" w:hAnsi="Calibri"/>
                <w:b/>
                <w:i w:val="0"/>
                <w:color w:val="212121"/>
                <w:sz w:val="19"/>
              </w:rPr>
              <w:t>Pain on chewing / mastication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Fibrosis and mucosal atrophy make eating uncomfortable.</w:t>
            </w:r>
          </w:p>
        </w:tc>
      </w:tr>
      <w:tr>
        <w:trPr>
          <w:cantSplit/>
        </w:trPr>
        <w:tc>
          <w:tcPr>
            <w:tcW w:type="dxa" w:w="2304"/>
            <w:vAlign w:val="top"/>
          </w:tcPr>
          <w:p>
            <w:pPr>
              <w:spacing w:after="40" w:before="0" w:line="259" w:lineRule="auto"/>
            </w:pPr>
            <w:r>
              <w:rPr>
                <w:rFonts w:ascii="Calibri" w:hAnsi="Calibri"/>
                <w:b/>
                <w:i w:val="0"/>
                <w:color w:val="212121"/>
                <w:sz w:val="19"/>
              </w:rPr>
              <w:t>Difficulty swallowing (dysphagia)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Occurs in advanced disease with pharyngeal/oesophageal involvement.</w:t>
            </w:r>
          </w:p>
        </w:tc>
      </w:tr>
      <w:tr>
        <w:trPr>
          <w:cantSplit/>
        </w:trPr>
        <w:tc>
          <w:tcPr>
            <w:tcW w:type="dxa" w:w="2304"/>
            <w:vAlign w:val="top"/>
          </w:tcPr>
          <w:p>
            <w:pPr>
              <w:spacing w:after="40" w:before="0" w:line="259" w:lineRule="auto"/>
            </w:pPr>
            <w:r>
              <w:rPr>
                <w:rFonts w:ascii="Calibri" w:hAnsi="Calibri"/>
                <w:b/>
                <w:i w:val="0"/>
                <w:color w:val="212121"/>
                <w:sz w:val="19"/>
              </w:rPr>
              <w:t>Difficulty or altered speech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Restricted mouth opening and stiff, immobile palate impair articulation.</w:t>
            </w:r>
          </w:p>
        </w:tc>
      </w:tr>
      <w:tr>
        <w:trPr>
          <w:cantSplit/>
        </w:trPr>
        <w:tc>
          <w:tcPr>
            <w:tcW w:type="dxa" w:w="2304"/>
            <w:vAlign w:val="top"/>
          </w:tcPr>
          <w:p>
            <w:pPr>
              <w:spacing w:after="40" w:before="0" w:line="259" w:lineRule="auto"/>
            </w:pPr>
            <w:r>
              <w:rPr>
                <w:rFonts w:ascii="Calibri" w:hAnsi="Calibri"/>
                <w:b/>
                <w:i w:val="0"/>
                <w:color w:val="212121"/>
                <w:sz w:val="19"/>
              </w:rPr>
              <w:t>Altered or reduced taste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Depapillation and atrophy of the tongue blunt taste sensation.</w:t>
            </w:r>
          </w:p>
        </w:tc>
      </w:tr>
      <w:tr>
        <w:trPr>
          <w:cantSplit/>
        </w:trPr>
        <w:tc>
          <w:tcPr>
            <w:tcW w:type="dxa" w:w="2304"/>
            <w:vAlign w:val="top"/>
          </w:tcPr>
          <w:p>
            <w:pPr>
              <w:spacing w:after="40" w:before="0" w:line="259" w:lineRule="auto"/>
            </w:pPr>
            <w:r>
              <w:rPr>
                <w:rFonts w:ascii="Calibri" w:hAnsi="Calibri"/>
                <w:b/>
                <w:i w:val="0"/>
                <w:color w:val="212121"/>
                <w:sz w:val="19"/>
              </w:rPr>
              <w:t>Difficulty protruding the tongue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Fibrosis of the tongue and floor of mouth restricts protrusion.</w:t>
            </w:r>
          </w:p>
        </w:tc>
      </w:tr>
      <w:tr>
        <w:trPr>
          <w:cantSplit/>
        </w:trPr>
        <w:tc>
          <w:tcPr>
            <w:tcW w:type="dxa" w:w="2304"/>
            <w:vAlign w:val="top"/>
          </w:tcPr>
          <w:p>
            <w:pPr>
              <w:spacing w:after="40" w:before="0" w:line="259" w:lineRule="auto"/>
            </w:pPr>
            <w:r>
              <w:rPr>
                <w:rFonts w:ascii="Calibri" w:hAnsi="Calibri"/>
                <w:b/>
                <w:i w:val="0"/>
                <w:color w:val="212121"/>
                <w:sz w:val="19"/>
              </w:rPr>
              <w:t>Nasal-toned speech or referred ear symptoms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Soft-palate and peritubal fibrosis may alter resonance or cause ear fullness.</w:t>
            </w:r>
          </w:p>
        </w:tc>
      </w:tr>
      <w:tr>
        <w:trPr>
          <w:cantSplit/>
        </w:trPr>
        <w:tc>
          <w:tcPr>
            <w:tcW w:type="dxa" w:w="2304"/>
            <w:vAlign w:val="top"/>
          </w:tcPr>
          <w:p>
            <w:pPr>
              <w:spacing w:after="40" w:before="0" w:line="259" w:lineRule="auto"/>
            </w:pPr>
            <w:r>
              <w:rPr>
                <w:rFonts w:ascii="Calibri" w:hAnsi="Calibri"/>
                <w:b/>
                <w:i w:val="0"/>
                <w:color w:val="212121"/>
                <w:sz w:val="19"/>
              </w:rPr>
              <w:t>Unintentional weight loss / poor nutrition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Painful, restricted eating reduces intake over time.</w:t>
            </w:r>
          </w:p>
        </w:tc>
      </w:tr>
      <w:tr>
        <w:trPr>
          <w:cantSplit/>
        </w:trPr>
        <w:tc>
          <w:tcPr>
            <w:tcW w:type="dxa" w:w="2304"/>
            <w:vAlign w:val="top"/>
          </w:tcPr>
          <w:p>
            <w:pPr>
              <w:spacing w:after="40" w:before="0" w:line="259" w:lineRule="auto"/>
            </w:pPr>
            <w:r>
              <w:rPr>
                <w:rFonts w:ascii="Calibri" w:hAnsi="Calibri"/>
                <w:b/>
                <w:i w:val="0"/>
                <w:color w:val="212121"/>
                <w:sz w:val="19"/>
              </w:rPr>
              <w:t>Persistent non-healing ulcer, lump or numb patch</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Red-flag for malignant transformation to oral squamous cell carcinoma - needs urgent biopsy.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Blanching (marble-white change) of the oral mucosa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Pallor from subepithelial fibrosis and reduced vascularity; earliest visible sign.</w:t>
            </w:r>
          </w:p>
        </w:tc>
      </w:tr>
      <w:tr>
        <w:trPr>
          <w:cantSplit/>
        </w:trPr>
        <w:tc>
          <w:tcPr>
            <w:tcW w:type="dxa" w:w="3456"/>
            <w:vAlign w:val="top"/>
          </w:tcPr>
          <w:p>
            <w:pPr>
              <w:spacing w:after="40" w:before="0" w:line="259" w:lineRule="auto"/>
            </w:pPr>
            <w:r>
              <w:rPr>
                <w:rFonts w:ascii="Calibri" w:hAnsi="Calibri"/>
                <w:b/>
                <w:i w:val="0"/>
                <w:color w:val="212121"/>
                <w:sz w:val="19"/>
              </w:rPr>
              <w:t>Palpable vertical fibrous bands in the buccal mucosa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Firm, cord-like bands felt on palpation of the cheeks - characteristic of OSMF.</w:t>
            </w:r>
          </w:p>
        </w:tc>
      </w:tr>
      <w:tr>
        <w:trPr>
          <w:cantSplit/>
        </w:trPr>
        <w:tc>
          <w:tcPr>
            <w:tcW w:type="dxa" w:w="3456"/>
            <w:vAlign w:val="top"/>
          </w:tcPr>
          <w:p>
            <w:pPr>
              <w:spacing w:after="40" w:before="0" w:line="259" w:lineRule="auto"/>
            </w:pPr>
            <w:r>
              <w:rPr>
                <w:rFonts w:ascii="Calibri" w:hAnsi="Calibri"/>
                <w:b/>
                <w:i w:val="0"/>
                <w:color w:val="212121"/>
                <w:sz w:val="19"/>
              </w:rPr>
              <w:t>Circumoral fibrous band with restricted lip mobility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fibrous ring around the mouth limits lip movement and opening.</w:t>
            </w:r>
          </w:p>
        </w:tc>
      </w:tr>
      <w:tr>
        <w:trPr>
          <w:cantSplit/>
        </w:trPr>
        <w:tc>
          <w:tcPr>
            <w:tcW w:type="dxa" w:w="3456"/>
            <w:vAlign w:val="top"/>
          </w:tcPr>
          <w:p>
            <w:pPr>
              <w:spacing w:after="40" w:before="0" w:line="259" w:lineRule="auto"/>
            </w:pPr>
            <w:r>
              <w:rPr>
                <w:rFonts w:ascii="Calibri" w:hAnsi="Calibri"/>
                <w:b/>
                <w:i w:val="0"/>
                <w:color w:val="212121"/>
                <w:sz w:val="19"/>
              </w:rPr>
              <w:t>Reduced interincisal mouth opening (measured trismus)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Objectively reduced opening, measured and used for staging.</w:t>
            </w:r>
          </w:p>
        </w:tc>
      </w:tr>
      <w:tr>
        <w:trPr>
          <w:cantSplit/>
        </w:trPr>
        <w:tc>
          <w:tcPr>
            <w:tcW w:type="dxa" w:w="3456"/>
            <w:vAlign w:val="top"/>
          </w:tcPr>
          <w:p>
            <w:pPr>
              <w:spacing w:after="40" w:before="0" w:line="259" w:lineRule="auto"/>
            </w:pPr>
            <w:r>
              <w:rPr>
                <w:rFonts w:ascii="Calibri" w:hAnsi="Calibri"/>
                <w:b/>
                <w:i w:val="0"/>
                <w:color w:val="212121"/>
                <w:sz w:val="19"/>
              </w:rPr>
              <w:t>Leathery, non-pliable mucosa on palpation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Loss of the normal soft, elastic texture of the mucosa.</w:t>
            </w:r>
          </w:p>
        </w:tc>
      </w:tr>
      <w:tr>
        <w:trPr>
          <w:cantSplit/>
        </w:trPr>
        <w:tc>
          <w:tcPr>
            <w:tcW w:type="dxa" w:w="3456"/>
            <w:vAlign w:val="top"/>
          </w:tcPr>
          <w:p>
            <w:pPr>
              <w:spacing w:after="40" w:before="0" w:line="259" w:lineRule="auto"/>
            </w:pPr>
            <w:r>
              <w:rPr>
                <w:rFonts w:ascii="Calibri" w:hAnsi="Calibri"/>
                <w:b/>
                <w:i w:val="0"/>
                <w:color w:val="212121"/>
                <w:sz w:val="19"/>
              </w:rPr>
              <w:t>Atrophic tongue with loss of papillae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Smooth, depapillated, blanched tongue from mucosal atrophy.</w:t>
            </w:r>
          </w:p>
        </w:tc>
      </w:tr>
      <w:tr>
        <w:trPr>
          <w:cantSplit/>
        </w:trPr>
        <w:tc>
          <w:tcPr>
            <w:tcW w:type="dxa" w:w="3456"/>
            <w:vAlign w:val="top"/>
          </w:tcPr>
          <w:p>
            <w:pPr>
              <w:spacing w:after="40" w:before="0" w:line="259" w:lineRule="auto"/>
            </w:pPr>
            <w:r>
              <w:rPr>
                <w:rFonts w:ascii="Calibri" w:hAnsi="Calibri"/>
                <w:b/>
                <w:i w:val="0"/>
                <w:color w:val="212121"/>
                <w:sz w:val="19"/>
              </w:rPr>
              <w:t>Restricted tongue protrusion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Fibrosis limits how far the tongue can be extended.</w:t>
            </w:r>
          </w:p>
        </w:tc>
      </w:tr>
      <w:tr>
        <w:trPr>
          <w:cantSplit/>
        </w:trPr>
        <w:tc>
          <w:tcPr>
            <w:tcW w:type="dxa" w:w="3456"/>
            <w:vAlign w:val="top"/>
          </w:tcPr>
          <w:p>
            <w:pPr>
              <w:spacing w:after="40" w:before="0" w:line="259" w:lineRule="auto"/>
            </w:pPr>
            <w:r>
              <w:rPr>
                <w:rFonts w:ascii="Calibri" w:hAnsi="Calibri"/>
                <w:b/>
                <w:i w:val="0"/>
                <w:color w:val="212121"/>
                <w:sz w:val="19"/>
              </w:rPr>
              <w:t>Shrunken, bud-like uvula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Fibrosis contracts the uvula into a small, budded shape - a classic OSMF sign.</w:t>
            </w:r>
          </w:p>
        </w:tc>
      </w:tr>
      <w:tr>
        <w:trPr>
          <w:cantSplit/>
        </w:trPr>
        <w:tc>
          <w:tcPr>
            <w:tcW w:type="dxa" w:w="3456"/>
            <w:vAlign w:val="top"/>
          </w:tcPr>
          <w:p>
            <w:pPr>
              <w:spacing w:after="40" w:before="0" w:line="259" w:lineRule="auto"/>
            </w:pPr>
            <w:r>
              <w:rPr>
                <w:rFonts w:ascii="Calibri" w:hAnsi="Calibri"/>
                <w:b/>
                <w:i w:val="0"/>
                <w:color w:val="212121"/>
                <w:sz w:val="19"/>
              </w:rPr>
              <w:t>Blanched, stiff, immobile soft palate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Reduced palatal movement from fibrosis of the soft palate and faucial pillars.</w:t>
            </w:r>
          </w:p>
        </w:tc>
      </w:tr>
      <w:tr>
        <w:trPr>
          <w:cantSplit/>
        </w:trPr>
        <w:tc>
          <w:tcPr>
            <w:tcW w:type="dxa" w:w="3456"/>
            <w:vAlign w:val="top"/>
          </w:tcPr>
          <w:p>
            <w:pPr>
              <w:spacing w:after="40" w:before="0" w:line="259" w:lineRule="auto"/>
            </w:pPr>
            <w:r>
              <w:rPr>
                <w:rFonts w:ascii="Calibri" w:hAnsi="Calibri"/>
                <w:b/>
                <w:i w:val="0"/>
                <w:color w:val="212121"/>
                <w:sz w:val="19"/>
              </w:rPr>
              <w:t>Inability to puff out the cheeks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Loss of buccal elasticity prevents ballooning of the cheeks.</w:t>
            </w:r>
          </w:p>
        </w:tc>
      </w:tr>
      <w:tr>
        <w:trPr>
          <w:cantSplit/>
        </w:trPr>
        <w:tc>
          <w:tcPr>
            <w:tcW w:type="dxa" w:w="3456"/>
            <w:vAlign w:val="top"/>
          </w:tcPr>
          <w:p>
            <w:pPr>
              <w:spacing w:after="40" w:before="0" w:line="259" w:lineRule="auto"/>
            </w:pPr>
            <w:r>
              <w:rPr>
                <w:rFonts w:ascii="Calibri" w:hAnsi="Calibri"/>
                <w:b/>
                <w:i w:val="0"/>
                <w:color w:val="212121"/>
                <w:sz w:val="19"/>
              </w:rPr>
              <w:t>Pallor of conjunctiva / nail beds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Reflects associated iron-deficiency anaemia.</w:t>
            </w:r>
          </w:p>
        </w:tc>
      </w:tr>
      <w:tr>
        <w:trPr>
          <w:cantSplit/>
        </w:trPr>
        <w:tc>
          <w:tcPr>
            <w:tcW w:type="dxa" w:w="3456"/>
            <w:vAlign w:val="top"/>
          </w:tcPr>
          <w:p>
            <w:pPr>
              <w:spacing w:after="40" w:before="0" w:line="259" w:lineRule="auto"/>
            </w:pPr>
            <w:r>
              <w:rPr>
                <w:rFonts w:ascii="Calibri" w:hAnsi="Calibri"/>
                <w:b/>
                <w:i w:val="0"/>
                <w:color w:val="212121"/>
                <w:sz w:val="19"/>
              </w:rPr>
              <w:t>Induration, ulcer or exophytic growth</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Sign of malignant transformation - warrants immediate biopsy.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trismus and limited mouth opening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Oral mucosal stiffness and burning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mastication, swallowing and speech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Difficulty maintaining oral hygiene and dental access</w:t>
            </w:r>
          </w:p>
        </w:tc>
        <w:tc>
          <w:tcPr>
            <w:tcW w:type="dxa" w:w="2980"/>
            <w:vAlign w:val="top"/>
          </w:tcPr>
          <w:p>
            <w:pPr>
              <w:spacing w:after="40" w:before="0" w:line="259" w:lineRule="auto"/>
            </w:pPr>
            <w:r>
              <w:rPr>
                <w:rFonts w:ascii="Calibri" w:hAnsi="Calibri"/>
                <w:b w:val="0"/>
                <w:i w:val="0"/>
                <w:color w:val="212121"/>
                <w:sz w:val="19"/>
              </w:rPr>
              <w:t>Direct consequences of progressive subepithelial fibrosis of the oral mucosa</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Nutritional deficiency and weight loss from painful, restricted eating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ulceration and secondary infection (including oral candidiasis)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Worsening periodontal disease, caries and tooth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Coexisting oral potentially malignant disorders (leukoplakia, erythroplakia)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Areca/tobacco dependence and psychological distress</w:t>
            </w:r>
          </w:p>
        </w:tc>
        <w:tc>
          <w:tcPr>
            <w:tcW w:type="dxa" w:w="2980"/>
            <w:vAlign w:val="top"/>
          </w:tcPr>
          <w:p>
            <w:pPr>
              <w:spacing w:after="40" w:before="0" w:line="259" w:lineRule="auto"/>
            </w:pPr>
            <w:r>
              <w:rPr>
                <w:rFonts w:ascii="Calibri" w:hAnsi="Calibri"/>
                <w:b w:val="0"/>
                <w:i w:val="0"/>
                <w:color w:val="212121"/>
                <w:sz w:val="19"/>
              </w:rPr>
              <w:t>Result from chronic fibrosis, impaired oral function and the associated habit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Malignant transformation to oral squamous cell carcinoma (the major, irreversible outcome)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fixed trismus requiring surgical band release and grafting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Facial disfigurement and long-term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Morbidity and mortality of oral-cancer treatment (surgery, radiotherapy, chemotherapy)</w:t>
            </w:r>
          </w:p>
        </w:tc>
        <w:tc>
          <w:tcPr>
            <w:tcW w:type="dxa" w:w="2980"/>
            <w:vAlign w:val="top"/>
          </w:tcPr>
          <w:p>
            <w:pPr>
              <w:spacing w:after="40" w:before="0" w:line="259" w:lineRule="auto"/>
            </w:pPr>
            <w:r>
              <w:rPr>
                <w:rFonts w:ascii="Calibri" w:hAnsi="Calibri"/>
                <w:b w:val="0"/>
                <w:i w:val="0"/>
                <w:color w:val="212121"/>
                <w:sz w:val="19"/>
              </w:rPr>
              <w:t>Irreversible, disabling and potentially fatal outcomes of longstanding OSMF</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Oral squamous cell carcinoma (OSCC)</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OSMF is an established precursor lesion; malignant transformation is the most serious outcome and the reason for lifelong surveillance.</w:t>
            </w:r>
          </w:p>
          <w:p>
            <w:pPr>
              <w:spacing w:after="40" w:before="0" w:line="259" w:lineRule="auto"/>
            </w:pPr>
            <w:r>
              <w:rPr>
                <w:rFonts w:ascii="Calibri" w:hAnsi="Calibri"/>
                <w:b/>
                <w:i w:val="0"/>
                <w:color w:val="212121"/>
                <w:sz w:val="19"/>
              </w:rPr>
              <w:t>~6% overall; ~8% in Indian cohorts</w:t>
            </w:r>
          </w:p>
        </w:tc>
      </w:tr>
      <w:tr>
        <w:trPr>
          <w:cantSplit/>
        </w:trPr>
        <w:tc>
          <w:tcPr>
            <w:tcW w:type="dxa" w:w="2232"/>
            <w:vAlign w:val="top"/>
          </w:tcPr>
          <w:p>
            <w:pPr>
              <w:spacing w:after="40" w:before="0" w:line="259" w:lineRule="auto"/>
            </w:pPr>
            <w:r>
              <w:rPr>
                <w:rFonts w:ascii="Calibri" w:hAnsi="Calibri"/>
                <w:b/>
                <w:i w:val="0"/>
                <w:color w:val="212121"/>
                <w:sz w:val="19"/>
              </w:rPr>
              <w:t>Oral leukoplakia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Commonly coexists as a concurrent habit-related potentially malignant disorder; combined lesions further raise oral-cancer risk.</w:t>
            </w:r>
          </w:p>
        </w:tc>
      </w:tr>
      <w:tr>
        <w:trPr>
          <w:cantSplit/>
        </w:trPr>
        <w:tc>
          <w:tcPr>
            <w:tcW w:type="dxa" w:w="2232"/>
            <w:vAlign w:val="top"/>
          </w:tcPr>
          <w:p>
            <w:pPr>
              <w:spacing w:after="40" w:before="0" w:line="259" w:lineRule="auto"/>
            </w:pPr>
            <w:r>
              <w:rPr>
                <w:rFonts w:ascii="Calibri" w:hAnsi="Calibri"/>
                <w:b/>
                <w:i w:val="0"/>
                <w:color w:val="212121"/>
                <w:sz w:val="19"/>
              </w:rPr>
              <w:t>Erythroplakia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high-risk potentially malignant disorder that may coexist with OSMF and carries strong dysplastic/malignant potential.</w:t>
            </w:r>
          </w:p>
        </w:tc>
      </w:tr>
      <w:tr>
        <w:trPr>
          <w:cantSplit/>
        </w:trPr>
        <w:tc>
          <w:tcPr>
            <w:tcW w:type="dxa" w:w="2232"/>
            <w:vAlign w:val="top"/>
          </w:tcPr>
          <w:p>
            <w:pPr>
              <w:spacing w:after="40" w:before="0" w:line="259" w:lineRule="auto"/>
            </w:pPr>
            <w:r>
              <w:rPr>
                <w:rFonts w:ascii="Calibri" w:hAnsi="Calibri"/>
                <w:b/>
                <w:i w:val="0"/>
                <w:color w:val="212121"/>
                <w:sz w:val="19"/>
              </w:rPr>
              <w:t>Iron-deficiency anaemia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Weakens the mucosal barrier and predisposes to fibrosis, while painful restricted eating in OSMF worsens iron intake - a two-way relationship.</w:t>
            </w:r>
          </w:p>
        </w:tc>
      </w:tr>
      <w:tr>
        <w:trPr>
          <w:cantSplit/>
        </w:trPr>
        <w:tc>
          <w:tcPr>
            <w:tcW w:type="dxa" w:w="2232"/>
            <w:vAlign w:val="top"/>
          </w:tcPr>
          <w:p>
            <w:pPr>
              <w:spacing w:after="40" w:before="0" w:line="259" w:lineRule="auto"/>
            </w:pPr>
            <w:r>
              <w:rPr>
                <w:rFonts w:ascii="Calibri" w:hAnsi="Calibri"/>
                <w:b/>
                <w:i w:val="0"/>
                <w:color w:val="212121"/>
                <w:sz w:val="19"/>
              </w:rPr>
              <w:t>Areca-nut / smokeless-tobacco dependence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The addictive causal habit; dependence both predisposes to OSMF and dominates its management, since cessation is the essential treatment.</w:t>
            </w:r>
          </w:p>
        </w:tc>
      </w:tr>
      <w:tr>
        <w:trPr>
          <w:cantSplit/>
        </w:trPr>
        <w:tc>
          <w:tcPr>
            <w:tcW w:type="dxa" w:w="2232"/>
            <w:vAlign w:val="top"/>
          </w:tcPr>
          <w:p>
            <w:pPr>
              <w:spacing w:after="40" w:before="0" w:line="259" w:lineRule="auto"/>
            </w:pPr>
            <w:r>
              <w:rPr>
                <w:rFonts w:ascii="Calibri" w:hAnsi="Calibri"/>
                <w:b/>
                <w:i w:val="0"/>
                <w:color w:val="212121"/>
                <w:sz w:val="19"/>
              </w:rPr>
              <w:t>Oral candidiasis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Superimposed fungal infection thrives on the atrophic, fragile mucosa and may accelerate dysplastic change.</w:t>
            </w:r>
          </w:p>
        </w:tc>
      </w:tr>
      <w:tr>
        <w:trPr>
          <w:cantSplit/>
        </w:trPr>
        <w:tc>
          <w:tcPr>
            <w:tcW w:type="dxa" w:w="2232"/>
            <w:vAlign w:val="top"/>
          </w:tcPr>
          <w:p>
            <w:pPr>
              <w:spacing w:after="40" w:before="0" w:line="259" w:lineRule="auto"/>
            </w:pPr>
            <w:r>
              <w:rPr>
                <w:rFonts w:ascii="Calibri" w:hAnsi="Calibri"/>
                <w:b/>
                <w:i w:val="0"/>
                <w:color w:val="212121"/>
                <w:sz w:val="19"/>
              </w:rPr>
              <w:t>Chronic periodontitis &amp; tooth loss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Trismus limits oral hygiene and dental access, and retained gutka worsens periodontal disease and caries.</w:t>
            </w:r>
          </w:p>
        </w:tc>
      </w:tr>
      <w:tr>
        <w:trPr>
          <w:cantSplit/>
        </w:trPr>
        <w:tc>
          <w:tcPr>
            <w:tcW w:type="dxa" w:w="2232"/>
            <w:vAlign w:val="top"/>
          </w:tcPr>
          <w:p>
            <w:pPr>
              <w:spacing w:after="40" w:before="0" w:line="259" w:lineRule="auto"/>
            </w:pPr>
            <w:r>
              <w:rPr>
                <w:rFonts w:ascii="Calibri" w:hAnsi="Calibri"/>
                <w:b/>
                <w:i w:val="0"/>
                <w:color w:val="212121"/>
                <w:sz w:val="19"/>
              </w:rPr>
              <w:t>Xerostomia (dry mouth)</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Mucosal atrophy and altered salivation produce persistent dryness that compounds burning and difficulty eating.</w:t>
            </w:r>
          </w:p>
        </w:tc>
      </w:tr>
      <w:tr>
        <w:trPr>
          <w:cantSplit/>
        </w:trPr>
        <w:tc>
          <w:tcPr>
            <w:tcW w:type="dxa" w:w="2232"/>
            <w:vAlign w:val="top"/>
          </w:tcPr>
          <w:p>
            <w:pPr>
              <w:spacing w:after="40" w:before="0" w:line="259" w:lineRule="auto"/>
            </w:pPr>
            <w:r>
              <w:rPr>
                <w:rFonts w:ascii="Calibri" w:hAnsi="Calibri"/>
                <w:b/>
                <w:i w:val="0"/>
                <w:color w:val="212121"/>
                <w:sz w:val="19"/>
              </w:rPr>
              <w:t>Oral lichen planus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Another oral potentially malignant / inflammatory mucosal disorder that may coexist in chewers and must be distinguished on biopsy.</w:t>
            </w:r>
          </w:p>
        </w:tc>
      </w:tr>
      <w:tr>
        <w:trPr>
          <w:cantSplit/>
        </w:trPr>
        <w:tc>
          <w:tcPr>
            <w:tcW w:type="dxa" w:w="2232"/>
            <w:vAlign w:val="top"/>
          </w:tcPr>
          <w:p>
            <w:pPr>
              <w:spacing w:after="40" w:before="0" w:line="259" w:lineRule="auto"/>
            </w:pPr>
            <w:r>
              <w:rPr>
                <w:rFonts w:ascii="Calibri" w:hAnsi="Calibri"/>
                <w:b/>
                <w:i w:val="0"/>
                <w:color w:val="212121"/>
                <w:sz w:val="19"/>
              </w:rPr>
              <w:t>Micronutrient deficiency (vitamin B-complex, zinc)</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Deficiency impairs mucosal repair and increases susceptibility; established OSMF further limits nutrient intake.</w:t>
            </w:r>
          </w:p>
        </w:tc>
      </w:tr>
      <w:tr>
        <w:trPr>
          <w:cantSplit/>
        </w:trPr>
        <w:tc>
          <w:tcPr>
            <w:tcW w:type="dxa" w:w="2232"/>
            <w:vAlign w:val="top"/>
          </w:tcPr>
          <w:p>
            <w:pPr>
              <w:spacing w:after="40" w:before="0" w:line="259" w:lineRule="auto"/>
            </w:pPr>
            <w:r>
              <w:rPr>
                <w:rFonts w:ascii="Calibri" w:hAnsi="Calibri"/>
                <w:b/>
                <w:i w:val="0"/>
                <w:color w:val="212121"/>
                <w:sz w:val="19"/>
              </w:rPr>
              <w:t>Temporomandibular joint &amp; masticatory-muscle dysfunction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trismus and altered jaw function lead to masticatory-muscle and TMJ problems and stiffness.</w:t>
            </w:r>
          </w:p>
        </w:tc>
      </w:tr>
      <w:tr>
        <w:trPr>
          <w:cantSplit/>
        </w:trPr>
        <w:tc>
          <w:tcPr>
            <w:tcW w:type="dxa" w:w="2232"/>
            <w:vAlign w:val="top"/>
          </w:tcPr>
          <w:p>
            <w:pPr>
              <w:spacing w:after="40" w:before="0" w:line="259" w:lineRule="auto"/>
            </w:pPr>
            <w:r>
              <w:rPr>
                <w:rFonts w:ascii="Calibri" w:hAnsi="Calibri"/>
                <w:b/>
                <w:i w:val="0"/>
                <w:color w:val="212121"/>
                <w:sz w:val="19"/>
              </w:rPr>
              <w:t>Second primary / upper aero-digestive field cancerisation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shared carcinogen exposure produces field change, raising the risk of additional or second primary tumours of the mouth and upper aero-digestive tract.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start areca nut, gutka, pan-masala, betel quid, supari or mawa - there is no safe amount, and these are the direct cause of OSMF.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 burning sensation on spicy food or any tightening of the mouth is an early warning sign that needs a dental/ENT check.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and comply with regulation and bans on gutka/pan-masala; avoid promoting or sharing these products with peers or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an oral examination at least yearly if you have ever chewed areca/tobacco, and perform monthly self-examination for white/red patches, ulcers or lumps.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OSMF can progress to mouth cancer, so early detection and complete habit cessation are life-saving.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areca/gutka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and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 and labourers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South-Asian diaspora</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diagnosed OSMF, complete and permanent cessation of all areca-nut and tobacco products is the single most important step to halt progression.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all follow-up visits and agree to biopsy of any non-healing ulcer, red/white patch or indurated area to catch malignant change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prescribed mouth-opening and jaw-stretching exercises daily to preserve and improve mouth opening.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to measure and track your own mouth opening so you and your clinician can monitor response to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urgent review for any lump, persistent ulcer, numbness, bleeding or worsening trismus.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Diagnosed OSMF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trismus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dysplasia on biopsy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Post-surgical OSMF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daily mouth-opening and jaw-stretching physiotherapy (finger stretching, tongue-blade or graded mouth-opening devices) as advised.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mouth-opening / interocclusal exercise device where prescribed to gradually improve the interincisal distance.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gentle facial, cheek and tongue mobility exercises to reduce stiffness and maintain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surgical release of fibrous bands, continue intensive physiotherapy to prevent re-fibrosis and relapse of trismus.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generally physically active to support overall health and healing.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OSMF patients with trismus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Post-fibrotomy/graft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Moderately advanced OSMF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in rehabilitation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areca nut in every form and cut down on very spicy, chilli-laden and extremely hot food that irritates the mucosa.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an iron-rich diet (green leafy vegetables, legumes, jaggery, lean meats/eggs where eaten) to prevent anaemia and support mucosal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plenty of fresh fruit and vegetables for antioxidants and vitamins that protect the oral lining.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protein and a balanced diet for mucosal repair and general resistance.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Areca/gutka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Anaemic and undernourished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a soft, bland, non-spicy, nutrient-dense diet to reduce burning and make eating easier despite trismus.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iron, vitamin-B/complex and zinc deficiency and treat anaemia under medical guidance.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prescribed antioxidant supplements (for example lycopene or beta-carotene) as an adjunct where advised.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hydration and use saliva substitutes if the mouth is dry.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small, frequent meals if pain or limited mouth opening restricts intake, to protect nutrition and weight.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Diagnosed OSMF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Anaemic OSMF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severe trismus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routine, since fatigue and stress can drive cravings for areca nut/tobacco.</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pain and oral discomfort so they do not disturb sleep in advanced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any co-existing sleep problems that undermine motivation to quit the habit.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Areca/tobacco users trying to quit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advanced OSMF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Stressed individuals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smoked and smokeless tobacco (gutka, khaini, zarda, cigarettes, bidis) completely - this sharply reduces cancer risk in OSMF.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tobacco-cessation support: brief advice, counselling, quit-lines and nicotine-replacement or pharmacotherapy where appropriate.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combined areca-and-tobacco dependence together, as many patients use both.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a firm quit date and remove all products from the home and workplace.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Enlist family and peer support and arrange follow-up to prevent relapse.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 + areca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Dual-habit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Diagnosed OSMF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young adults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strictly limit alcohol, which acts synergistically with areca nut and tobacco to raise oral-cancer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combine alcohol with any chewing or smoking habit.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help for alcohol dependence where present, as part of overall risk reduction.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OSMF patients who drink alcohol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Multi-habit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and treat areca-nut/tobacco dependence with behavioural therapy and de-addiction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stress-management techniques (relaxation, counselling) to reduce the anxiety and boredom that trigger chewing.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psychological support for distress related to trismus, disfigurement and fear of cancer.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family and peer/community support groups to sustain cessation and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manage depression or anxiety that can undermine treatment and follow-up.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Dependent chewers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distressed by disfigurement/trismus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fearful of cancer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Relapse-prone patients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31548942/" TargetMode="External"/><Relationship Id="rId10" Type="http://schemas.openxmlformats.org/officeDocument/2006/relationships/hyperlink" Target="https://pubmed.ncbi.nlm.nih.gov/35407401/" TargetMode="External"/><Relationship Id="rId11" Type="http://schemas.openxmlformats.org/officeDocument/2006/relationships/hyperlink" Target="https://pubmed.ncbi.nlm.nih.gov/1486676/" TargetMode="External"/><Relationship Id="rId12" Type="http://schemas.openxmlformats.org/officeDocument/2006/relationships/hyperlink" Target="https://pubmed.ncbi.nlm.nih.gov/39309566/" TargetMode="External"/><Relationship Id="rId13" Type="http://schemas.openxmlformats.org/officeDocument/2006/relationships/hyperlink" Target="https://pubmed.ncbi.nlm.nih.gov/35503720/" TargetMode="External"/><Relationship Id="rId14" Type="http://schemas.openxmlformats.org/officeDocument/2006/relationships/hyperlink" Target="https://pubmed.ncbi.nlm.nih.gov/32569539/" TargetMode="External"/><Relationship Id="rId15" Type="http://schemas.openxmlformats.org/officeDocument/2006/relationships/hyperlink" Target="https://pubmed.ncbi.nlm.nih.gov/36902423/" TargetMode="External"/><Relationship Id="rId16" Type="http://schemas.openxmlformats.org/officeDocument/2006/relationships/hyperlink" Target="https://pubmed.ncbi.nlm.nih.gov/35517828/" TargetMode="External"/><Relationship Id="rId17" Type="http://schemas.openxmlformats.org/officeDocument/2006/relationships/hyperlink" Target="https://pubmed.ncbi.nlm.nih.gov/332055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