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Ramsay Hunt Syndrome</w:t>
      </w:r>
    </w:p>
    <w:p>
      <w:pPr>
        <w:spacing w:before="0" w:after="160"/>
      </w:pPr>
      <w:r>
        <w:rPr>
          <w:rFonts w:ascii="Calibri" w:hAnsi="Calibri"/>
          <w:b/>
          <w:i w:val="0"/>
          <w:color w:val="212121"/>
          <w:sz w:val="22"/>
        </w:rPr>
        <w:t xml:space="preserve">AKA </w:t>
      </w:r>
      <w:r>
        <w:rPr>
          <w:rFonts w:ascii="Calibri" w:hAnsi="Calibri"/>
          <w:b w:val="0"/>
          <w:i w:val="0"/>
          <w:color w:val="212121"/>
          <w:sz w:val="22"/>
        </w:rPr>
        <w:t>i.e., Herpes zoster oticus, Geniculate ganglion herpes zoster, Herpetic geniculate ganglionitis, Ramsay Hunt syndrome type II</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Ramsay Hunt syndrome (RHS) is caused by reactivation of latent varicella-zoster virus (VZV) in the geniculate ganglion of the facial nerve (cranial nerve VII). It classically produces a triad of acute lower-motor-neuron (peripheral) facial paralysis, ipsilateral ear pain (otalgia), and a vesicular herpetic rash on the auricle, external auditory canal, or oral mucosa. Because the geniculate ganglion lies within the narrow bony facial canal beside the vestibulocochlear nerve (CN VIII), hearing loss, tinnitus and vertigo commonly accompany it. RHS is the second most common cause of atraumatic peripheral facial palsy after Bell's palsy and carries a poorer prognosis for facial-nerve recovery.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Ramsay Hunt syndrome affects roughly 5 per 100,000 people per year and accounts for about 7% of all cases of acute facial paralysis. In India, herpes zoster — its parent disease — is not a notifiable condition and population incidence data are sparse, but hospital-based series show a heavy burden in adults over 50 years (who make up 15-81% of zoster cases), among whom RHS is one of the more disabling reactivation complications.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RHS is primarily a clinical diagnosis, established on history and examination when the characteristic triad is present; laboratory and imaging tests are confirmatory or prognostic rather than mandatory.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acute onset of unilateral peripheral (lower-motor-neuron) facial weakness or paralysis that also involves the forehead;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severe ipsilateral otalgia or deep auricular pain, which often precedes the other features;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vesicular herpetic eruption on the concha/auricle, external auditory canal, tympanic membrane, or oral mucosa (soft palate, anterior two-thirds of tongue) on the same side;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accompanying cochleovestibular features — sensorineural hearing loss, tinnitus, hyperacusis or vertigo — from adjacent CN VIII involvement;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zoster sine herpete variant: facial palsy with otalgia but NO visible rash, confirmed by VZV PCR (saliva/vesicle fluid) or a fourfold rise in anti-VZV IgG, and accounting for up to ~30% of presentations.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RHS is described by the extent of cranial-nerve involvement and by whether a rash is visible; the herpetic geniculate form is historically termed “Ramsay Hunt syndrome type II” (type I being the unrelated cerebellar dyssynergia). It is broadly graded as:</w:t>
      </w:r>
    </w:p>
    <w:p>
      <w:pPr>
        <w:spacing w:before="0" w:after="80"/>
      </w:pPr>
      <w:r>
        <w:rPr>
          <w:rFonts w:ascii="Calibri" w:hAnsi="Calibri"/>
          <w:b w:val="0"/>
          <w:i w:val="0"/>
          <w:color w:val="212121"/>
          <w:sz w:val="21"/>
        </w:rPr>
        <w:t>(1) Herpes zoster oticus without facial palsy — vesicular rash and otalgia confined to the auricle/ear canal with intact facial-nerve function;</w:t>
      </w:r>
    </w:p>
    <w:p>
      <w:pPr>
        <w:spacing w:before="0" w:after="80"/>
      </w:pPr>
      <w:r>
        <w:rPr>
          <w:rFonts w:ascii="Calibri" w:hAnsi="Calibri"/>
          <w:b w:val="0"/>
          <w:i w:val="0"/>
          <w:color w:val="212121"/>
          <w:sz w:val="21"/>
        </w:rPr>
        <w:t>(2) Classic Ramsay Hunt syndrome (herpes zoster oticus with facial palsy) — the full triad of rash, otalgia and peripheral CN VII paralysis;</w:t>
      </w:r>
    </w:p>
    <w:p>
      <w:pPr>
        <w:spacing w:before="0" w:after="80"/>
      </w:pPr>
      <w:r>
        <w:rPr>
          <w:rFonts w:ascii="Calibri" w:hAnsi="Calibri"/>
          <w:b w:val="0"/>
          <w:i w:val="0"/>
          <w:color w:val="212121"/>
          <w:sz w:val="21"/>
        </w:rPr>
        <w:t>(3) RHS with cochleovestibular involvement — the above plus CN VIII features (sensorineural hearing loss, tinnitus, vertigo) owing to inflammatory spread within the bony facial canal;</w:t>
      </w:r>
    </w:p>
    <w:p>
      <w:pPr>
        <w:spacing w:before="0" w:after="80"/>
      </w:pPr>
      <w:r>
        <w:rPr>
          <w:rFonts w:ascii="Calibri" w:hAnsi="Calibri"/>
          <w:b w:val="0"/>
          <w:i w:val="0"/>
          <w:color w:val="212121"/>
          <w:sz w:val="21"/>
        </w:rPr>
        <w:t>(4) Zoster sine herpete — facial palsy and otalgia (with or without cochleovestibular symptoms) but WITHOUT a visible rash, diagnosed serologically or by VZV PCR; and</w:t>
      </w:r>
    </w:p>
    <w:p>
      <w:pPr>
        <w:spacing w:before="0" w:after="80"/>
      </w:pPr>
      <w:r>
        <w:rPr>
          <w:rFonts w:ascii="Calibri" w:hAnsi="Calibri"/>
          <w:b w:val="0"/>
          <w:i w:val="0"/>
          <w:color w:val="212121"/>
          <w:sz w:val="21"/>
        </w:rPr>
        <w:t>(5) Polyneuritis cranialis / multiple cranial neuropathy variant — involvement of additional lower cranial nerves (V, IX, X, XI, XII) and rarely brainstem or cerebellar spread, seen in extensive or immunocompromised disease.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Varicella-zoster virus reactivation: Latent VZV (human alphaherpesvirus 3) residing in the geniculate ganglion after childhood chickenpox reactivates, replicates and inflames the facial nerve — the direct cause of the syndrome.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Waning cell-mediated immunity: Age-related decline in VZV-specific T-cell immunity (immunosenescence) is the dominant permissive factor; incidence rises sharply after 50-60 years.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Immunosuppression: HIV/AIDS, malignancy (especially lymphoproliferative), chemotherapy, organ transplantation and long-term corticosteroids markedly increase reactivation risk and severity.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Diabetes mellitus and chronic disease: Diabetes and other comorbidities (chronic kidney or lung disease, cardiovascular disease) impair immune surveillance and are established risk factors for zoster reactivation and worse outcomes.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Physical and emotional stress: Acute stress, systemic illness, fatigue, sleep loss and local trauma can precipitate reactivation by transiently suppressing cell-mediated immunity.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Anatomical vulnerability: Because the geniculate ganglion lies in the narrow bony fallopian canal beside CN VIII, inflammatory oedema compresses the nerve(s), explaining the combined facial and cochleovestibular deficits and the relatively poor recovery.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RHS can occur at any age from infancy onward, but reactivation risk climbs with cumulative waning of VZV-specific immunity. Working-age adults present with the full triad and remain at risk after any past chickenpox infection.</w:t>
            </w:r>
          </w:p>
          <w:p>
            <w:pPr>
              <w:spacing w:after="40" w:before="60" w:line="259" w:lineRule="auto"/>
            </w:pPr>
            <w:r>
              <w:rPr>
                <w:rFonts w:ascii="Calibri" w:hAnsi="Calibri"/>
                <w:b w:val="0"/>
                <w:i w:val="0"/>
                <w:color w:val="212121"/>
                <w:sz w:val="19"/>
              </w:rPr>
              <w:t>In younger, healthy individuals herpes zoster incidence is about 1.2-3.4 per 1,000 persons per year, rising steeply with age.</w:t>
            </w:r>
          </w:p>
          <w:p>
            <w:pPr>
              <w:spacing w:after="40" w:line="252" w:lineRule="auto"/>
            </w:pPr>
            <w:hyperlink r:id="rId9">
              <w:r>
                <w:rPr>
                  <w:rFonts w:ascii="Calibri" w:hAnsi="Calibri" w:cs="Calibri"/>
                  <w:sz w:val="18"/>
                  <w:color w:val="1155CC"/>
                  <w:u w:val="single"/>
                </w:rPr>
                <w:t xml:space="preserve">ncbi.nlm.nih.gov/books/NBK441824 — herpes zoster</w:t>
              </w:r>
            </w:hyperlink>
          </w:p>
          <w:p>
            <w:pPr>
              <w:spacing w:before="60" w:after="40"/>
            </w:pPr>
            <w:r>
              <w:rPr>
                <w:rFonts w:ascii="Calibri" w:hAnsi="Calibri"/>
                <w:b w:val="0"/>
                <w:i w:val="0"/>
                <w:color w:val="5A5A5A"/>
                <w:sz w:val="18"/>
              </w:rPr>
              <w:t>#VZV  #reactivation  #facialpalsy  #adults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Highest risk group. Immunosenescence sharply increases VZV reactivation, and advanced age predicts more severe neuritis, complete paralysis and poorer facial-nerve recovery. Most patients present in the 7th-8th decades.</w:t>
            </w:r>
          </w:p>
          <w:p>
            <w:pPr>
              <w:spacing w:after="40" w:before="60" w:line="259" w:lineRule="auto"/>
            </w:pPr>
            <w:r>
              <w:rPr>
                <w:rFonts w:ascii="Calibri" w:hAnsi="Calibri"/>
                <w:b w:val="0"/>
                <w:i w:val="0"/>
                <w:color w:val="212121"/>
                <w:sz w:val="19"/>
              </w:rPr>
              <w:t>Herpes zoster incidence reaches 3.9-11.8 per 1,000 per year in adults over 65, and in Indian series adults over 50 make up 15-81% of zoster cases.</w:t>
            </w:r>
          </w:p>
          <w:p>
            <w:pPr>
              <w:spacing w:after="40" w:line="252" w:lineRule="auto"/>
            </w:pPr>
            <w:hyperlink r:id="rId10">
              <w:r>
                <w:rPr>
                  <w:rFonts w:ascii="Calibri" w:hAnsi="Calibri" w:cs="Calibri"/>
                  <w:sz w:val="18"/>
                  <w:color w:val="1155CC"/>
                  <w:u w:val="single"/>
                </w:rPr>
                <w:t xml:space="preserve">pubmed.ncbi.nlm.nih.gov/34520327 — HZ in India</w:t>
              </w:r>
            </w:hyperlink>
          </w:p>
          <w:p>
            <w:pPr>
              <w:spacing w:before="60" w:after="40"/>
            </w:pPr>
            <w:r>
              <w:rPr>
                <w:rFonts w:ascii="Calibri" w:hAnsi="Calibri"/>
                <w:b w:val="0"/>
                <w:i w:val="0"/>
                <w:color w:val="5A5A5A"/>
                <w:sz w:val="18"/>
              </w:rPr>
              <w:t>#immunosenescence  #elderly  #severe  #poorprognosis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Risk-factor analyses list female sex among predisposing factors for RHS, though overall zoster incidence is broadly similar between sexes; hormonal and immune differences are proposed but not fully established.</w:t>
            </w:r>
          </w:p>
          <w:p>
            <w:pPr>
              <w:spacing w:after="40" w:before="60" w:line="259" w:lineRule="auto"/>
            </w:pPr>
            <w:r>
              <w:rPr>
                <w:rFonts w:ascii="Calibri" w:hAnsi="Calibri"/>
                <w:b w:val="0"/>
                <w:i w:val="0"/>
                <w:color w:val="212121"/>
                <w:sz w:val="19"/>
              </w:rPr>
              <w:t>Mayo Clinic lists female sex among the recognised risk factors for Ramsay Hunt syndrome.</w:t>
            </w:r>
          </w:p>
          <w:p>
            <w:pPr>
              <w:spacing w:after="40" w:line="252" w:lineRule="auto"/>
            </w:pPr>
            <w:hyperlink r:id="rId11">
              <w:r>
                <w:rPr>
                  <w:rFonts w:ascii="Calibri" w:hAnsi="Calibri" w:cs="Calibri"/>
                  <w:sz w:val="18"/>
                  <w:color w:val="1155CC"/>
                  <w:u w:val="single"/>
                </w:rPr>
                <w:t xml:space="preserve">mayoclinic.org — Ramsay Hunt risk factors</w:t>
              </w:r>
            </w:hyperlink>
          </w:p>
          <w:p>
            <w:pPr>
              <w:spacing w:before="60" w:after="40"/>
            </w:pPr>
            <w:r>
              <w:rPr>
                <w:rFonts w:ascii="Calibri" w:hAnsi="Calibri"/>
                <w:b w:val="0"/>
                <w:i w:val="0"/>
                <w:color w:val="5A5A5A"/>
                <w:sz w:val="18"/>
              </w:rPr>
              <w:t>#sexdifference  #riskfactor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vaccine access / delayed care</w:t>
            </w:r>
          </w:p>
        </w:tc>
        <w:tc>
          <w:tcPr>
            <w:tcW w:type="dxa" w:w="4276"/>
            <w:vAlign w:val="top"/>
          </w:tcPr>
          <w:p>
            <w:pPr>
              <w:spacing w:after="60" w:line="259" w:lineRule="auto"/>
            </w:pPr>
            <w:r>
              <w:rPr>
                <w:rFonts w:ascii="Calibri" w:hAnsi="Calibri"/>
                <w:b w:val="0"/>
                <w:i w:val="0"/>
                <w:color w:val="212121"/>
                <w:sz w:val="19"/>
              </w:rPr>
              <w:t>In India, negligible adult shingles-vaccine uptake, low awareness and delayed presentation to ENT/neurology narrow the critical &lt;72-hour treatment window, worsening facial-nerve outcomes despite a treatable disease.</w:t>
            </w:r>
          </w:p>
          <w:p>
            <w:pPr>
              <w:spacing w:after="40" w:before="60" w:line="259" w:lineRule="auto"/>
            </w:pPr>
            <w:r>
              <w:rPr>
                <w:rFonts w:ascii="Calibri" w:hAnsi="Calibri"/>
                <w:b w:val="0"/>
                <w:i w:val="0"/>
                <w:color w:val="212121"/>
                <w:sz w:val="19"/>
              </w:rPr>
              <w:t>HZ is not a notifiable disease in India and no structured adult zoster immunization programme exists, leaving older adults largely unprotected.</w:t>
            </w:r>
          </w:p>
          <w:p>
            <w:pPr>
              <w:spacing w:after="40" w:line="252" w:lineRule="auto"/>
            </w:pPr>
            <w:hyperlink r:id="rId12">
              <w:r>
                <w:rPr>
                  <w:rFonts w:ascii="Calibri" w:hAnsi="Calibri" w:cs="Calibri"/>
                  <w:sz w:val="18"/>
                  <w:color w:val="1155CC"/>
                  <w:u w:val="single"/>
                </w:rPr>
                <w:t xml:space="preserve">pubmed.ncbi.nlm.nih.gov/37293792 — HZ burden India</w:t>
              </w:r>
            </w:hyperlink>
          </w:p>
          <w:p>
            <w:pPr>
              <w:spacing w:before="60" w:after="40"/>
            </w:pPr>
            <w:r>
              <w:rPr>
                <w:rFonts w:ascii="Calibri" w:hAnsi="Calibri"/>
                <w:b w:val="0"/>
                <w:i w:val="0"/>
                <w:color w:val="5A5A5A"/>
                <w:sz w:val="18"/>
              </w:rPr>
              <w:t>#accessgap  #latepresentation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adults over 50</w:t>
            </w:r>
          </w:p>
        </w:tc>
        <w:tc>
          <w:tcPr>
            <w:tcW w:type="dxa" w:w="4276"/>
            <w:vAlign w:val="top"/>
          </w:tcPr>
          <w:p>
            <w:pPr>
              <w:spacing w:after="60" w:line="259" w:lineRule="auto"/>
            </w:pPr>
            <w:r>
              <w:rPr>
                <w:rFonts w:ascii="Calibri" w:hAnsi="Calibri"/>
                <w:b w:val="0"/>
                <w:i w:val="0"/>
                <w:color w:val="212121"/>
                <w:sz w:val="19"/>
              </w:rPr>
              <w:t>India's large ageing, VZV-seropositive population carries a substantial zoster burden concentrated in older adults; RHS is an under-recognised complication often first seen by dentists or primary-care physicians.</w:t>
            </w:r>
          </w:p>
          <w:p>
            <w:pPr>
              <w:spacing w:after="40" w:before="60" w:line="259" w:lineRule="auto"/>
            </w:pPr>
            <w:r>
              <w:rPr>
                <w:rFonts w:ascii="Calibri" w:hAnsi="Calibri"/>
                <w:b w:val="0"/>
                <w:i w:val="0"/>
                <w:color w:val="212121"/>
                <w:sz w:val="19"/>
              </w:rPr>
              <w:t>A review of 27 Indian studies (3,124 zoster cases, 2011-2020) found older adults (&gt;50 years) comprised 15.0-81.3% of cases.</w:t>
            </w:r>
          </w:p>
          <w:p>
            <w:pPr>
              <w:spacing w:after="40" w:line="252" w:lineRule="auto"/>
            </w:pPr>
            <w:hyperlink r:id="rId10">
              <w:r>
                <w:rPr>
                  <w:rFonts w:ascii="Calibri" w:hAnsi="Calibri" w:cs="Calibri"/>
                  <w:sz w:val="18"/>
                  <w:color w:val="1155CC"/>
                  <w:u w:val="single"/>
                </w:rPr>
                <w:t xml:space="preserve">pubmed.ncbi.nlm.nih.gov/34520327 — HZ in India</w:t>
              </w:r>
            </w:hyperlink>
          </w:p>
          <w:p>
            <w:pPr>
              <w:spacing w:before="60" w:after="40"/>
            </w:pPr>
            <w:r>
              <w:rPr>
                <w:rFonts w:ascii="Calibri" w:hAnsi="Calibri"/>
                <w:b w:val="0"/>
                <w:i w:val="0"/>
                <w:color w:val="5A5A5A"/>
                <w:sz w:val="18"/>
              </w:rPr>
              <w:t>#India  #ageingpopulation  #underdiagnosed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Seasonality / climate</w:t>
            </w:r>
          </w:p>
        </w:tc>
        <w:tc>
          <w:tcPr>
            <w:tcW w:type="dxa" w:w="2160"/>
            <w:vAlign w:val="top"/>
          </w:tcPr>
          <w:p>
            <w:pPr>
              <w:spacing w:after="40" w:before="0" w:line="259" w:lineRule="auto"/>
            </w:pPr>
            <w:r>
              <w:rPr>
                <w:rFonts w:ascii="Calibri" w:hAnsi="Calibri"/>
                <w:b w:val="0"/>
                <w:i w:val="0"/>
                <w:color w:val="212121"/>
                <w:sz w:val="19"/>
              </w:rPr>
              <w:t>Year-round, no seasonal clustering</w:t>
            </w:r>
          </w:p>
        </w:tc>
        <w:tc>
          <w:tcPr>
            <w:tcW w:type="dxa" w:w="4276"/>
            <w:vAlign w:val="top"/>
          </w:tcPr>
          <w:p>
            <w:pPr>
              <w:spacing w:after="60" w:line="259" w:lineRule="auto"/>
            </w:pPr>
            <w:r>
              <w:rPr>
                <w:rFonts w:ascii="Calibri" w:hAnsi="Calibri"/>
                <w:b w:val="0"/>
                <w:i w:val="0"/>
                <w:color w:val="212121"/>
                <w:sz w:val="19"/>
              </w:rPr>
              <w:t>Unlike many viral illnesses, herpes zoster (and therefore RHS) shows no seasonal variation, so risk is constant through the year and driven by host immunity rather than climate or weather.</w:t>
            </w:r>
          </w:p>
          <w:p>
            <w:pPr>
              <w:spacing w:after="40" w:before="60" w:line="259" w:lineRule="auto"/>
            </w:pPr>
            <w:r>
              <w:rPr>
                <w:rFonts w:ascii="Calibri" w:hAnsi="Calibri"/>
                <w:b w:val="0"/>
                <w:i w:val="0"/>
                <w:color w:val="212121"/>
                <w:sz w:val="19"/>
              </w:rPr>
              <w:t>There is no seasonal variation seen with herpes zoster.</w:t>
            </w:r>
          </w:p>
          <w:p>
            <w:pPr>
              <w:spacing w:after="40" w:line="252" w:lineRule="auto"/>
            </w:pPr>
            <w:hyperlink r:id="rId9">
              <w:r>
                <w:rPr>
                  <w:rFonts w:ascii="Calibri" w:hAnsi="Calibri" w:cs="Calibri"/>
                  <w:sz w:val="18"/>
                  <w:color w:val="1155CC"/>
                  <w:u w:val="single"/>
                </w:rPr>
                <w:t xml:space="preserve">ncbi.nlm.nih.gov/books/NBK441824 — herpes zoster</w:t>
              </w:r>
            </w:hyperlink>
          </w:p>
          <w:p>
            <w:pPr>
              <w:spacing w:before="60" w:after="40"/>
            </w:pPr>
            <w:r>
              <w:rPr>
                <w:rFonts w:ascii="Calibri" w:hAnsi="Calibri"/>
                <w:b w:val="0"/>
                <w:i w:val="0"/>
                <w:color w:val="5A5A5A"/>
                <w:sz w:val="18"/>
              </w:rPr>
              <w:t>#noseasonality  #hostimmunity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Psychological stress</w:t>
            </w:r>
          </w:p>
        </w:tc>
        <w:tc>
          <w:tcPr>
            <w:tcW w:type="dxa" w:w="2160"/>
            <w:vAlign w:val="top"/>
          </w:tcPr>
          <w:p>
            <w:pPr>
              <w:spacing w:after="40" w:before="0" w:line="259" w:lineRule="auto"/>
            </w:pPr>
            <w:r>
              <w:rPr>
                <w:rFonts w:ascii="Calibri" w:hAnsi="Calibri"/>
                <w:b w:val="0"/>
                <w:i w:val="0"/>
                <w:color w:val="212121"/>
                <w:sz w:val="19"/>
              </w:rPr>
              <w:t>High-stress, sleep-deprived individuals</w:t>
            </w:r>
          </w:p>
        </w:tc>
        <w:tc>
          <w:tcPr>
            <w:tcW w:type="dxa" w:w="4276"/>
            <w:vAlign w:val="top"/>
          </w:tcPr>
          <w:p>
            <w:pPr>
              <w:spacing w:after="60" w:line="259" w:lineRule="auto"/>
            </w:pPr>
            <w:r>
              <w:rPr>
                <w:rFonts w:ascii="Calibri" w:hAnsi="Calibri"/>
                <w:b w:val="0"/>
                <w:i w:val="0"/>
                <w:color w:val="212121"/>
                <w:sz w:val="19"/>
              </w:rPr>
              <w:t>Emotional and physical stress transiently suppresses cell-mediated immunity and is a recognised precipitant of VZV reactivation; chronic stress and poor sleep lower the threshold for an episode.</w:t>
            </w:r>
          </w:p>
          <w:p>
            <w:pPr>
              <w:spacing w:after="40" w:before="60" w:line="259" w:lineRule="auto"/>
            </w:pPr>
            <w:r>
              <w:rPr>
                <w:rFonts w:ascii="Calibri" w:hAnsi="Calibri"/>
                <w:b w:val="0"/>
                <w:i w:val="0"/>
                <w:color w:val="212121"/>
                <w:sz w:val="19"/>
              </w:rPr>
              <w:t>Emotional stress is listed among the principal triggers of herpes zoster reactivation.</w:t>
            </w:r>
          </w:p>
          <w:p>
            <w:pPr>
              <w:spacing w:after="40" w:line="252" w:lineRule="auto"/>
            </w:pPr>
            <w:hyperlink r:id="rId9">
              <w:r>
                <w:rPr>
                  <w:rFonts w:ascii="Calibri" w:hAnsi="Calibri" w:cs="Calibri"/>
                  <w:sz w:val="18"/>
                  <w:color w:val="1155CC"/>
                  <w:u w:val="single"/>
                </w:rPr>
                <w:t xml:space="preserve">ncbi.nlm.nih.gov/books/NBK441824 — herpes zoster</w:t>
              </w:r>
            </w:hyperlink>
          </w:p>
          <w:p>
            <w:pPr>
              <w:spacing w:before="60" w:after="40"/>
            </w:pPr>
            <w:r>
              <w:rPr>
                <w:rFonts w:ascii="Calibri" w:hAnsi="Calibri"/>
                <w:b w:val="0"/>
                <w:i w:val="0"/>
                <w:color w:val="5A5A5A"/>
                <w:sz w:val="18"/>
              </w:rPr>
              <w:t>#stress  #immunesuppression  #sleeploss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Smoking impairs cell-mediated immunity and causes microvascular compromise that can hinder facial-nerve healing; it is associated with higher herpes zoster risk and poorer tissue recovery.</w:t>
            </w:r>
          </w:p>
          <w:p>
            <w:pPr>
              <w:spacing w:after="40" w:before="60" w:line="259" w:lineRule="auto"/>
            </w:pPr>
            <w:r>
              <w:rPr>
                <w:rFonts w:ascii="Calibri" w:hAnsi="Calibri"/>
                <w:b w:val="0"/>
                <w:i w:val="0"/>
                <w:color w:val="212121"/>
                <w:sz w:val="19"/>
              </w:rPr>
              <w:t>Impaired immune status is strongly correlated with zoster reactivation; those maintaining high immunity rarely develop shingles.</w:t>
            </w:r>
          </w:p>
          <w:p>
            <w:pPr>
              <w:spacing w:after="40" w:line="252" w:lineRule="auto"/>
            </w:pPr>
            <w:hyperlink r:id="rId9">
              <w:r>
                <w:rPr>
                  <w:rFonts w:ascii="Calibri" w:hAnsi="Calibri" w:cs="Calibri"/>
                  <w:sz w:val="18"/>
                  <w:color w:val="1155CC"/>
                  <w:u w:val="single"/>
                </w:rPr>
                <w:t xml:space="preserve">ncbi.nlm.nih.gov/books/NBK441824 — herpes zoster</w:t>
              </w:r>
            </w:hyperlink>
          </w:p>
          <w:p>
            <w:pPr>
              <w:spacing w:before="60" w:after="40"/>
            </w:pPr>
            <w:r>
              <w:rPr>
                <w:rFonts w:ascii="Calibri" w:hAnsi="Calibri"/>
                <w:b w:val="0"/>
                <w:i w:val="0"/>
                <w:color w:val="5A5A5A"/>
                <w:sz w:val="18"/>
              </w:rPr>
              <w:t>#smoking  #immunity  #vascular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Chronic heavy alcohol use suppresses cell-mediated immunity and is often accompanied by poor nutrition, both of which raise reactivation risk and may impair nerve recovery.</w:t>
            </w:r>
          </w:p>
          <w:p>
            <w:pPr>
              <w:spacing w:after="40" w:before="60" w:line="259" w:lineRule="auto"/>
            </w:pPr>
            <w:r>
              <w:rPr>
                <w:rFonts w:ascii="Calibri" w:hAnsi="Calibri"/>
                <w:b w:val="0"/>
                <w:i w:val="0"/>
                <w:color w:val="212121"/>
                <w:sz w:val="19"/>
              </w:rPr>
              <w:t>General clinical association: alcohol-related immunosuppression and undernutrition predispose to VZV reactivation (no India-specific figure verified).</w:t>
            </w:r>
          </w:p>
          <w:p>
            <w:pPr>
              <w:spacing w:before="60" w:after="40"/>
            </w:pPr>
            <w:r>
              <w:rPr>
                <w:rFonts w:ascii="Calibri" w:hAnsi="Calibri"/>
                <w:b w:val="0"/>
                <w:i w:val="0"/>
                <w:color w:val="5A5A5A"/>
                <w:sz w:val="18"/>
              </w:rPr>
              <w:t>#alcohol  #immunity  #nutrition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Nutritional status</w:t>
            </w:r>
          </w:p>
        </w:tc>
        <w:tc>
          <w:tcPr>
            <w:tcW w:type="dxa" w:w="2160"/>
            <w:vAlign w:val="top"/>
          </w:tcPr>
          <w:p>
            <w:pPr>
              <w:spacing w:after="40" w:before="0" w:line="259" w:lineRule="auto"/>
            </w:pPr>
            <w:r>
              <w:rPr>
                <w:rFonts w:ascii="Calibri" w:hAnsi="Calibri"/>
                <w:b w:val="0"/>
                <w:i w:val="0"/>
                <w:color w:val="212121"/>
                <w:sz w:val="19"/>
              </w:rPr>
              <w:t>Undernourished / micronutrient-deficient adults</w:t>
            </w:r>
          </w:p>
        </w:tc>
        <w:tc>
          <w:tcPr>
            <w:tcW w:type="dxa" w:w="4276"/>
            <w:vAlign w:val="top"/>
          </w:tcPr>
          <w:p>
            <w:pPr>
              <w:spacing w:after="60" w:line="259" w:lineRule="auto"/>
            </w:pPr>
            <w:r>
              <w:rPr>
                <w:rFonts w:ascii="Calibri" w:hAnsi="Calibri"/>
                <w:b w:val="0"/>
                <w:i w:val="0"/>
                <w:color w:val="212121"/>
                <w:sz w:val="19"/>
              </w:rPr>
              <w:t>Protein-energy undernutrition and deficiencies of zinc and vitamins B12, C and D impair cell-mediated immunity, a plausible contributor to reactivation in vulnerable Indian populations; conversely, adequate nutrition supports immune defence.</w:t>
            </w:r>
          </w:p>
          <w:p>
            <w:pPr>
              <w:spacing w:after="40" w:before="60" w:line="259" w:lineRule="auto"/>
            </w:pPr>
            <w:r>
              <w:rPr>
                <w:rFonts w:ascii="Calibri" w:hAnsi="Calibri"/>
                <w:b w:val="0"/>
                <w:i w:val="0"/>
                <w:color w:val="212121"/>
                <w:sz w:val="19"/>
              </w:rPr>
              <w:t>General clinical statement: micronutrient deficiency weakens VZV-specific cell-mediated immunity (no RHS-specific figure verified).</w:t>
            </w:r>
          </w:p>
          <w:p>
            <w:pPr>
              <w:spacing w:before="60" w:after="40"/>
            </w:pPr>
            <w:r>
              <w:rPr>
                <w:rFonts w:ascii="Calibri" w:hAnsi="Calibri"/>
                <w:b w:val="0"/>
                <w:i w:val="0"/>
                <w:color w:val="5A5A5A"/>
                <w:sz w:val="18"/>
              </w:rPr>
              <w:t>#nutrition  #micronutrients  #immunity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host susceptibility</w:t>
            </w:r>
          </w:p>
        </w:tc>
        <w:tc>
          <w:tcPr>
            <w:tcW w:type="dxa" w:w="2160"/>
            <w:vAlign w:val="top"/>
          </w:tcPr>
          <w:p>
            <w:pPr>
              <w:spacing w:after="40" w:before="0" w:line="259" w:lineRule="auto"/>
            </w:pPr>
            <w:r>
              <w:rPr>
                <w:rFonts w:ascii="Calibri" w:hAnsi="Calibri"/>
                <w:b w:val="0"/>
                <w:i w:val="0"/>
                <w:color w:val="212121"/>
                <w:sz w:val="19"/>
              </w:rPr>
              <w:t>Family history of zoster</w:t>
            </w:r>
          </w:p>
        </w:tc>
        <w:tc>
          <w:tcPr>
            <w:tcW w:type="dxa" w:w="4276"/>
            <w:vAlign w:val="top"/>
          </w:tcPr>
          <w:p>
            <w:pPr>
              <w:spacing w:after="60" w:line="259" w:lineRule="auto"/>
            </w:pPr>
            <w:r>
              <w:rPr>
                <w:rFonts w:ascii="Calibri" w:hAnsi="Calibri"/>
                <w:b w:val="0"/>
                <w:i w:val="0"/>
                <w:color w:val="212121"/>
                <w:sz w:val="19"/>
              </w:rPr>
              <w:t>Emerging evidence points to a familial and immunogenetic predisposition to VZV reactivation, with individual differences in VZV-specific T-cell immunity influencing who develops zoster and RHS.</w:t>
            </w:r>
          </w:p>
          <w:p>
            <w:pPr>
              <w:spacing w:after="40" w:before="60" w:line="259" w:lineRule="auto"/>
            </w:pPr>
            <w:r>
              <w:rPr>
                <w:rFonts w:ascii="Calibri" w:hAnsi="Calibri"/>
                <w:b w:val="0"/>
                <w:i w:val="0"/>
                <w:color w:val="212121"/>
                <w:sz w:val="19"/>
              </w:rPr>
              <w:t>General clinical statement: host immune genetics modulate reactivation risk (no RHS-specific figure verified).</w:t>
            </w:r>
          </w:p>
          <w:p>
            <w:pPr>
              <w:spacing w:before="60" w:after="40"/>
            </w:pPr>
            <w:r>
              <w:rPr>
                <w:rFonts w:ascii="Calibri" w:hAnsi="Calibri"/>
                <w:b w:val="0"/>
                <w:i w:val="0"/>
                <w:color w:val="5A5A5A"/>
                <w:sz w:val="18"/>
              </w:rPr>
              <w:t>#genetics  #hostimmunity  #familyhistory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diabetes</w:t>
            </w:r>
          </w:p>
        </w:tc>
        <w:tc>
          <w:tcPr>
            <w:tcW w:type="dxa" w:w="4276"/>
            <w:vAlign w:val="top"/>
          </w:tcPr>
          <w:p>
            <w:pPr>
              <w:spacing w:after="60" w:line="259" w:lineRule="auto"/>
            </w:pPr>
            <w:r>
              <w:rPr>
                <w:rFonts w:ascii="Calibri" w:hAnsi="Calibri"/>
                <w:b w:val="0"/>
                <w:i w:val="0"/>
                <w:color w:val="212121"/>
                <w:sz w:val="19"/>
              </w:rPr>
              <w:t>Diabetes impairs immune surveillance and microvascular perfusion, increasing the likelihood of VZV reactivation and predicting worse facial-nerve outcomes in RHS.</w:t>
            </w:r>
          </w:p>
          <w:p>
            <w:pPr>
              <w:spacing w:after="40" w:before="60" w:line="259" w:lineRule="auto"/>
            </w:pPr>
            <w:r>
              <w:rPr>
                <w:rFonts w:ascii="Calibri" w:hAnsi="Calibri"/>
                <w:b w:val="0"/>
                <w:i w:val="0"/>
                <w:color w:val="212121"/>
                <w:sz w:val="19"/>
              </w:rPr>
              <w:t>Diabetes mellitus is a recognised comorbidity/risk factor for herpes zoster in India and an unfavourable prognostic factor in RHS.</w:t>
            </w:r>
          </w:p>
          <w:p>
            <w:pPr>
              <w:spacing w:after="40" w:line="252" w:lineRule="auto"/>
            </w:pPr>
            <w:hyperlink r:id="rId12">
              <w:r>
                <w:rPr>
                  <w:rFonts w:ascii="Calibri" w:hAnsi="Calibri" w:cs="Calibri"/>
                  <w:sz w:val="18"/>
                  <w:color w:val="1155CC"/>
                  <w:u w:val="single"/>
                </w:rPr>
                <w:t xml:space="preserve">pubmed.ncbi.nlm.nih.gov/37293792 — HZ burden India</w:t>
              </w:r>
            </w:hyperlink>
          </w:p>
          <w:p>
            <w:pPr>
              <w:spacing w:before="60" w:after="40"/>
            </w:pPr>
            <w:r>
              <w:rPr>
                <w:rFonts w:ascii="Calibri" w:hAnsi="Calibri"/>
                <w:b w:val="0"/>
                <w:i w:val="0"/>
                <w:color w:val="5A5A5A"/>
                <w:sz w:val="18"/>
              </w:rPr>
              <w:t>#diabetes  #immunecompromise  #poorprognosis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immunosuppression</w:t>
            </w:r>
          </w:p>
        </w:tc>
        <w:tc>
          <w:tcPr>
            <w:tcW w:type="dxa" w:w="2160"/>
            <w:vAlign w:val="top"/>
          </w:tcPr>
          <w:p>
            <w:pPr>
              <w:spacing w:after="40" w:before="0" w:line="259" w:lineRule="auto"/>
            </w:pPr>
            <w:r>
              <w:rPr>
                <w:rFonts w:ascii="Calibri" w:hAnsi="Calibri"/>
                <w:b w:val="0"/>
                <w:i w:val="0"/>
                <w:color w:val="212121"/>
                <w:sz w:val="19"/>
              </w:rPr>
              <w:t>Immunocompromised patients</w:t>
            </w:r>
          </w:p>
        </w:tc>
        <w:tc>
          <w:tcPr>
            <w:tcW w:type="dxa" w:w="4276"/>
            <w:vAlign w:val="top"/>
          </w:tcPr>
          <w:p>
            <w:pPr>
              <w:spacing w:after="60" w:line="259" w:lineRule="auto"/>
            </w:pPr>
            <w:r>
              <w:rPr>
                <w:rFonts w:ascii="Calibri" w:hAnsi="Calibri"/>
                <w:b w:val="0"/>
                <w:i w:val="0"/>
                <w:color w:val="212121"/>
                <w:sz w:val="19"/>
              </w:rPr>
              <w:t>HIV/AIDS, transplantation and immunosuppressive therapy sharply raise reactivation risk and predispose to severe, multi-cranial-nerve or disseminated disease; atypical or bilateral RHS should prompt HIV testing.</w:t>
            </w:r>
          </w:p>
          <w:p>
            <w:pPr>
              <w:spacing w:after="40" w:before="60" w:line="259" w:lineRule="auto"/>
            </w:pPr>
            <w:r>
              <w:rPr>
                <w:rFonts w:ascii="Calibri" w:hAnsi="Calibri"/>
                <w:b w:val="0"/>
                <w:i w:val="0"/>
                <w:color w:val="212121"/>
                <w:sz w:val="19"/>
              </w:rPr>
              <w:t>Zoster incidence is strongly correlated with immune status, and recurrences are most common in immunosuppressed patients.</w:t>
            </w:r>
          </w:p>
          <w:p>
            <w:pPr>
              <w:spacing w:after="40" w:line="252" w:lineRule="auto"/>
            </w:pPr>
            <w:hyperlink r:id="rId9">
              <w:r>
                <w:rPr>
                  <w:rFonts w:ascii="Calibri" w:hAnsi="Calibri" w:cs="Calibri"/>
                  <w:sz w:val="18"/>
                  <w:color w:val="1155CC"/>
                  <w:u w:val="single"/>
                </w:rPr>
                <w:t xml:space="preserve">ncbi.nlm.nih.gov/books/NBK441824 — herpes zoster</w:t>
              </w:r>
            </w:hyperlink>
          </w:p>
          <w:p>
            <w:pPr>
              <w:spacing w:before="60" w:after="40"/>
            </w:pPr>
            <w:r>
              <w:rPr>
                <w:rFonts w:ascii="Calibri" w:hAnsi="Calibri"/>
                <w:b w:val="0"/>
                <w:i w:val="0"/>
                <w:color w:val="5A5A5A"/>
                <w:sz w:val="18"/>
              </w:rPr>
              <w:t>#HIV  #immunosuppression  #disseminated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Malignancy</w:t>
            </w:r>
          </w:p>
        </w:tc>
        <w:tc>
          <w:tcPr>
            <w:tcW w:type="dxa" w:w="2160"/>
            <w:vAlign w:val="top"/>
          </w:tcPr>
          <w:p>
            <w:pPr>
              <w:spacing w:after="40" w:before="0" w:line="259" w:lineRule="auto"/>
            </w:pPr>
            <w:r>
              <w:rPr>
                <w:rFonts w:ascii="Calibri" w:hAnsi="Calibri"/>
                <w:b w:val="0"/>
                <w:i w:val="0"/>
                <w:color w:val="212121"/>
                <w:sz w:val="19"/>
              </w:rPr>
              <w:t>Cancer / chemotherapy patients</w:t>
            </w:r>
          </w:p>
        </w:tc>
        <w:tc>
          <w:tcPr>
            <w:tcW w:type="dxa" w:w="4276"/>
            <w:vAlign w:val="top"/>
          </w:tcPr>
          <w:p>
            <w:pPr>
              <w:spacing w:after="60" w:line="259" w:lineRule="auto"/>
            </w:pPr>
            <w:r>
              <w:rPr>
                <w:rFonts w:ascii="Calibri" w:hAnsi="Calibri"/>
                <w:b w:val="0"/>
                <w:i w:val="0"/>
                <w:color w:val="212121"/>
                <w:sz w:val="19"/>
              </w:rPr>
              <w:t>Malignancy — especially lymphoproliferative disease — and cytotoxic chemotherapy suppress cell-mediated immunity and are established precipitants of zoster reactivation and severe RHS.</w:t>
            </w:r>
          </w:p>
          <w:p>
            <w:pPr>
              <w:spacing w:after="40" w:before="60" w:line="259" w:lineRule="auto"/>
            </w:pPr>
            <w:r>
              <w:rPr>
                <w:rFonts w:ascii="Calibri" w:hAnsi="Calibri"/>
                <w:b w:val="0"/>
                <w:i w:val="0"/>
                <w:color w:val="212121"/>
                <w:sz w:val="19"/>
              </w:rPr>
              <w:t>Presence of malignancy and immunosuppressive treatment are listed among key reactivation triggers for herpes zoster.</w:t>
            </w:r>
          </w:p>
          <w:p>
            <w:pPr>
              <w:spacing w:after="40" w:line="252" w:lineRule="auto"/>
            </w:pPr>
            <w:hyperlink r:id="rId9">
              <w:r>
                <w:rPr>
                  <w:rFonts w:ascii="Calibri" w:hAnsi="Calibri" w:cs="Calibri"/>
                  <w:sz w:val="18"/>
                  <w:color w:val="1155CC"/>
                  <w:u w:val="single"/>
                </w:rPr>
                <w:t xml:space="preserve">ncbi.nlm.nih.gov/books/NBK441824 — herpes zoster</w:t>
              </w:r>
            </w:hyperlink>
          </w:p>
          <w:p>
            <w:pPr>
              <w:spacing w:before="60" w:after="40"/>
            </w:pPr>
            <w:r>
              <w:rPr>
                <w:rFonts w:ascii="Calibri" w:hAnsi="Calibri"/>
                <w:b w:val="0"/>
                <w:i w:val="0"/>
                <w:color w:val="5A5A5A"/>
                <w:sz w:val="18"/>
              </w:rPr>
              <w:t>#malignancy  #chemotherapy  #immunity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varicella</w:t>
            </w:r>
          </w:p>
        </w:tc>
        <w:tc>
          <w:tcPr>
            <w:tcW w:type="dxa" w:w="2160"/>
            <w:vAlign w:val="top"/>
          </w:tcPr>
          <w:p>
            <w:pPr>
              <w:spacing w:after="40" w:before="0" w:line="259" w:lineRule="auto"/>
            </w:pPr>
            <w:r>
              <w:rPr>
                <w:rFonts w:ascii="Calibri" w:hAnsi="Calibri"/>
                <w:b w:val="0"/>
                <w:i w:val="0"/>
                <w:color w:val="212121"/>
                <w:sz w:val="19"/>
              </w:rPr>
              <w:t>Anyone with past chickenpox</w:t>
            </w:r>
          </w:p>
        </w:tc>
        <w:tc>
          <w:tcPr>
            <w:tcW w:type="dxa" w:w="4276"/>
            <w:vAlign w:val="top"/>
          </w:tcPr>
          <w:p>
            <w:pPr>
              <w:spacing w:after="60" w:line="259" w:lineRule="auto"/>
            </w:pPr>
            <w:r>
              <w:rPr>
                <w:rFonts w:ascii="Calibri" w:hAnsi="Calibri"/>
                <w:b w:val="0"/>
                <w:i w:val="0"/>
                <w:color w:val="212121"/>
                <w:sz w:val="19"/>
              </w:rPr>
              <w:t>A previous varicella (chickenpox) infection is a prerequisite: it seeds latent VZV in sensory ganglia, so every VZV-seropositive person carries lifetime potential for reactivation as zoster or RHS.</w:t>
            </w:r>
          </w:p>
          <w:p>
            <w:pPr>
              <w:spacing w:after="40" w:before="60" w:line="259" w:lineRule="auto"/>
            </w:pPr>
            <w:r>
              <w:rPr>
                <w:rFonts w:ascii="Calibri" w:hAnsi="Calibri"/>
                <w:b w:val="0"/>
                <w:i w:val="0"/>
                <w:color w:val="212121"/>
                <w:sz w:val="19"/>
              </w:rPr>
              <w:t>Anyone who has had chickenpox can develop Ramsay Hunt syndrome; the virus lies dormant for decades before reactivating.</w:t>
            </w:r>
          </w:p>
          <w:p>
            <w:pPr>
              <w:spacing w:after="40" w:line="252" w:lineRule="auto"/>
            </w:pPr>
            <w:hyperlink r:id="rId13">
              <w:r>
                <w:rPr>
                  <w:rFonts w:ascii="Calibri" w:hAnsi="Calibri" w:cs="Calibri"/>
                  <w:sz w:val="18"/>
                  <w:color w:val="1155CC"/>
                  <w:u w:val="single"/>
                </w:rPr>
                <w:t xml:space="preserve">rarediseases.org — Ramsay Hunt syndrome</w:t>
              </w:r>
            </w:hyperlink>
          </w:p>
          <w:p>
            <w:pPr>
              <w:spacing w:before="60" w:after="40"/>
            </w:pPr>
            <w:r>
              <w:rPr>
                <w:rFonts w:ascii="Calibri" w:hAnsi="Calibri"/>
                <w:b w:val="0"/>
                <w:i w:val="0"/>
                <w:color w:val="5A5A5A"/>
                <w:sz w:val="18"/>
              </w:rPr>
              <w:t>#priorvaricella  #latentVZV  #lifetimerisk</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moderate activity supports cell-mediated immunity and healthy ageing, indirectly lowering VZV reactivation risk; however, extreme overexertion and exhaustion can transiently suppress immunity.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protein and micronutrients (zinc, vitamins B12, C, D) maintain the T-cell immunity that keeps VZV latent; undernutrition raises reactivation risk, and tight glycaemic control matters in diabetics.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deprivation impairs T-cell immunity and is a recognised reactivation trigger; restorative sleep supports immune defence and recovery.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cell-mediated immunity and causes microvascular compromise that may hinder facial-nerve healing; it is associated with higher herpes zoster incidence.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heavy alcohol use suppresses immunity and is commonly linked with poor nutrition, both increasing reactivation risk and potentially worsening nerve recovery.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Psychological and emotional stress is a well-documented precipitant of VZV reactivation via cortisol-mediated immunosuppression; RHS in turn causes marked depression, anxiety and social distress from facial disfigurement.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and mucosal health but has no direct proven effect on VZV reactivation or RHS outcomes.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link between caffeine intake and VZV reactivation or the course of Ramsay Hunt syndrome.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Keeping vesicles clean and dry prevents secondary bacterial infection of the ear rash, and hand hygiene limits transmission of VZV to varicella-susceptible or immunocompromised contacts.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Immunosuppression (HIV, chemotherapy, corticosteroids, diabetes), advancing age, acute stress and local trauma are the key provoking factors that trigger geniculate VZV reactivation.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 (sedentary)</w:t>
            </w:r>
          </w:p>
        </w:tc>
        <w:tc>
          <w:tcPr>
            <w:tcW w:type="dxa" w:w="1468"/>
            <w:vAlign w:val="top"/>
          </w:tcPr>
          <w:p>
            <w:pPr>
              <w:spacing w:after="40" w:before="0" w:line="259" w:lineRule="auto"/>
            </w:pPr>
            <w:r>
              <w:rPr>
                <w:rFonts w:ascii="Calibri" w:hAnsi="Calibri"/>
                <w:b w:val="0"/>
                <w:i w:val="0"/>
                <w:color w:val="212121"/>
                <w:sz w:val="19"/>
              </w:rPr>
              <w:t>Regular activity supports immune competence that keeps VZV latent</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 or chronic poor quality</w:t>
            </w:r>
          </w:p>
        </w:tc>
        <w:tc>
          <w:tcPr>
            <w:tcW w:type="dxa" w:w="1468"/>
            <w:vAlign w:val="top"/>
          </w:tcPr>
          <w:p>
            <w:pPr>
              <w:spacing w:after="40" w:before="0" w:line="259" w:lineRule="auto"/>
            </w:pPr>
            <w:r>
              <w:rPr>
                <w:rFonts w:ascii="Calibri" w:hAnsi="Calibri"/>
                <w:b w:val="0"/>
                <w:i w:val="0"/>
                <w:color w:val="212121"/>
                <w:sz w:val="19"/>
              </w:rPr>
              <w:t>Sleep loss impairs T-cell immunity and can precipitate reactivation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Smoking impairs immunity and nerve microcirculation</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7 drinks/week or none</w:t>
            </w:r>
          </w:p>
        </w:tc>
        <w:tc>
          <w:tcPr>
            <w:tcW w:type="dxa" w:w="1512"/>
            <w:vAlign w:val="top"/>
          </w:tcPr>
          <w:p>
            <w:pPr>
              <w:spacing w:after="40" w:before="0" w:line="259" w:lineRule="auto"/>
            </w:pPr>
            <w:r>
              <w:rPr>
                <w:rFonts w:ascii="Calibri" w:hAnsi="Calibri"/>
                <w:b w:val="0"/>
                <w:i w:val="0"/>
                <w:color w:val="212121"/>
                <w:sz w:val="19"/>
              </w:rPr>
              <w:t>Heavy/chronic use</w:t>
            </w:r>
          </w:p>
        </w:tc>
        <w:tc>
          <w:tcPr>
            <w:tcW w:type="dxa" w:w="1468"/>
            <w:vAlign w:val="top"/>
          </w:tcPr>
          <w:p>
            <w:pPr>
              <w:spacing w:after="40" w:before="0" w:line="259" w:lineRule="auto"/>
            </w:pPr>
            <w:r>
              <w:rPr>
                <w:rFonts w:ascii="Calibri" w:hAnsi="Calibri"/>
                <w:b w:val="0"/>
                <w:i w:val="0"/>
                <w:color w:val="212121"/>
                <w:sz w:val="19"/>
              </w:rPr>
              <w:t>Excess alcohol suppresses immunity and worsens nutrition</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 / PHQ-9 screen</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Low stress; PHQ-9 &lt; 5</w:t>
            </w:r>
          </w:p>
        </w:tc>
        <w:tc>
          <w:tcPr>
            <w:tcW w:type="dxa" w:w="1512"/>
            <w:vAlign w:val="top"/>
          </w:tcPr>
          <w:p>
            <w:pPr>
              <w:spacing w:after="40" w:before="0" w:line="259" w:lineRule="auto"/>
            </w:pPr>
            <w:r>
              <w:rPr>
                <w:rFonts w:ascii="Calibri" w:hAnsi="Calibri"/>
                <w:b w:val="0"/>
                <w:i w:val="0"/>
                <w:color w:val="212121"/>
                <w:sz w:val="19"/>
              </w:rPr>
              <w:t>High sustained stress; PHQ-9 ≥ 10</w:t>
            </w:r>
          </w:p>
        </w:tc>
        <w:tc>
          <w:tcPr>
            <w:tcW w:type="dxa" w:w="1468"/>
            <w:vAlign w:val="top"/>
          </w:tcPr>
          <w:p>
            <w:pPr>
              <w:spacing w:after="40" w:before="0" w:line="259" w:lineRule="auto"/>
            </w:pPr>
            <w:r>
              <w:rPr>
                <w:rFonts w:ascii="Calibri" w:hAnsi="Calibri"/>
                <w:b w:val="0"/>
                <w:i w:val="0"/>
                <w:color w:val="212121"/>
                <w:sz w:val="19"/>
              </w:rPr>
              <w:t>Stress precipitates reactivation; screen for post-RHS depression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Glycaemic control (HbA1c)</w:t>
            </w:r>
          </w:p>
        </w:tc>
        <w:tc>
          <w:tcPr>
            <w:tcW w:type="dxa" w:w="1655"/>
            <w:vAlign w:val="top"/>
          </w:tcPr>
          <w:p>
            <w:pPr>
              <w:spacing w:after="40" w:before="0" w:line="259" w:lineRule="auto"/>
            </w:pPr>
            <w:r>
              <w:rPr>
                <w:rFonts w:ascii="Calibri" w:hAnsi="Calibri"/>
                <w:b w:val="0"/>
                <w:i w:val="0"/>
                <w:color w:val="212121"/>
                <w:sz w:val="19"/>
              </w:rPr>
              <w:t>Diabetic adults</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 6.5% (diabetes)</w:t>
            </w:r>
          </w:p>
        </w:tc>
        <w:tc>
          <w:tcPr>
            <w:tcW w:type="dxa" w:w="1468"/>
            <w:vAlign w:val="top"/>
          </w:tcPr>
          <w:p>
            <w:pPr>
              <w:spacing w:after="60" w:line="259" w:lineRule="auto"/>
            </w:pPr>
            <w:r>
              <w:rPr>
                <w:rFonts w:ascii="Calibri" w:hAnsi="Calibri"/>
                <w:b w:val="0"/>
                <w:i w:val="0"/>
                <w:color w:val="212121"/>
                <w:sz w:val="19"/>
              </w:rPr>
              <w:t>Poor glycaemic control raises zoster risk and worsens RHS prognosis</w:t>
            </w:r>
          </w:p>
          <w:p>
            <w:pPr>
              <w:spacing w:after="40" w:line="252" w:lineRule="auto"/>
            </w:pPr>
            <w:hyperlink r:id="rId12">
              <w:r>
                <w:rPr>
                  <w:rFonts w:ascii="Calibri" w:hAnsi="Calibri" w:cs="Calibri"/>
                  <w:sz w:val="18"/>
                  <w:color w:val="1155CC"/>
                  <w:u w:val="single"/>
                </w:rPr>
                <w:t xml:space="preserve">https://pubmed.ncbi.nlm.nih.gov/37293792/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Immune status (CD4 / lymphocyte count)</w:t>
            </w:r>
          </w:p>
        </w:tc>
        <w:tc>
          <w:tcPr>
            <w:tcW w:type="dxa" w:w="1655"/>
            <w:vAlign w:val="top"/>
          </w:tcPr>
          <w:p>
            <w:pPr>
              <w:spacing w:after="40" w:before="0" w:line="259" w:lineRule="auto"/>
            </w:pPr>
            <w:r>
              <w:rPr>
                <w:rFonts w:ascii="Calibri" w:hAnsi="Calibri"/>
                <w:b w:val="0"/>
                <w:i w:val="0"/>
                <w:color w:val="212121"/>
                <w:sz w:val="19"/>
              </w:rPr>
              <w:t>Immunocompromised</w:t>
            </w:r>
          </w:p>
        </w:tc>
        <w:tc>
          <w:tcPr>
            <w:tcW w:type="dxa" w:w="1512"/>
            <w:vAlign w:val="top"/>
          </w:tcPr>
          <w:p>
            <w:pPr>
              <w:spacing w:after="40" w:before="0" w:line="259" w:lineRule="auto"/>
            </w:pPr>
            <w:r>
              <w:rPr>
                <w:rFonts w:ascii="Calibri" w:hAnsi="Calibri"/>
                <w:b w:val="0"/>
                <w:i w:val="0"/>
                <w:color w:val="212121"/>
                <w:sz w:val="19"/>
              </w:rPr>
              <w:t>Normal ALC; CD4 &gt; 500 cells/µL</w:t>
            </w:r>
          </w:p>
        </w:tc>
        <w:tc>
          <w:tcPr>
            <w:tcW w:type="dxa" w:w="1512"/>
            <w:vAlign w:val="top"/>
          </w:tcPr>
          <w:p>
            <w:pPr>
              <w:spacing w:after="40" w:before="0" w:line="259" w:lineRule="auto"/>
            </w:pPr>
            <w:r>
              <w:rPr>
                <w:rFonts w:ascii="Calibri" w:hAnsi="Calibri"/>
                <w:b w:val="0"/>
                <w:i w:val="0"/>
                <w:color w:val="212121"/>
                <w:sz w:val="19"/>
              </w:rPr>
              <w:t>CD4 &lt; 200 cells/µL or lymphopenia</w:t>
            </w:r>
          </w:p>
        </w:tc>
        <w:tc>
          <w:tcPr>
            <w:tcW w:type="dxa" w:w="1468"/>
            <w:vAlign w:val="top"/>
          </w:tcPr>
          <w:p>
            <w:pPr>
              <w:spacing w:after="60" w:line="259" w:lineRule="auto"/>
            </w:pPr>
            <w:r>
              <w:rPr>
                <w:rFonts w:ascii="Calibri" w:hAnsi="Calibri"/>
                <w:b w:val="0"/>
                <w:i w:val="0"/>
                <w:color w:val="212121"/>
                <w:sz w:val="19"/>
              </w:rPr>
              <w:t>Low immunity predicts severe, disseminated or multi-cranial disease</w:t>
            </w:r>
          </w:p>
          <w:p>
            <w:pPr>
              <w:spacing w:after="40" w:line="252" w:lineRule="auto"/>
            </w:pPr>
            <w:hyperlink r:id="rId9">
              <w:r>
                <w:rPr>
                  <w:rFonts w:ascii="Calibri" w:hAnsi="Calibri" w:cs="Calibri"/>
                  <w:sz w:val="18"/>
                  <w:color w:val="1155CC"/>
                  <w:u w:val="single"/>
                </w:rPr>
                <w:t xml:space="preserve">https://www.ncbi.nlm.nih.gov/books/NBK441824/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Recombinant zoster vaccination</w:t>
            </w:r>
          </w:p>
        </w:tc>
        <w:tc>
          <w:tcPr>
            <w:tcW w:type="dxa" w:w="1655"/>
            <w:vAlign w:val="top"/>
          </w:tcPr>
          <w:p>
            <w:pPr>
              <w:spacing w:after="40" w:before="0" w:line="259" w:lineRule="auto"/>
            </w:pPr>
            <w:r>
              <w:rPr>
                <w:rFonts w:ascii="Calibri" w:hAnsi="Calibri"/>
                <w:b w:val="0"/>
                <w:i w:val="0"/>
                <w:color w:val="212121"/>
                <w:sz w:val="19"/>
              </w:rPr>
              <w:t>Adults ≥ 50 or immunocompromised</w:t>
            </w:r>
          </w:p>
        </w:tc>
        <w:tc>
          <w:tcPr>
            <w:tcW w:type="dxa" w:w="1512"/>
            <w:vAlign w:val="top"/>
          </w:tcPr>
          <w:p>
            <w:pPr>
              <w:spacing w:after="40" w:before="0" w:line="259" w:lineRule="auto"/>
            </w:pPr>
            <w:r>
              <w:rPr>
                <w:rFonts w:ascii="Calibri" w:hAnsi="Calibri"/>
                <w:b w:val="0"/>
                <w:i w:val="0"/>
                <w:color w:val="212121"/>
                <w:sz w:val="19"/>
              </w:rPr>
              <w:t>2 doses completed</w:t>
            </w:r>
          </w:p>
        </w:tc>
        <w:tc>
          <w:tcPr>
            <w:tcW w:type="dxa" w:w="1512"/>
            <w:vAlign w:val="top"/>
          </w:tcPr>
          <w:p>
            <w:pPr>
              <w:spacing w:after="40" w:before="0" w:line="259" w:lineRule="auto"/>
            </w:pPr>
            <w:r>
              <w:rPr>
                <w:rFonts w:ascii="Calibri" w:hAnsi="Calibri"/>
                <w:b w:val="0"/>
                <w:i w:val="0"/>
                <w:color w:val="212121"/>
                <w:sz w:val="19"/>
              </w:rPr>
              <w:t>Unvaccinated</w:t>
            </w:r>
          </w:p>
        </w:tc>
        <w:tc>
          <w:tcPr>
            <w:tcW w:type="dxa" w:w="1468"/>
            <w:vAlign w:val="top"/>
          </w:tcPr>
          <w:p>
            <w:pPr>
              <w:spacing w:after="60" w:line="259" w:lineRule="auto"/>
            </w:pPr>
            <w:r>
              <w:rPr>
                <w:rFonts w:ascii="Calibri" w:hAnsi="Calibri"/>
                <w:b w:val="0"/>
                <w:i w:val="0"/>
                <w:color w:val="212121"/>
                <w:sz w:val="19"/>
              </w:rPr>
              <w:t>Recombinant zoster vaccine shows &gt;90% efficacy against herpes zoster</w:t>
            </w:r>
          </w:p>
          <w:p>
            <w:pPr>
              <w:spacing w:after="40" w:line="252" w:lineRule="auto"/>
            </w:pPr>
            <w:hyperlink r:id="rId12">
              <w:r>
                <w:rPr>
                  <w:rFonts w:ascii="Calibri" w:hAnsi="Calibri" w:cs="Calibri"/>
                  <w:sz w:val="18"/>
                  <w:color w:val="1155CC"/>
                  <w:u w:val="single"/>
                </w:rPr>
                <w:t xml:space="preserve">https://pubmed.ncbi.nlm.nih.gov/37293792/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 from onset to antiviral start (hours)</w:t>
            </w:r>
          </w:p>
        </w:tc>
        <w:tc>
          <w:tcPr>
            <w:tcW w:type="dxa" w:w="1655"/>
            <w:vAlign w:val="top"/>
          </w:tcPr>
          <w:p>
            <w:pPr>
              <w:spacing w:after="40" w:before="0" w:line="259" w:lineRule="auto"/>
            </w:pPr>
            <w:r>
              <w:rPr>
                <w:rFonts w:ascii="Calibri" w:hAnsi="Calibri"/>
                <w:b w:val="0"/>
                <w:i w:val="0"/>
                <w:color w:val="212121"/>
                <w:sz w:val="19"/>
              </w:rPr>
              <w:t>RHS patients</w:t>
            </w:r>
          </w:p>
        </w:tc>
        <w:tc>
          <w:tcPr>
            <w:tcW w:type="dxa" w:w="1512"/>
            <w:vAlign w:val="top"/>
          </w:tcPr>
          <w:p>
            <w:pPr>
              <w:spacing w:after="40" w:before="0" w:line="259" w:lineRule="auto"/>
            </w:pPr>
            <w:r>
              <w:rPr>
                <w:rFonts w:ascii="Calibri" w:hAnsi="Calibri"/>
                <w:b w:val="0"/>
                <w:i w:val="0"/>
                <w:color w:val="212121"/>
                <w:sz w:val="19"/>
              </w:rPr>
              <w:t>≤ 72 hours</w:t>
            </w:r>
          </w:p>
        </w:tc>
        <w:tc>
          <w:tcPr>
            <w:tcW w:type="dxa" w:w="1512"/>
            <w:vAlign w:val="top"/>
          </w:tcPr>
          <w:p>
            <w:pPr>
              <w:spacing w:after="40" w:before="0" w:line="259" w:lineRule="auto"/>
            </w:pPr>
            <w:r>
              <w:rPr>
                <w:rFonts w:ascii="Calibri" w:hAnsi="Calibri"/>
                <w:b w:val="0"/>
                <w:i w:val="0"/>
                <w:color w:val="212121"/>
                <w:sz w:val="19"/>
              </w:rPr>
              <w:t>&gt; 7 days</w:t>
            </w:r>
          </w:p>
        </w:tc>
        <w:tc>
          <w:tcPr>
            <w:tcW w:type="dxa" w:w="1468"/>
            <w:vAlign w:val="top"/>
          </w:tcPr>
          <w:p>
            <w:pPr>
              <w:spacing w:after="60" w:line="259" w:lineRule="auto"/>
            </w:pPr>
            <w:r>
              <w:rPr>
                <w:rFonts w:ascii="Calibri" w:hAnsi="Calibri"/>
                <w:b w:val="0"/>
                <w:i w:val="0"/>
                <w:color w:val="212121"/>
                <w:sz w:val="19"/>
              </w:rPr>
              <w:t>Treatment within 3 days gave 75% complete recovery vs 30% after 7 days</w:t>
            </w:r>
          </w:p>
          <w:p>
            <w:pPr>
              <w:spacing w:after="40" w:line="252" w:lineRule="auto"/>
            </w:pPr>
            <w:hyperlink r:id="rId14">
              <w:r>
                <w:rPr>
                  <w:rFonts w:ascii="Calibri" w:hAnsi="Calibri" w:cs="Calibri"/>
                  <w:sz w:val="18"/>
                  <w:color w:val="1155CC"/>
                  <w:u w:val="single"/>
                </w:rPr>
                <w:t xml:space="preserve">https://pubmed.ncbi.nlm.nih.gov/9066356/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House-Brackmann facial grade</w:t>
            </w:r>
          </w:p>
        </w:tc>
        <w:tc>
          <w:tcPr>
            <w:tcW w:type="dxa" w:w="1655"/>
            <w:vAlign w:val="top"/>
          </w:tcPr>
          <w:p>
            <w:pPr>
              <w:spacing w:after="40" w:before="0" w:line="259" w:lineRule="auto"/>
            </w:pPr>
            <w:r>
              <w:rPr>
                <w:rFonts w:ascii="Calibri" w:hAnsi="Calibri"/>
                <w:b w:val="0"/>
                <w:i w:val="0"/>
                <w:color w:val="212121"/>
                <w:sz w:val="19"/>
              </w:rPr>
              <w:t>RHS patients</w:t>
            </w:r>
          </w:p>
        </w:tc>
        <w:tc>
          <w:tcPr>
            <w:tcW w:type="dxa" w:w="1512"/>
            <w:vAlign w:val="top"/>
          </w:tcPr>
          <w:p>
            <w:pPr>
              <w:spacing w:after="40" w:before="0" w:line="259" w:lineRule="auto"/>
            </w:pPr>
            <w:r>
              <w:rPr>
                <w:rFonts w:ascii="Calibri" w:hAnsi="Calibri"/>
                <w:b w:val="0"/>
                <w:i w:val="0"/>
                <w:color w:val="212121"/>
                <w:sz w:val="19"/>
              </w:rPr>
              <w:t>Grade I (normal)</w:t>
            </w:r>
          </w:p>
        </w:tc>
        <w:tc>
          <w:tcPr>
            <w:tcW w:type="dxa" w:w="1512"/>
            <w:vAlign w:val="top"/>
          </w:tcPr>
          <w:p>
            <w:pPr>
              <w:spacing w:after="40" w:before="0" w:line="259" w:lineRule="auto"/>
            </w:pPr>
            <w:r>
              <w:rPr>
                <w:rFonts w:ascii="Calibri" w:hAnsi="Calibri"/>
                <w:b w:val="0"/>
                <w:i w:val="0"/>
                <w:color w:val="212121"/>
                <w:sz w:val="19"/>
              </w:rPr>
              <w:t>Grade ≥ III (moderate–complete palsy)</w:t>
            </w:r>
          </w:p>
        </w:tc>
        <w:tc>
          <w:tcPr>
            <w:tcW w:type="dxa" w:w="1468"/>
            <w:vAlign w:val="top"/>
          </w:tcPr>
          <w:p>
            <w:pPr>
              <w:spacing w:after="60" w:line="259" w:lineRule="auto"/>
            </w:pPr>
            <w:r>
              <w:rPr>
                <w:rFonts w:ascii="Calibri" w:hAnsi="Calibri"/>
                <w:b w:val="0"/>
                <w:i w:val="0"/>
                <w:color w:val="212121"/>
                <w:sz w:val="19"/>
              </w:rPr>
              <w:t>Complete palsy at onset predicts worse recovery; used to monitor progress</w:t>
            </w:r>
          </w:p>
          <w:p>
            <w:pPr>
              <w:spacing w:after="40" w:line="252" w:lineRule="auto"/>
            </w:pPr>
            <w:hyperlink r:id="rId15">
              <w:r>
                <w:rPr>
                  <w:rFonts w:ascii="Calibri" w:hAnsi="Calibri" w:cs="Calibri"/>
                  <w:sz w:val="18"/>
                  <w:color w:val="1155CC"/>
                  <w:u w:val="single"/>
                </w:rPr>
                <w:t xml:space="preserve">https://www.ncbi.nlm.nih.gov/books/NBK557409/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Pure-tone audiometry (dB HL)</w:t>
            </w:r>
          </w:p>
        </w:tc>
        <w:tc>
          <w:tcPr>
            <w:tcW w:type="dxa" w:w="1655"/>
            <w:vAlign w:val="top"/>
          </w:tcPr>
          <w:p>
            <w:pPr>
              <w:spacing w:after="40" w:before="0" w:line="259" w:lineRule="auto"/>
            </w:pPr>
            <w:r>
              <w:rPr>
                <w:rFonts w:ascii="Calibri" w:hAnsi="Calibri"/>
                <w:b w:val="0"/>
                <w:i w:val="0"/>
                <w:color w:val="212121"/>
                <w:sz w:val="19"/>
              </w:rPr>
              <w:t>RHS patients</w:t>
            </w:r>
          </w:p>
        </w:tc>
        <w:tc>
          <w:tcPr>
            <w:tcW w:type="dxa" w:w="1512"/>
            <w:vAlign w:val="top"/>
          </w:tcPr>
          <w:p>
            <w:pPr>
              <w:spacing w:after="40" w:before="0" w:line="259" w:lineRule="auto"/>
            </w:pPr>
            <w:r>
              <w:rPr>
                <w:rFonts w:ascii="Calibri" w:hAnsi="Calibri"/>
                <w:b w:val="0"/>
                <w:i w:val="0"/>
                <w:color w:val="212121"/>
                <w:sz w:val="19"/>
              </w:rPr>
              <w:t>≤ 25 dB HL (normal)</w:t>
            </w:r>
          </w:p>
        </w:tc>
        <w:tc>
          <w:tcPr>
            <w:tcW w:type="dxa" w:w="1512"/>
            <w:vAlign w:val="top"/>
          </w:tcPr>
          <w:p>
            <w:pPr>
              <w:spacing w:after="40" w:before="0" w:line="259" w:lineRule="auto"/>
            </w:pPr>
            <w:r>
              <w:rPr>
                <w:rFonts w:ascii="Calibri" w:hAnsi="Calibri"/>
                <w:b w:val="0"/>
                <w:i w:val="0"/>
                <w:color w:val="212121"/>
                <w:sz w:val="19"/>
              </w:rPr>
              <w:t>Sensorineural loss &gt; 25 dB HL</w:t>
            </w:r>
          </w:p>
        </w:tc>
        <w:tc>
          <w:tcPr>
            <w:tcW w:type="dxa" w:w="1468"/>
            <w:vAlign w:val="top"/>
          </w:tcPr>
          <w:p>
            <w:pPr>
              <w:spacing w:after="60" w:line="259" w:lineRule="auto"/>
            </w:pPr>
            <w:r>
              <w:rPr>
                <w:rFonts w:ascii="Calibri" w:hAnsi="Calibri"/>
                <w:b w:val="0"/>
                <w:i w:val="0"/>
                <w:color w:val="212121"/>
                <w:sz w:val="19"/>
              </w:rPr>
              <w:t>Sensorineural hearing loss affects up to ~43-50% and may be permanent</w:t>
            </w:r>
          </w:p>
          <w:p>
            <w:pPr>
              <w:spacing w:after="40" w:line="252" w:lineRule="auto"/>
            </w:pPr>
            <w:hyperlink r:id="rId15">
              <w:r>
                <w:rPr>
                  <w:rFonts w:ascii="Calibri" w:hAnsi="Calibri" w:cs="Calibri"/>
                  <w:sz w:val="18"/>
                  <w:color w:val="1155CC"/>
                  <w:u w:val="single"/>
                </w:rPr>
                <w:t xml:space="preserve">https://www.ncbi.nlm.nih.gov/books/NBK557409/</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Virological</w:t>
            </w:r>
          </w:p>
        </w:tc>
        <w:tc>
          <w:tcPr>
            <w:tcW w:type="dxa" w:w="1036"/>
            <w:vAlign w:val="top"/>
          </w:tcPr>
          <w:p>
            <w:pPr>
              <w:spacing w:after="40" w:before="0" w:line="259" w:lineRule="auto"/>
            </w:pPr>
            <w:r>
              <w:rPr>
                <w:rFonts w:ascii="Calibri" w:hAnsi="Calibri"/>
                <w:b w:val="0"/>
                <w:i w:val="0"/>
                <w:color w:val="212121"/>
                <w:sz w:val="16"/>
              </w:rPr>
              <w:t>VZV DNA (PCR)</w:t>
            </w:r>
          </w:p>
        </w:tc>
        <w:tc>
          <w:tcPr>
            <w:tcW w:type="dxa" w:w="892"/>
            <w:vAlign w:val="top"/>
          </w:tcPr>
          <w:p>
            <w:pPr>
              <w:spacing w:after="40" w:before="0" w:line="259" w:lineRule="auto"/>
            </w:pPr>
            <w:r>
              <w:rPr>
                <w:rFonts w:ascii="Calibri" w:hAnsi="Calibri"/>
                <w:b w:val="0"/>
                <w:i w:val="0"/>
                <w:color w:val="212121"/>
                <w:sz w:val="16"/>
              </w:rPr>
              <w:t>Vesicle fluid / saliva / CSF PCR</w:t>
            </w:r>
          </w:p>
        </w:tc>
        <w:tc>
          <w:tcPr>
            <w:tcW w:type="dxa" w:w="950"/>
            <w:vAlign w:val="top"/>
          </w:tcPr>
          <w:p>
            <w:pPr>
              <w:spacing w:after="40" w:before="0" w:line="259" w:lineRule="auto"/>
            </w:pPr>
            <w:r>
              <w:rPr>
                <w:rFonts w:ascii="Calibri" w:hAnsi="Calibri"/>
                <w:b w:val="0"/>
                <w:i w:val="0"/>
                <w:color w:val="212121"/>
                <w:sz w:val="16"/>
              </w:rPr>
              <w:t>VZV DNA not detected</w:t>
            </w:r>
          </w:p>
        </w:tc>
        <w:tc>
          <w:tcPr>
            <w:tcW w:type="dxa" w:w="950"/>
            <w:vAlign w:val="top"/>
          </w:tcPr>
          <w:p>
            <w:pPr>
              <w:spacing w:after="40" w:before="0" w:line="259" w:lineRule="auto"/>
            </w:pPr>
            <w:r>
              <w:rPr>
                <w:rFonts w:ascii="Calibri" w:hAnsi="Calibri"/>
                <w:b w:val="0"/>
                <w:i w:val="0"/>
                <w:color w:val="212121"/>
                <w:sz w:val="16"/>
              </w:rPr>
              <w:t>VZV DNA detected</w:t>
            </w:r>
          </w:p>
        </w:tc>
        <w:tc>
          <w:tcPr>
            <w:tcW w:type="dxa" w:w="1036"/>
            <w:vAlign w:val="top"/>
          </w:tcPr>
          <w:p>
            <w:pPr>
              <w:spacing w:after="40" w:before="0" w:line="259" w:lineRule="auto"/>
            </w:pPr>
            <w:r>
              <w:rPr>
                <w:rFonts w:ascii="Calibri" w:hAnsi="Calibri"/>
                <w:b w:val="0"/>
                <w:i w:val="0"/>
                <w:color w:val="212121"/>
                <w:sz w:val="16"/>
              </w:rPr>
              <w:t>Confirms VZV reactivation; especially useful in zoster sine herpete</w:t>
            </w:r>
          </w:p>
        </w:tc>
        <w:tc>
          <w:tcPr>
            <w:tcW w:type="dxa" w:w="1036"/>
            <w:vAlign w:val="top"/>
          </w:tcPr>
          <w:p>
            <w:pPr>
              <w:spacing w:after="40" w:before="0" w:line="259" w:lineRule="auto"/>
            </w:pPr>
            <w:r>
              <w:rPr>
                <w:rFonts w:ascii="Calibri" w:hAnsi="Calibri"/>
                <w:b w:val="0"/>
                <w:i w:val="0"/>
                <w:color w:val="212121"/>
                <w:sz w:val="16"/>
              </w:rPr>
              <w:t>Atypical or rash-negative palsy, immunocompromised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Reported PCR sensitivity ~58%; a negative test does not exclude RHS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Anti-VZV IgM/IgG</w:t>
            </w:r>
          </w:p>
        </w:tc>
        <w:tc>
          <w:tcPr>
            <w:tcW w:type="dxa" w:w="892"/>
            <w:vAlign w:val="top"/>
          </w:tcPr>
          <w:p>
            <w:pPr>
              <w:spacing w:after="40" w:before="0" w:line="259" w:lineRule="auto"/>
            </w:pPr>
            <w:r>
              <w:rPr>
                <w:rFonts w:ascii="Calibri" w:hAnsi="Calibri"/>
                <w:b w:val="0"/>
                <w:i w:val="0"/>
                <w:color w:val="212121"/>
                <w:sz w:val="16"/>
              </w:rPr>
              <w:t>VZV serology (paired titres)</w:t>
            </w:r>
          </w:p>
        </w:tc>
        <w:tc>
          <w:tcPr>
            <w:tcW w:type="dxa" w:w="950"/>
            <w:vAlign w:val="top"/>
          </w:tcPr>
          <w:p>
            <w:pPr>
              <w:spacing w:after="40" w:before="0" w:line="259" w:lineRule="auto"/>
            </w:pPr>
            <w:r>
              <w:rPr>
                <w:rFonts w:ascii="Calibri" w:hAnsi="Calibri"/>
                <w:b w:val="0"/>
                <w:i w:val="0"/>
                <w:color w:val="212121"/>
                <w:sz w:val="16"/>
              </w:rPr>
              <w:t>No acute-phase rise</w:t>
            </w:r>
          </w:p>
        </w:tc>
        <w:tc>
          <w:tcPr>
            <w:tcW w:type="dxa" w:w="950"/>
            <w:vAlign w:val="top"/>
          </w:tcPr>
          <w:p>
            <w:pPr>
              <w:spacing w:after="40" w:before="0" w:line="259" w:lineRule="auto"/>
            </w:pPr>
            <w:r>
              <w:rPr>
                <w:rFonts w:ascii="Calibri" w:hAnsi="Calibri"/>
                <w:b w:val="0"/>
                <w:i w:val="0"/>
                <w:color w:val="212121"/>
                <w:sz w:val="16"/>
              </w:rPr>
              <w:t>Fourfold rise in IgG or positive IgM</w:t>
            </w:r>
          </w:p>
        </w:tc>
        <w:tc>
          <w:tcPr>
            <w:tcW w:type="dxa" w:w="1036"/>
            <w:vAlign w:val="top"/>
          </w:tcPr>
          <w:p>
            <w:pPr>
              <w:spacing w:after="40" w:before="0" w:line="259" w:lineRule="auto"/>
            </w:pPr>
            <w:r>
              <w:rPr>
                <w:rFonts w:ascii="Calibri" w:hAnsi="Calibri"/>
                <w:b w:val="0"/>
                <w:i w:val="0"/>
                <w:color w:val="212121"/>
                <w:sz w:val="16"/>
              </w:rPr>
              <w:t>Supports acute reactivation when PCR unavailable</w:t>
            </w:r>
          </w:p>
        </w:tc>
        <w:tc>
          <w:tcPr>
            <w:tcW w:type="dxa" w:w="1036"/>
            <w:vAlign w:val="top"/>
          </w:tcPr>
          <w:p>
            <w:pPr>
              <w:spacing w:after="40" w:before="0" w:line="259" w:lineRule="auto"/>
            </w:pPr>
            <w:r>
              <w:rPr>
                <w:rFonts w:ascii="Calibri" w:hAnsi="Calibri"/>
                <w:b w:val="0"/>
                <w:i w:val="0"/>
                <w:color w:val="212121"/>
                <w:sz w:val="16"/>
              </w:rPr>
              <w:t>Zoster sine herpete, delayed presentation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ELISA sensitivity ~82-99% but limited in early acute phase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Pure-tone / speech audiometry</w:t>
            </w:r>
          </w:p>
        </w:tc>
        <w:tc>
          <w:tcPr>
            <w:tcW w:type="dxa" w:w="892"/>
            <w:vAlign w:val="top"/>
          </w:tcPr>
          <w:p>
            <w:pPr>
              <w:spacing w:after="40" w:before="0" w:line="259" w:lineRule="auto"/>
            </w:pPr>
            <w:r>
              <w:rPr>
                <w:rFonts w:ascii="Calibri" w:hAnsi="Calibri"/>
                <w:b w:val="0"/>
                <w:i w:val="0"/>
                <w:color w:val="212121"/>
                <w:sz w:val="16"/>
              </w:rPr>
              <w:t>Pure-tone audiometry</w:t>
            </w:r>
          </w:p>
        </w:tc>
        <w:tc>
          <w:tcPr>
            <w:tcW w:type="dxa" w:w="950"/>
            <w:vAlign w:val="top"/>
          </w:tcPr>
          <w:p>
            <w:pPr>
              <w:spacing w:after="40" w:before="0" w:line="259" w:lineRule="auto"/>
            </w:pPr>
            <w:r>
              <w:rPr>
                <w:rFonts w:ascii="Calibri" w:hAnsi="Calibri"/>
                <w:b w:val="0"/>
                <w:i w:val="0"/>
                <w:color w:val="212121"/>
                <w:sz w:val="16"/>
              </w:rPr>
              <w:t>≤ 25 dB HL, symmetrical</w:t>
            </w:r>
          </w:p>
        </w:tc>
        <w:tc>
          <w:tcPr>
            <w:tcW w:type="dxa" w:w="950"/>
            <w:vAlign w:val="top"/>
          </w:tcPr>
          <w:p>
            <w:pPr>
              <w:spacing w:after="40" w:before="0" w:line="259" w:lineRule="auto"/>
            </w:pPr>
            <w:r>
              <w:rPr>
                <w:rFonts w:ascii="Calibri" w:hAnsi="Calibri"/>
                <w:b w:val="0"/>
                <w:i w:val="0"/>
                <w:color w:val="212121"/>
                <w:sz w:val="16"/>
              </w:rPr>
              <w:t>Ipsilateral sensorineural hearing loss</w:t>
            </w:r>
          </w:p>
        </w:tc>
        <w:tc>
          <w:tcPr>
            <w:tcW w:type="dxa" w:w="1036"/>
            <w:vAlign w:val="top"/>
          </w:tcPr>
          <w:p>
            <w:pPr>
              <w:spacing w:after="40" w:before="0" w:line="259" w:lineRule="auto"/>
            </w:pPr>
            <w:r>
              <w:rPr>
                <w:rFonts w:ascii="Calibri" w:hAnsi="Calibri"/>
                <w:b w:val="0"/>
                <w:i w:val="0"/>
                <w:color w:val="212121"/>
                <w:sz w:val="16"/>
              </w:rPr>
              <w:t>Quantifies CN VIII involvement and guides prognosis/rehab</w:t>
            </w:r>
          </w:p>
        </w:tc>
        <w:tc>
          <w:tcPr>
            <w:tcW w:type="dxa" w:w="1036"/>
            <w:vAlign w:val="top"/>
          </w:tcPr>
          <w:p>
            <w:pPr>
              <w:spacing w:after="40" w:before="0" w:line="259" w:lineRule="auto"/>
            </w:pPr>
            <w:r>
              <w:rPr>
                <w:rFonts w:ascii="Calibri" w:hAnsi="Calibri"/>
                <w:b w:val="0"/>
                <w:i w:val="0"/>
                <w:color w:val="212121"/>
                <w:sz w:val="16"/>
              </w:rPr>
              <w:t>All RHS with otologic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Audiometry is advised as hearing loss may be permanent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CBC / absolute lymphocyte count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Normal counts</w:t>
            </w:r>
          </w:p>
        </w:tc>
        <w:tc>
          <w:tcPr>
            <w:tcW w:type="dxa" w:w="950"/>
            <w:vAlign w:val="top"/>
          </w:tcPr>
          <w:p>
            <w:pPr>
              <w:spacing w:after="40" w:before="0" w:line="259" w:lineRule="auto"/>
            </w:pPr>
            <w:r>
              <w:rPr>
                <w:rFonts w:ascii="Calibri" w:hAnsi="Calibri"/>
                <w:b w:val="0"/>
                <w:i w:val="0"/>
                <w:color w:val="212121"/>
                <w:sz w:val="16"/>
              </w:rPr>
              <w:t>Lymphopenia or cytopenias</w:t>
            </w:r>
          </w:p>
        </w:tc>
        <w:tc>
          <w:tcPr>
            <w:tcW w:type="dxa" w:w="1036"/>
            <w:vAlign w:val="top"/>
          </w:tcPr>
          <w:p>
            <w:pPr>
              <w:spacing w:after="40" w:before="0" w:line="259" w:lineRule="auto"/>
            </w:pPr>
            <w:r>
              <w:rPr>
                <w:rFonts w:ascii="Calibri" w:hAnsi="Calibri"/>
                <w:b w:val="0"/>
                <w:i w:val="0"/>
                <w:color w:val="212121"/>
                <w:sz w:val="16"/>
              </w:rPr>
              <w:t>Screens for underlying immunosuppression and severity risk</w:t>
            </w:r>
          </w:p>
        </w:tc>
        <w:tc>
          <w:tcPr>
            <w:tcW w:type="dxa" w:w="1036"/>
            <w:vAlign w:val="top"/>
          </w:tcPr>
          <w:p>
            <w:pPr>
              <w:spacing w:after="40" w:before="0" w:line="259" w:lineRule="auto"/>
            </w:pPr>
            <w:r>
              <w:rPr>
                <w:rFonts w:ascii="Calibri" w:hAnsi="Calibri"/>
                <w:b w:val="0"/>
                <w:i w:val="0"/>
                <w:color w:val="212121"/>
                <w:sz w:val="16"/>
              </w:rPr>
              <w:t>Elderly, immunocompromised, severe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Low neutrophil-to-lymphocyte ratio favours recovery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HbA1c ≥ 6.5%</w:t>
            </w:r>
          </w:p>
        </w:tc>
        <w:tc>
          <w:tcPr>
            <w:tcW w:type="dxa" w:w="1036"/>
            <w:vAlign w:val="top"/>
          </w:tcPr>
          <w:p>
            <w:pPr>
              <w:spacing w:after="40" w:before="0" w:line="259" w:lineRule="auto"/>
            </w:pPr>
            <w:r>
              <w:rPr>
                <w:rFonts w:ascii="Calibri" w:hAnsi="Calibri"/>
                <w:b w:val="0"/>
                <w:i w:val="0"/>
                <w:color w:val="212121"/>
                <w:sz w:val="16"/>
              </w:rPr>
              <w:t>Detects diabetes, a risk factor and adverse prognostic marker</w:t>
            </w:r>
          </w:p>
        </w:tc>
        <w:tc>
          <w:tcPr>
            <w:tcW w:type="dxa" w:w="1036"/>
            <w:vAlign w:val="top"/>
          </w:tcPr>
          <w:p>
            <w:pPr>
              <w:spacing w:after="40" w:before="0" w:line="259" w:lineRule="auto"/>
            </w:pPr>
            <w:r>
              <w:rPr>
                <w:rFonts w:ascii="Calibri" w:hAnsi="Calibri"/>
                <w:b w:val="0"/>
                <w:i w:val="0"/>
                <w:color w:val="212121"/>
                <w:sz w:val="16"/>
              </w:rPr>
              <w:t>Adults, elderly, at-risk</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Diabetes worsens RHS facial-nerve outcomes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Infectious screen</w:t>
            </w:r>
          </w:p>
        </w:tc>
        <w:tc>
          <w:tcPr>
            <w:tcW w:type="dxa" w:w="1036"/>
            <w:vAlign w:val="top"/>
          </w:tcPr>
          <w:p>
            <w:pPr>
              <w:spacing w:after="40" w:before="0" w:line="259" w:lineRule="auto"/>
            </w:pPr>
            <w:r>
              <w:rPr>
                <w:rFonts w:ascii="Calibri" w:hAnsi="Calibri"/>
                <w:b w:val="0"/>
                <w:i w:val="0"/>
                <w:color w:val="212121"/>
                <w:sz w:val="16"/>
              </w:rPr>
              <w:t>HIV serology</w:t>
            </w:r>
          </w:p>
        </w:tc>
        <w:tc>
          <w:tcPr>
            <w:tcW w:type="dxa" w:w="892"/>
            <w:vAlign w:val="top"/>
          </w:tcPr>
          <w:p>
            <w:pPr>
              <w:spacing w:after="40" w:before="0" w:line="259" w:lineRule="auto"/>
            </w:pPr>
            <w:r>
              <w:rPr>
                <w:rFonts w:ascii="Calibri" w:hAnsi="Calibri"/>
                <w:b w:val="0"/>
                <w:i w:val="0"/>
                <w:color w:val="212121"/>
                <w:sz w:val="16"/>
              </w:rPr>
              <w:t>HIV test</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w:t>
            </w:r>
          </w:p>
        </w:tc>
        <w:tc>
          <w:tcPr>
            <w:tcW w:type="dxa" w:w="1036"/>
            <w:vAlign w:val="top"/>
          </w:tcPr>
          <w:p>
            <w:pPr>
              <w:spacing w:after="40" w:before="0" w:line="259" w:lineRule="auto"/>
            </w:pPr>
            <w:r>
              <w:rPr>
                <w:rFonts w:ascii="Calibri" w:hAnsi="Calibri"/>
                <w:b w:val="0"/>
                <w:i w:val="0"/>
                <w:color w:val="212121"/>
                <w:sz w:val="16"/>
              </w:rPr>
              <w:t>Identifies immunosuppression underlying atypical/bilateral or young-patient RHS</w:t>
            </w:r>
          </w:p>
        </w:tc>
        <w:tc>
          <w:tcPr>
            <w:tcW w:type="dxa" w:w="1036"/>
            <w:vAlign w:val="top"/>
          </w:tcPr>
          <w:p>
            <w:pPr>
              <w:spacing w:after="40" w:before="0" w:line="259" w:lineRule="auto"/>
            </w:pPr>
            <w:r>
              <w:rPr>
                <w:rFonts w:ascii="Calibri" w:hAnsi="Calibri"/>
                <w:b w:val="0"/>
                <w:i w:val="0"/>
                <w:color w:val="212121"/>
                <w:sz w:val="16"/>
              </w:rPr>
              <w:t>Young, atypical, multi-cranial or recurrent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Consider in severe or unusual presentations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Neurophysiological</w:t>
            </w:r>
          </w:p>
        </w:tc>
        <w:tc>
          <w:tcPr>
            <w:tcW w:type="dxa" w:w="1036"/>
            <w:vAlign w:val="top"/>
          </w:tcPr>
          <w:p>
            <w:pPr>
              <w:spacing w:after="40" w:before="0" w:line="259" w:lineRule="auto"/>
            </w:pPr>
            <w:r>
              <w:rPr>
                <w:rFonts w:ascii="Calibri" w:hAnsi="Calibri"/>
                <w:b w:val="0"/>
                <w:i w:val="0"/>
                <w:color w:val="212121"/>
                <w:sz w:val="16"/>
              </w:rPr>
              <w:t>Facial ENoG / EMG</w:t>
            </w:r>
          </w:p>
        </w:tc>
        <w:tc>
          <w:tcPr>
            <w:tcW w:type="dxa" w:w="892"/>
            <w:vAlign w:val="top"/>
          </w:tcPr>
          <w:p>
            <w:pPr>
              <w:spacing w:after="40" w:before="0" w:line="259" w:lineRule="auto"/>
            </w:pPr>
            <w:r>
              <w:rPr>
                <w:rFonts w:ascii="Calibri" w:hAnsi="Calibri"/>
                <w:b w:val="0"/>
                <w:i w:val="0"/>
                <w:color w:val="212121"/>
                <w:sz w:val="16"/>
              </w:rPr>
              <w:t>Electroneuronography</w:t>
            </w:r>
          </w:p>
        </w:tc>
        <w:tc>
          <w:tcPr>
            <w:tcW w:type="dxa" w:w="950"/>
            <w:vAlign w:val="top"/>
          </w:tcPr>
          <w:p>
            <w:pPr>
              <w:spacing w:after="40" w:before="0" w:line="259" w:lineRule="auto"/>
            </w:pPr>
            <w:r>
              <w:rPr>
                <w:rFonts w:ascii="Calibri" w:hAnsi="Calibri"/>
                <w:b w:val="0"/>
                <w:i w:val="0"/>
                <w:color w:val="212121"/>
                <w:sz w:val="16"/>
              </w:rPr>
              <w:t>&lt; 90% degeneration</w:t>
            </w:r>
          </w:p>
        </w:tc>
        <w:tc>
          <w:tcPr>
            <w:tcW w:type="dxa" w:w="950"/>
            <w:vAlign w:val="top"/>
          </w:tcPr>
          <w:p>
            <w:pPr>
              <w:spacing w:after="40" w:before="0" w:line="259" w:lineRule="auto"/>
            </w:pPr>
            <w:r>
              <w:rPr>
                <w:rFonts w:ascii="Calibri" w:hAnsi="Calibri"/>
                <w:b w:val="0"/>
                <w:i w:val="0"/>
                <w:color w:val="212121"/>
                <w:sz w:val="16"/>
              </w:rPr>
              <w:t>≥ 90% axonal degeneration</w:t>
            </w:r>
          </w:p>
        </w:tc>
        <w:tc>
          <w:tcPr>
            <w:tcW w:type="dxa" w:w="1036"/>
            <w:vAlign w:val="top"/>
          </w:tcPr>
          <w:p>
            <w:pPr>
              <w:spacing w:after="40" w:before="0" w:line="259" w:lineRule="auto"/>
            </w:pPr>
            <w:r>
              <w:rPr>
                <w:rFonts w:ascii="Calibri" w:hAnsi="Calibri"/>
                <w:b w:val="0"/>
                <w:i w:val="0"/>
                <w:color w:val="212121"/>
                <w:sz w:val="16"/>
              </w:rPr>
              <w:t>Grades axonal loss and prognosis in complete paralysis</w:t>
            </w:r>
          </w:p>
        </w:tc>
        <w:tc>
          <w:tcPr>
            <w:tcW w:type="dxa" w:w="1036"/>
            <w:vAlign w:val="top"/>
          </w:tcPr>
          <w:p>
            <w:pPr>
              <w:spacing w:after="40" w:before="0" w:line="259" w:lineRule="auto"/>
            </w:pPr>
            <w:r>
              <w:rPr>
                <w:rFonts w:ascii="Calibri" w:hAnsi="Calibri"/>
                <w:b w:val="0"/>
                <w:i w:val="0"/>
                <w:color w:val="212121"/>
                <w:sz w:val="16"/>
              </w:rPr>
              <w:t>Complete facial palsy, poor early recovery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need for further intervention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with gadolinium</w:t>
            </w:r>
          </w:p>
        </w:tc>
        <w:tc>
          <w:tcPr>
            <w:tcW w:type="dxa" w:w="892"/>
            <w:vAlign w:val="top"/>
          </w:tcPr>
          <w:p>
            <w:pPr>
              <w:spacing w:after="40" w:before="0" w:line="259" w:lineRule="auto"/>
            </w:pPr>
            <w:r>
              <w:rPr>
                <w:rFonts w:ascii="Calibri" w:hAnsi="Calibri"/>
                <w:b w:val="0"/>
                <w:i w:val="0"/>
                <w:color w:val="212121"/>
                <w:sz w:val="16"/>
              </w:rPr>
              <w:t>Contrast MRI temporal bone/brain</w:t>
            </w:r>
          </w:p>
        </w:tc>
        <w:tc>
          <w:tcPr>
            <w:tcW w:type="dxa" w:w="950"/>
            <w:vAlign w:val="top"/>
          </w:tcPr>
          <w:p>
            <w:pPr>
              <w:spacing w:after="40" w:before="0" w:line="259" w:lineRule="auto"/>
            </w:pPr>
            <w:r>
              <w:rPr>
                <w:rFonts w:ascii="Calibri" w:hAnsi="Calibri"/>
                <w:b w:val="0"/>
                <w:i w:val="0"/>
                <w:color w:val="212121"/>
                <w:sz w:val="16"/>
              </w:rPr>
              <w:t>No abnormal enhancement</w:t>
            </w:r>
          </w:p>
        </w:tc>
        <w:tc>
          <w:tcPr>
            <w:tcW w:type="dxa" w:w="950"/>
            <w:vAlign w:val="top"/>
          </w:tcPr>
          <w:p>
            <w:pPr>
              <w:spacing w:after="40" w:before="0" w:line="259" w:lineRule="auto"/>
            </w:pPr>
            <w:r>
              <w:rPr>
                <w:rFonts w:ascii="Calibri" w:hAnsi="Calibri"/>
                <w:b w:val="0"/>
                <w:i w:val="0"/>
                <w:color w:val="212121"/>
                <w:sz w:val="16"/>
              </w:rPr>
              <w:t>Geniculate ganglion / facial nerve enhancement</w:t>
            </w:r>
          </w:p>
        </w:tc>
        <w:tc>
          <w:tcPr>
            <w:tcW w:type="dxa" w:w="1036"/>
            <w:vAlign w:val="top"/>
          </w:tcPr>
          <w:p>
            <w:pPr>
              <w:spacing w:after="40" w:before="0" w:line="259" w:lineRule="auto"/>
            </w:pPr>
            <w:r>
              <w:rPr>
                <w:rFonts w:ascii="Calibri" w:hAnsi="Calibri"/>
                <w:b w:val="0"/>
                <w:i w:val="0"/>
                <w:color w:val="212121"/>
                <w:sz w:val="16"/>
              </w:rPr>
              <w:t>Supports diagnosis and excludes tumour, stroke or other palsy causes</w:t>
            </w:r>
          </w:p>
        </w:tc>
        <w:tc>
          <w:tcPr>
            <w:tcW w:type="dxa" w:w="1036"/>
            <w:vAlign w:val="top"/>
          </w:tcPr>
          <w:p>
            <w:pPr>
              <w:spacing w:after="40" w:before="0" w:line="259" w:lineRule="auto"/>
            </w:pPr>
            <w:r>
              <w:rPr>
                <w:rFonts w:ascii="Calibri" w:hAnsi="Calibri"/>
                <w:b w:val="0"/>
                <w:i w:val="0"/>
                <w:color w:val="212121"/>
                <w:sz w:val="16"/>
              </w:rPr>
              <w:t>Atypical, progressive or CNS-suspicious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Not strictly required when the triad is clear</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Otalgia + facial weakness + rash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component of the triad present</w:t>
            </w:r>
          </w:p>
        </w:tc>
        <w:tc>
          <w:tcPr>
            <w:tcW w:type="dxa" w:w="1036"/>
            <w:vAlign w:val="top"/>
          </w:tcPr>
          <w:p>
            <w:pPr>
              <w:spacing w:after="40" w:before="0" w:line="259" w:lineRule="auto"/>
            </w:pPr>
            <w:r>
              <w:rPr>
                <w:rFonts w:ascii="Calibri" w:hAnsi="Calibri"/>
                <w:b w:val="0"/>
                <w:i w:val="0"/>
                <w:color w:val="212121"/>
                <w:sz w:val="16"/>
              </w:rPr>
              <w:t>Characteristic Ramsay Hunt triad; clinical diagnosis cornerstone</w:t>
            </w:r>
          </w:p>
        </w:tc>
        <w:tc>
          <w:tcPr>
            <w:tcW w:type="dxa" w:w="1036"/>
            <w:vAlign w:val="top"/>
          </w:tcPr>
          <w:p>
            <w:pPr>
              <w:spacing w:after="40" w:before="0" w:line="259" w:lineRule="auto"/>
            </w:pPr>
            <w:r>
              <w:rPr>
                <w:rFonts w:ascii="Calibri" w:hAnsi="Calibri"/>
                <w:b w:val="0"/>
                <w:i w:val="0"/>
                <w:color w:val="212121"/>
                <w:sz w:val="16"/>
              </w:rPr>
              <w:t>Adults/elderly with acute facial palsy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Ear pain often precedes weakness and rash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review</w:t>
            </w:r>
          </w:p>
        </w:tc>
        <w:tc>
          <w:tcPr>
            <w:tcW w:type="dxa" w:w="979"/>
            <w:vAlign w:val="top"/>
          </w:tcPr>
          <w:p>
            <w:pPr>
              <w:spacing w:after="40" w:before="0" w:line="259" w:lineRule="auto"/>
            </w:pPr>
            <w:r>
              <w:rPr>
                <w:rFonts w:ascii="Calibri" w:hAnsi="Calibri"/>
                <w:b w:val="0"/>
                <w:i w:val="0"/>
                <w:color w:val="212121"/>
                <w:sz w:val="16"/>
              </w:rPr>
              <w:t>Immunosuppression, diabetes, prior varicella, vaccination</w:t>
            </w:r>
          </w:p>
        </w:tc>
        <w:tc>
          <w:tcPr>
            <w:tcW w:type="dxa" w:w="950"/>
            <w:vAlign w:val="top"/>
          </w:tcPr>
          <w:p>
            <w:pPr>
              <w:spacing w:after="40" w:before="0" w:line="259" w:lineRule="auto"/>
            </w:pPr>
            <w:r>
              <w:rPr>
                <w:rFonts w:ascii="Calibri" w:hAnsi="Calibri"/>
                <w:b w:val="0"/>
                <w:i w:val="0"/>
                <w:color w:val="212121"/>
                <w:sz w:val="16"/>
              </w:rPr>
              <w:t>No risk factors</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Identifies reactivation drivers and guides HIV/glucose testing</w:t>
            </w:r>
          </w:p>
        </w:tc>
        <w:tc>
          <w:tcPr>
            <w:tcW w:type="dxa" w:w="1036"/>
            <w:vAlign w:val="top"/>
          </w:tcPr>
          <w:p>
            <w:pPr>
              <w:spacing w:after="40" w:before="0" w:line="259" w:lineRule="auto"/>
            </w:pPr>
            <w:r>
              <w:rPr>
                <w:rFonts w:ascii="Calibri" w:hAnsi="Calibri"/>
                <w:b w:val="0"/>
                <w:i w:val="0"/>
                <w:color w:val="212121"/>
                <w:sz w:val="16"/>
              </w:rPr>
              <w:t>Immunocompromised, diabetic, elderly</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Ask about steroid use, malignancy, HIV, stress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Otoscopy</w:t>
            </w:r>
          </w:p>
        </w:tc>
        <w:tc>
          <w:tcPr>
            <w:tcW w:type="dxa" w:w="950"/>
            <w:vAlign w:val="top"/>
          </w:tcPr>
          <w:p>
            <w:pPr>
              <w:spacing w:after="40" w:before="0" w:line="259" w:lineRule="auto"/>
            </w:pPr>
            <w:r>
              <w:rPr>
                <w:rFonts w:ascii="Calibri" w:hAnsi="Calibri"/>
                <w:b w:val="0"/>
                <w:i w:val="0"/>
                <w:color w:val="212121"/>
                <w:sz w:val="16"/>
              </w:rPr>
              <w:t>Ear examination</w:t>
            </w:r>
          </w:p>
        </w:tc>
        <w:tc>
          <w:tcPr>
            <w:tcW w:type="dxa" w:w="979"/>
            <w:vAlign w:val="top"/>
          </w:tcPr>
          <w:p>
            <w:pPr>
              <w:spacing w:after="40" w:before="0" w:line="259" w:lineRule="auto"/>
            </w:pPr>
            <w:r>
              <w:rPr>
                <w:rFonts w:ascii="Calibri" w:hAnsi="Calibri"/>
                <w:b w:val="0"/>
                <w:i w:val="0"/>
                <w:color w:val="212121"/>
                <w:sz w:val="16"/>
              </w:rPr>
              <w:t>Auricle / EAC / tympanic membrane vesicles</w:t>
            </w:r>
          </w:p>
        </w:tc>
        <w:tc>
          <w:tcPr>
            <w:tcW w:type="dxa" w:w="950"/>
            <w:vAlign w:val="top"/>
          </w:tcPr>
          <w:p>
            <w:pPr>
              <w:spacing w:after="40" w:before="0" w:line="259" w:lineRule="auto"/>
            </w:pPr>
            <w:r>
              <w:rPr>
                <w:rFonts w:ascii="Calibri" w:hAnsi="Calibri"/>
                <w:b w:val="0"/>
                <w:i w:val="0"/>
                <w:color w:val="212121"/>
                <w:sz w:val="16"/>
              </w:rPr>
              <w:t>No vesicles</w:t>
            </w:r>
          </w:p>
        </w:tc>
        <w:tc>
          <w:tcPr>
            <w:tcW w:type="dxa" w:w="950"/>
            <w:vAlign w:val="top"/>
          </w:tcPr>
          <w:p>
            <w:pPr>
              <w:spacing w:after="40" w:before="0" w:line="259" w:lineRule="auto"/>
            </w:pPr>
            <w:r>
              <w:rPr>
                <w:rFonts w:ascii="Calibri" w:hAnsi="Calibri"/>
                <w:b w:val="0"/>
                <w:i w:val="0"/>
                <w:color w:val="212121"/>
                <w:sz w:val="16"/>
              </w:rPr>
              <w:t>Herpetic vesicles or crusting in ear</w:t>
            </w:r>
          </w:p>
        </w:tc>
        <w:tc>
          <w:tcPr>
            <w:tcW w:type="dxa" w:w="1036"/>
            <w:vAlign w:val="top"/>
          </w:tcPr>
          <w:p>
            <w:pPr>
              <w:spacing w:after="40" w:before="0" w:line="259" w:lineRule="auto"/>
            </w:pPr>
            <w:r>
              <w:rPr>
                <w:rFonts w:ascii="Calibri" w:hAnsi="Calibri"/>
                <w:b w:val="0"/>
                <w:i w:val="0"/>
                <w:color w:val="212121"/>
                <w:sz w:val="16"/>
              </w:rPr>
              <w:t>Confirms zoster oticus distribution</w:t>
            </w:r>
          </w:p>
        </w:tc>
        <w:tc>
          <w:tcPr>
            <w:tcW w:type="dxa" w:w="1036"/>
            <w:vAlign w:val="top"/>
          </w:tcPr>
          <w:p>
            <w:pPr>
              <w:spacing w:after="40" w:before="0" w:line="259" w:lineRule="auto"/>
            </w:pPr>
            <w:r>
              <w:rPr>
                <w:rFonts w:ascii="Calibri" w:hAnsi="Calibri"/>
                <w:b w:val="0"/>
                <w:i w:val="0"/>
                <w:color w:val="212121"/>
                <w:sz w:val="16"/>
              </w:rPr>
              <w:t>All suspected RHS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Rash may be subtle, deep in canal, or appear after weakness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Oral examination</w:t>
            </w:r>
          </w:p>
        </w:tc>
        <w:tc>
          <w:tcPr>
            <w:tcW w:type="dxa" w:w="950"/>
            <w:vAlign w:val="top"/>
          </w:tcPr>
          <w:p>
            <w:pPr>
              <w:spacing w:after="40" w:before="0" w:line="259" w:lineRule="auto"/>
            </w:pPr>
            <w:r>
              <w:rPr>
                <w:rFonts w:ascii="Calibri" w:hAnsi="Calibri"/>
                <w:b w:val="0"/>
                <w:i w:val="0"/>
                <w:color w:val="212121"/>
                <w:sz w:val="16"/>
              </w:rPr>
              <w:t>Oral cavity inspection</w:t>
            </w:r>
          </w:p>
        </w:tc>
        <w:tc>
          <w:tcPr>
            <w:tcW w:type="dxa" w:w="979"/>
            <w:vAlign w:val="top"/>
          </w:tcPr>
          <w:p>
            <w:pPr>
              <w:spacing w:after="40" w:before="0" w:line="259" w:lineRule="auto"/>
            </w:pPr>
            <w:r>
              <w:rPr>
                <w:rFonts w:ascii="Calibri" w:hAnsi="Calibri"/>
                <w:b w:val="0"/>
                <w:i w:val="0"/>
                <w:color w:val="212121"/>
                <w:sz w:val="16"/>
              </w:rPr>
              <w:t>Palatal / anterior tongue vesicles</w:t>
            </w:r>
          </w:p>
        </w:tc>
        <w:tc>
          <w:tcPr>
            <w:tcW w:type="dxa" w:w="950"/>
            <w:vAlign w:val="top"/>
          </w:tcPr>
          <w:p>
            <w:pPr>
              <w:spacing w:after="40" w:before="0" w:line="259" w:lineRule="auto"/>
            </w:pPr>
            <w:r>
              <w:rPr>
                <w:rFonts w:ascii="Calibri" w:hAnsi="Calibri"/>
                <w:b w:val="0"/>
                <w:i w:val="0"/>
                <w:color w:val="212121"/>
                <w:sz w:val="16"/>
              </w:rPr>
              <w:t>No lesions</w:t>
            </w:r>
          </w:p>
        </w:tc>
        <w:tc>
          <w:tcPr>
            <w:tcW w:type="dxa" w:w="950"/>
            <w:vAlign w:val="top"/>
          </w:tcPr>
          <w:p>
            <w:pPr>
              <w:spacing w:after="40" w:before="0" w:line="259" w:lineRule="auto"/>
            </w:pPr>
            <w:r>
              <w:rPr>
                <w:rFonts w:ascii="Calibri" w:hAnsi="Calibri"/>
                <w:b w:val="0"/>
                <w:i w:val="0"/>
                <w:color w:val="212121"/>
                <w:sz w:val="16"/>
              </w:rPr>
              <w:t>Mucosal vesicles or ulcers on affected side</w:t>
            </w:r>
          </w:p>
        </w:tc>
        <w:tc>
          <w:tcPr>
            <w:tcW w:type="dxa" w:w="1036"/>
            <w:vAlign w:val="top"/>
          </w:tcPr>
          <w:p>
            <w:pPr>
              <w:spacing w:after="40" w:before="0" w:line="259" w:lineRule="auto"/>
            </w:pPr>
            <w:r>
              <w:rPr>
                <w:rFonts w:ascii="Calibri" w:hAnsi="Calibri"/>
                <w:b w:val="0"/>
                <w:i w:val="0"/>
                <w:color w:val="212121"/>
                <w:sz w:val="16"/>
              </w:rPr>
              <w:t>Geniculate sensory distribution involvement</w:t>
            </w:r>
          </w:p>
        </w:tc>
        <w:tc>
          <w:tcPr>
            <w:tcW w:type="dxa" w:w="1036"/>
            <w:vAlign w:val="top"/>
          </w:tcPr>
          <w:p>
            <w:pPr>
              <w:spacing w:after="40" w:before="0" w:line="259" w:lineRule="auto"/>
            </w:pPr>
            <w:r>
              <w:rPr>
                <w:rFonts w:ascii="Calibri" w:hAnsi="Calibri"/>
                <w:b w:val="0"/>
                <w:i w:val="0"/>
                <w:color w:val="212121"/>
                <w:sz w:val="16"/>
              </w:rPr>
              <w:t>RHS with oral symptoms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Often first noticed by dentists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w:t>
            </w:r>
          </w:p>
        </w:tc>
        <w:tc>
          <w:tcPr>
            <w:tcW w:type="dxa" w:w="950"/>
            <w:vAlign w:val="top"/>
          </w:tcPr>
          <w:p>
            <w:pPr>
              <w:spacing w:after="40" w:before="0" w:line="259" w:lineRule="auto"/>
            </w:pPr>
            <w:r>
              <w:rPr>
                <w:rFonts w:ascii="Calibri" w:hAnsi="Calibri"/>
                <w:b w:val="0"/>
                <w:i w:val="0"/>
                <w:color w:val="212121"/>
                <w:sz w:val="16"/>
              </w:rPr>
              <w:t>Facial nerve exam (House-Brackmann)</w:t>
            </w:r>
          </w:p>
        </w:tc>
        <w:tc>
          <w:tcPr>
            <w:tcW w:type="dxa" w:w="979"/>
            <w:vAlign w:val="top"/>
          </w:tcPr>
          <w:p>
            <w:pPr>
              <w:spacing w:after="40" w:before="0" w:line="259" w:lineRule="auto"/>
            </w:pPr>
            <w:r>
              <w:rPr>
                <w:rFonts w:ascii="Calibri" w:hAnsi="Calibri"/>
                <w:b w:val="0"/>
                <w:i w:val="0"/>
                <w:color w:val="212121"/>
                <w:sz w:val="16"/>
              </w:rPr>
              <w:t>Forehead + lower-face movement, grade</w:t>
            </w:r>
          </w:p>
        </w:tc>
        <w:tc>
          <w:tcPr>
            <w:tcW w:type="dxa" w:w="950"/>
            <w:vAlign w:val="top"/>
          </w:tcPr>
          <w:p>
            <w:pPr>
              <w:spacing w:after="40" w:before="0" w:line="259" w:lineRule="auto"/>
            </w:pPr>
            <w:r>
              <w:rPr>
                <w:rFonts w:ascii="Calibri" w:hAnsi="Calibri"/>
                <w:b w:val="0"/>
                <w:i w:val="0"/>
                <w:color w:val="212121"/>
                <w:sz w:val="16"/>
              </w:rPr>
              <w:t>Symmetric, HB grade I</w:t>
            </w:r>
          </w:p>
        </w:tc>
        <w:tc>
          <w:tcPr>
            <w:tcW w:type="dxa" w:w="950"/>
            <w:vAlign w:val="top"/>
          </w:tcPr>
          <w:p>
            <w:pPr>
              <w:spacing w:after="40" w:before="0" w:line="259" w:lineRule="auto"/>
            </w:pPr>
            <w:r>
              <w:rPr>
                <w:rFonts w:ascii="Calibri" w:hAnsi="Calibri"/>
                <w:b w:val="0"/>
                <w:i w:val="0"/>
                <w:color w:val="212121"/>
                <w:sz w:val="16"/>
              </w:rPr>
              <w:t>LMN palsy with forehead involvement, HB ≥ II</w:t>
            </w:r>
          </w:p>
        </w:tc>
        <w:tc>
          <w:tcPr>
            <w:tcW w:type="dxa" w:w="1036"/>
            <w:vAlign w:val="top"/>
          </w:tcPr>
          <w:p>
            <w:pPr>
              <w:spacing w:after="40" w:before="0" w:line="259" w:lineRule="auto"/>
            </w:pPr>
            <w:r>
              <w:rPr>
                <w:rFonts w:ascii="Calibri" w:hAnsi="Calibri"/>
                <w:b w:val="0"/>
                <w:i w:val="0"/>
                <w:color w:val="212121"/>
                <w:sz w:val="16"/>
              </w:rPr>
              <w:t>Confirms peripheral (not central) CN VII lesion and severity</w:t>
            </w:r>
          </w:p>
        </w:tc>
        <w:tc>
          <w:tcPr>
            <w:tcW w:type="dxa" w:w="1036"/>
            <w:vAlign w:val="top"/>
          </w:tcPr>
          <w:p>
            <w:pPr>
              <w:spacing w:after="40" w:before="0" w:line="259" w:lineRule="auto"/>
            </w:pPr>
            <w:r>
              <w:rPr>
                <w:rFonts w:ascii="Calibri" w:hAnsi="Calibri"/>
                <w:b w:val="0"/>
                <w:i w:val="0"/>
                <w:color w:val="212121"/>
                <w:sz w:val="16"/>
              </w:rPr>
              <w:t>All RHS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Forehead involvement distinguishes peripheral from central palsy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w:t>
            </w:r>
          </w:p>
        </w:tc>
        <w:tc>
          <w:tcPr>
            <w:tcW w:type="dxa" w:w="950"/>
            <w:vAlign w:val="top"/>
          </w:tcPr>
          <w:p>
            <w:pPr>
              <w:spacing w:after="40" w:before="0" w:line="259" w:lineRule="auto"/>
            </w:pPr>
            <w:r>
              <w:rPr>
                <w:rFonts w:ascii="Calibri" w:hAnsi="Calibri"/>
                <w:b w:val="0"/>
                <w:i w:val="0"/>
                <w:color w:val="212121"/>
                <w:sz w:val="16"/>
              </w:rPr>
              <w:t>Cranial nerve survey</w:t>
            </w:r>
          </w:p>
        </w:tc>
        <w:tc>
          <w:tcPr>
            <w:tcW w:type="dxa" w:w="979"/>
            <w:vAlign w:val="top"/>
          </w:tcPr>
          <w:p>
            <w:pPr>
              <w:spacing w:after="40" w:before="0" w:line="259" w:lineRule="auto"/>
            </w:pPr>
            <w:r>
              <w:rPr>
                <w:rFonts w:ascii="Calibri" w:hAnsi="Calibri"/>
                <w:b w:val="0"/>
                <w:i w:val="0"/>
                <w:color w:val="212121"/>
                <w:sz w:val="16"/>
              </w:rPr>
              <w:t>CN V, VIII, IX, X function</w:t>
            </w:r>
          </w:p>
        </w:tc>
        <w:tc>
          <w:tcPr>
            <w:tcW w:type="dxa" w:w="950"/>
            <w:vAlign w:val="top"/>
          </w:tcPr>
          <w:p>
            <w:pPr>
              <w:spacing w:after="40" w:before="0" w:line="259" w:lineRule="auto"/>
            </w:pPr>
            <w:r>
              <w:rPr>
                <w:rFonts w:ascii="Calibri" w:hAnsi="Calibri"/>
                <w:b w:val="0"/>
                <w:i w:val="0"/>
                <w:color w:val="212121"/>
                <w:sz w:val="16"/>
              </w:rPr>
              <w:t>Intact</w:t>
            </w:r>
          </w:p>
        </w:tc>
        <w:tc>
          <w:tcPr>
            <w:tcW w:type="dxa" w:w="950"/>
            <w:vAlign w:val="top"/>
          </w:tcPr>
          <w:p>
            <w:pPr>
              <w:spacing w:after="40" w:before="0" w:line="259" w:lineRule="auto"/>
            </w:pPr>
            <w:r>
              <w:rPr>
                <w:rFonts w:ascii="Calibri" w:hAnsi="Calibri"/>
                <w:b w:val="0"/>
                <w:i w:val="0"/>
                <w:color w:val="212121"/>
                <w:sz w:val="16"/>
              </w:rPr>
              <w:t>Additional cranial neuropathies</w:t>
            </w:r>
          </w:p>
        </w:tc>
        <w:tc>
          <w:tcPr>
            <w:tcW w:type="dxa" w:w="1036"/>
            <w:vAlign w:val="top"/>
          </w:tcPr>
          <w:p>
            <w:pPr>
              <w:spacing w:after="40" w:before="0" w:line="259" w:lineRule="auto"/>
            </w:pPr>
            <w:r>
              <w:rPr>
                <w:rFonts w:ascii="Calibri" w:hAnsi="Calibri"/>
                <w:b w:val="0"/>
                <w:i w:val="0"/>
                <w:color w:val="212121"/>
                <w:sz w:val="16"/>
              </w:rPr>
              <w:t>Detects polyneuritis cranialis / extensive disease</w:t>
            </w:r>
          </w:p>
        </w:tc>
        <w:tc>
          <w:tcPr>
            <w:tcW w:type="dxa" w:w="1036"/>
            <w:vAlign w:val="top"/>
          </w:tcPr>
          <w:p>
            <w:pPr>
              <w:spacing w:after="40" w:before="0" w:line="259" w:lineRule="auto"/>
            </w:pPr>
            <w:r>
              <w:rPr>
                <w:rFonts w:ascii="Calibri" w:hAnsi="Calibri"/>
                <w:b w:val="0"/>
                <w:i w:val="0"/>
                <w:color w:val="212121"/>
                <w:sz w:val="16"/>
              </w:rPr>
              <w:t>Severe or immunocompromised RHS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Multiple CN involvement worsens prognosis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Vestibular</w:t>
            </w:r>
          </w:p>
        </w:tc>
        <w:tc>
          <w:tcPr>
            <w:tcW w:type="dxa" w:w="950"/>
            <w:vAlign w:val="top"/>
          </w:tcPr>
          <w:p>
            <w:pPr>
              <w:spacing w:after="40" w:before="0" w:line="259" w:lineRule="auto"/>
            </w:pPr>
            <w:r>
              <w:rPr>
                <w:rFonts w:ascii="Calibri" w:hAnsi="Calibri"/>
                <w:b w:val="0"/>
                <w:i w:val="0"/>
                <w:color w:val="212121"/>
                <w:sz w:val="16"/>
              </w:rPr>
              <w:t>Balance assessment</w:t>
            </w:r>
          </w:p>
        </w:tc>
        <w:tc>
          <w:tcPr>
            <w:tcW w:type="dxa" w:w="979"/>
            <w:vAlign w:val="top"/>
          </w:tcPr>
          <w:p>
            <w:pPr>
              <w:spacing w:after="40" w:before="0" w:line="259" w:lineRule="auto"/>
            </w:pPr>
            <w:r>
              <w:rPr>
                <w:rFonts w:ascii="Calibri" w:hAnsi="Calibri"/>
                <w:b w:val="0"/>
                <w:i w:val="0"/>
                <w:color w:val="212121"/>
                <w:sz w:val="16"/>
              </w:rPr>
              <w:t>Nystagmus, head-impulse, Romberg</w:t>
            </w:r>
          </w:p>
        </w:tc>
        <w:tc>
          <w:tcPr>
            <w:tcW w:type="dxa" w:w="950"/>
            <w:vAlign w:val="top"/>
          </w:tcPr>
          <w:p>
            <w:pPr>
              <w:spacing w:after="40" w:before="0" w:line="259" w:lineRule="auto"/>
            </w:pPr>
            <w:r>
              <w:rPr>
                <w:rFonts w:ascii="Calibri" w:hAnsi="Calibri"/>
                <w:b w:val="0"/>
                <w:i w:val="0"/>
                <w:color w:val="212121"/>
                <w:sz w:val="16"/>
              </w:rPr>
              <w:t>No nystagmus, negative</w:t>
            </w:r>
          </w:p>
        </w:tc>
        <w:tc>
          <w:tcPr>
            <w:tcW w:type="dxa" w:w="950"/>
            <w:vAlign w:val="top"/>
          </w:tcPr>
          <w:p>
            <w:pPr>
              <w:spacing w:after="40" w:before="0" w:line="259" w:lineRule="auto"/>
            </w:pPr>
            <w:r>
              <w:rPr>
                <w:rFonts w:ascii="Calibri" w:hAnsi="Calibri"/>
                <w:b w:val="0"/>
                <w:i w:val="0"/>
                <w:color w:val="212121"/>
                <w:sz w:val="16"/>
              </w:rPr>
              <w:t>Nystagmus / positive head-impulse / unsteadiness</w:t>
            </w:r>
          </w:p>
        </w:tc>
        <w:tc>
          <w:tcPr>
            <w:tcW w:type="dxa" w:w="1036"/>
            <w:vAlign w:val="top"/>
          </w:tcPr>
          <w:p>
            <w:pPr>
              <w:spacing w:after="40" w:before="0" w:line="259" w:lineRule="auto"/>
            </w:pPr>
            <w:r>
              <w:rPr>
                <w:rFonts w:ascii="Calibri" w:hAnsi="Calibri"/>
                <w:b w:val="0"/>
                <w:i w:val="0"/>
                <w:color w:val="212121"/>
                <w:sz w:val="16"/>
              </w:rPr>
              <w:t>Quantifies vestibular (CN VIII) involvement</w:t>
            </w:r>
          </w:p>
        </w:tc>
        <w:tc>
          <w:tcPr>
            <w:tcW w:type="dxa" w:w="1036"/>
            <w:vAlign w:val="top"/>
          </w:tcPr>
          <w:p>
            <w:pPr>
              <w:spacing w:after="40" w:before="0" w:line="259" w:lineRule="auto"/>
            </w:pPr>
            <w:r>
              <w:rPr>
                <w:rFonts w:ascii="Calibri" w:hAnsi="Calibri"/>
                <w:b w:val="0"/>
                <w:i w:val="0"/>
                <w:color w:val="212121"/>
                <w:sz w:val="16"/>
              </w:rPr>
              <w:t>RHS with vertigo</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Vertigo/imbalance reported in roughly half of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950"/>
            <w:vAlign w:val="top"/>
          </w:tcPr>
          <w:p>
            <w:pPr>
              <w:spacing w:after="40" w:before="0" w:line="259" w:lineRule="auto"/>
            </w:pPr>
            <w:r>
              <w:rPr>
                <w:rFonts w:ascii="Calibri" w:hAnsi="Calibri"/>
                <w:b w:val="0"/>
                <w:i w:val="0"/>
                <w:color w:val="212121"/>
                <w:sz w:val="16"/>
              </w:rPr>
              <w:t>Eye protection assessment</w:t>
            </w:r>
          </w:p>
        </w:tc>
        <w:tc>
          <w:tcPr>
            <w:tcW w:type="dxa" w:w="979"/>
            <w:vAlign w:val="top"/>
          </w:tcPr>
          <w:p>
            <w:pPr>
              <w:spacing w:after="40" w:before="0" w:line="259" w:lineRule="auto"/>
            </w:pPr>
            <w:r>
              <w:rPr>
                <w:rFonts w:ascii="Calibri" w:hAnsi="Calibri"/>
                <w:b w:val="0"/>
                <w:i w:val="0"/>
                <w:color w:val="212121"/>
                <w:sz w:val="16"/>
              </w:rPr>
              <w:t>Lagophthalmos, Bell's phenomenon, cornea</w:t>
            </w:r>
          </w:p>
        </w:tc>
        <w:tc>
          <w:tcPr>
            <w:tcW w:type="dxa" w:w="950"/>
            <w:vAlign w:val="top"/>
          </w:tcPr>
          <w:p>
            <w:pPr>
              <w:spacing w:after="40" w:before="0" w:line="259" w:lineRule="auto"/>
            </w:pPr>
            <w:r>
              <w:rPr>
                <w:rFonts w:ascii="Calibri" w:hAnsi="Calibri"/>
                <w:b w:val="0"/>
                <w:i w:val="0"/>
                <w:color w:val="212121"/>
                <w:sz w:val="16"/>
              </w:rPr>
              <w:t>Complete closure, clear cornea</w:t>
            </w:r>
          </w:p>
        </w:tc>
        <w:tc>
          <w:tcPr>
            <w:tcW w:type="dxa" w:w="950"/>
            <w:vAlign w:val="top"/>
          </w:tcPr>
          <w:p>
            <w:pPr>
              <w:spacing w:after="40" w:before="0" w:line="259" w:lineRule="auto"/>
            </w:pPr>
            <w:r>
              <w:rPr>
                <w:rFonts w:ascii="Calibri" w:hAnsi="Calibri"/>
                <w:b w:val="0"/>
                <w:i w:val="0"/>
                <w:color w:val="212121"/>
                <w:sz w:val="16"/>
              </w:rPr>
              <w:t>Incomplete closure, corneal staining</w:t>
            </w:r>
          </w:p>
        </w:tc>
        <w:tc>
          <w:tcPr>
            <w:tcW w:type="dxa" w:w="1036"/>
            <w:vAlign w:val="top"/>
          </w:tcPr>
          <w:p>
            <w:pPr>
              <w:spacing w:after="40" w:before="0" w:line="259" w:lineRule="auto"/>
            </w:pPr>
            <w:r>
              <w:rPr>
                <w:rFonts w:ascii="Calibri" w:hAnsi="Calibri"/>
                <w:b w:val="0"/>
                <w:i w:val="0"/>
                <w:color w:val="212121"/>
                <w:sz w:val="16"/>
              </w:rPr>
              <w:t>Identifies exposure keratopathy risk from orbicularis weakness</w:t>
            </w:r>
          </w:p>
        </w:tc>
        <w:tc>
          <w:tcPr>
            <w:tcW w:type="dxa" w:w="1036"/>
            <w:vAlign w:val="top"/>
          </w:tcPr>
          <w:p>
            <w:pPr>
              <w:spacing w:after="40" w:before="0" w:line="259" w:lineRule="auto"/>
            </w:pPr>
            <w:r>
              <w:rPr>
                <w:rFonts w:ascii="Calibri" w:hAnsi="Calibri"/>
                <w:b w:val="0"/>
                <w:i w:val="0"/>
                <w:color w:val="212121"/>
                <w:sz w:val="16"/>
              </w:rPr>
              <w:t>RHS with incomplete eye closure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Drives lubricant/taping to prevent corneal ulceration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Otalgia (severe ear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Deep, sharp or burning auricular pain, frequently the first symptom (initial complaint in ~55%).</w:t>
            </w:r>
          </w:p>
        </w:tc>
      </w:tr>
      <w:tr>
        <w:trPr>
          <w:cantSplit/>
        </w:trPr>
        <w:tc>
          <w:tcPr>
            <w:tcW w:type="dxa" w:w="2304"/>
            <w:vAlign w:val="top"/>
          </w:tcPr>
          <w:p>
            <w:pPr>
              <w:spacing w:after="40" w:before="0" w:line="259" w:lineRule="auto"/>
            </w:pPr>
            <w:r>
              <w:rPr>
                <w:rFonts w:ascii="Calibri" w:hAnsi="Calibri"/>
                <w:b/>
                <w:i w:val="0"/>
                <w:color w:val="212121"/>
                <w:sz w:val="19"/>
              </w:rPr>
              <w:t>Unilateral facial weakness / paralysis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Peripheral (LMN) droop involving the forehead — loss of smile, eye closure and brow movement.</w:t>
            </w:r>
          </w:p>
        </w:tc>
      </w:tr>
      <w:tr>
        <w:trPr>
          <w:cantSplit/>
        </w:trPr>
        <w:tc>
          <w:tcPr>
            <w:tcW w:type="dxa" w:w="2304"/>
            <w:vAlign w:val="top"/>
          </w:tcPr>
          <w:p>
            <w:pPr>
              <w:spacing w:after="40" w:before="0" w:line="259" w:lineRule="auto"/>
            </w:pPr>
            <w:r>
              <w:rPr>
                <w:rFonts w:ascii="Calibri" w:hAnsi="Calibri"/>
                <w:b/>
                <w:i w:val="0"/>
                <w:color w:val="212121"/>
                <w:sz w:val="19"/>
              </w:rPr>
              <w:t>Vesicular rash on ear or mouth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Painful herpetic blisters on the auricle, ear canal, palate or tongue; may appear after weakness in ~14%.</w:t>
            </w:r>
          </w:p>
        </w:tc>
      </w:tr>
      <w:tr>
        <w:trPr>
          <w:cantSplit/>
        </w:trPr>
        <w:tc>
          <w:tcPr>
            <w:tcW w:type="dxa" w:w="2304"/>
            <w:vAlign w:val="top"/>
          </w:tcPr>
          <w:p>
            <w:pPr>
              <w:spacing w:after="40" w:before="0" w:line="259" w:lineRule="auto"/>
            </w:pPr>
            <w:r>
              <w:rPr>
                <w:rFonts w:ascii="Calibri" w:hAnsi="Calibri"/>
                <w:b/>
                <w:i w:val="0"/>
                <w:color w:val="212121"/>
                <w:sz w:val="19"/>
              </w:rPr>
              <w:t>Vertigo / imbalance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Spinning or unsteadiness from CN VIII vestibular involvement; reported in roughly half of patients.</w:t>
            </w:r>
          </w:p>
        </w:tc>
      </w:tr>
      <w:tr>
        <w:trPr>
          <w:cantSplit/>
        </w:trPr>
        <w:tc>
          <w:tcPr>
            <w:tcW w:type="dxa" w:w="2304"/>
            <w:vAlign w:val="top"/>
          </w:tcPr>
          <w:p>
            <w:pPr>
              <w:spacing w:after="40" w:before="0" w:line="259" w:lineRule="auto"/>
            </w:pPr>
            <w:r>
              <w:rPr>
                <w:rFonts w:ascii="Calibri" w:hAnsi="Calibri"/>
                <w:b/>
                <w:i w:val="0"/>
                <w:color w:val="212121"/>
                <w:sz w:val="19"/>
              </w:rPr>
              <w:t>Hearing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Ipsilateral sensorineural hearing loss reported in about 43-50% of patients; may be permanent.</w:t>
            </w:r>
          </w:p>
        </w:tc>
      </w:tr>
      <w:tr>
        <w:trPr>
          <w:cantSplit/>
        </w:trPr>
        <w:tc>
          <w:tcPr>
            <w:tcW w:type="dxa" w:w="2304"/>
            <w:vAlign w:val="top"/>
          </w:tcPr>
          <w:p>
            <w:pPr>
              <w:spacing w:after="40" w:before="0" w:line="259" w:lineRule="auto"/>
            </w:pPr>
            <w:r>
              <w:rPr>
                <w:rFonts w:ascii="Calibri" w:hAnsi="Calibri"/>
                <w:b/>
                <w:i w:val="0"/>
                <w:color w:val="212121"/>
                <w:sz w:val="19"/>
              </w:rPr>
              <w:t>Tinnitus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Ringing or buzzing in the affected ear from cochlear nerve irritation (~20%).</w:t>
            </w:r>
          </w:p>
        </w:tc>
      </w:tr>
      <w:tr>
        <w:trPr>
          <w:cantSplit/>
        </w:trPr>
        <w:tc>
          <w:tcPr>
            <w:tcW w:type="dxa" w:w="2304"/>
            <w:vAlign w:val="top"/>
          </w:tcPr>
          <w:p>
            <w:pPr>
              <w:spacing w:after="40" w:before="0" w:line="259" w:lineRule="auto"/>
            </w:pPr>
            <w:r>
              <w:rPr>
                <w:rFonts w:ascii="Calibri" w:hAnsi="Calibri"/>
                <w:b/>
                <w:i w:val="0"/>
                <w:color w:val="212121"/>
                <w:sz w:val="19"/>
              </w:rPr>
              <w:t>Hyperacusis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Sounds perceived as abnormally loud due to stapedius muscle weakness.</w:t>
            </w:r>
          </w:p>
        </w:tc>
      </w:tr>
      <w:tr>
        <w:trPr>
          <w:cantSplit/>
        </w:trPr>
        <w:tc>
          <w:tcPr>
            <w:tcW w:type="dxa" w:w="2304"/>
            <w:vAlign w:val="top"/>
          </w:tcPr>
          <w:p>
            <w:pPr>
              <w:spacing w:after="40" w:before="0" w:line="259" w:lineRule="auto"/>
            </w:pPr>
            <w:r>
              <w:rPr>
                <w:rFonts w:ascii="Calibri" w:hAnsi="Calibri"/>
                <w:b/>
                <w:i w:val="0"/>
                <w:color w:val="212121"/>
                <w:sz w:val="19"/>
              </w:rPr>
              <w:t>Inability to close the eye / dry eye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Orbicularis oculi weakness causes lagophthalmos, tearing failure and corneal exposure.</w:t>
            </w:r>
          </w:p>
        </w:tc>
      </w:tr>
      <w:tr>
        <w:trPr>
          <w:cantSplit/>
        </w:trPr>
        <w:tc>
          <w:tcPr>
            <w:tcW w:type="dxa" w:w="2304"/>
            <w:vAlign w:val="top"/>
          </w:tcPr>
          <w:p>
            <w:pPr>
              <w:spacing w:after="40" w:before="0" w:line="259" w:lineRule="auto"/>
            </w:pPr>
            <w:r>
              <w:rPr>
                <w:rFonts w:ascii="Calibri" w:hAnsi="Calibri"/>
                <w:b/>
                <w:i w:val="0"/>
                <w:color w:val="212121"/>
                <w:sz w:val="19"/>
              </w:rPr>
              <w:t>Altered taste (dysgeusia)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Loss or distortion of taste over the anterior two-thirds of the tongue via chorda tympani.</w:t>
            </w:r>
          </w:p>
        </w:tc>
      </w:tr>
      <w:tr>
        <w:trPr>
          <w:cantSplit/>
        </w:trPr>
        <w:tc>
          <w:tcPr>
            <w:tcW w:type="dxa" w:w="2304"/>
            <w:vAlign w:val="top"/>
          </w:tcPr>
          <w:p>
            <w:pPr>
              <w:spacing w:after="40" w:before="0" w:line="259" w:lineRule="auto"/>
            </w:pPr>
            <w:r>
              <w:rPr>
                <w:rFonts w:ascii="Calibri" w:hAnsi="Calibri"/>
                <w:b/>
                <w:i w:val="0"/>
                <w:color w:val="212121"/>
                <w:sz w:val="19"/>
              </w:rPr>
              <w:t>Facial numbness / tingling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Paraesthesia in the distribution of adjacent sensory fibres; may indicate more extensive disease.</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Accompany acute vertigo from vestibular involvement.</w:t>
            </w:r>
          </w:p>
        </w:tc>
      </w:tr>
      <w:tr>
        <w:trPr>
          <w:cantSplit/>
        </w:trPr>
        <w:tc>
          <w:tcPr>
            <w:tcW w:type="dxa" w:w="2304"/>
            <w:vAlign w:val="top"/>
          </w:tcPr>
          <w:p>
            <w:pPr>
              <w:spacing w:after="40" w:before="0" w:line="259" w:lineRule="auto"/>
            </w:pPr>
            <w:r>
              <w:rPr>
                <w:rFonts w:ascii="Calibri" w:hAnsi="Calibri"/>
                <w:b/>
                <w:i w:val="0"/>
                <w:color w:val="212121"/>
                <w:sz w:val="19"/>
              </w:rPr>
              <w:t>Headache / neck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Regional pain that may signal wider nerve or, rarely, CNS involvement.</w:t>
            </w:r>
          </w:p>
        </w:tc>
      </w:tr>
      <w:tr>
        <w:trPr>
          <w:cantSplit/>
        </w:trPr>
        <w:tc>
          <w:tcPr>
            <w:tcW w:type="dxa" w:w="2304"/>
            <w:vAlign w:val="top"/>
          </w:tcPr>
          <w:p>
            <w:pPr>
              <w:spacing w:after="40" w:before="0" w:line="259" w:lineRule="auto"/>
            </w:pPr>
            <w:r>
              <w:rPr>
                <w:rFonts w:ascii="Calibri" w:hAnsi="Calibri"/>
                <w:b/>
                <w:i w:val="0"/>
                <w:color w:val="212121"/>
                <w:sz w:val="19"/>
              </w:rPr>
              <w:t>Hoarseness / dysphagia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lower cranial nerve (IX/X) involvement in polyneuritis cranialis.</w:t>
            </w:r>
          </w:p>
        </w:tc>
      </w:tr>
      <w:tr>
        <w:trPr>
          <w:cantSplit/>
        </w:trPr>
        <w:tc>
          <w:tcPr>
            <w:tcW w:type="dxa" w:w="2304"/>
            <w:vAlign w:val="top"/>
          </w:tcPr>
          <w:p>
            <w:pPr>
              <w:spacing w:after="40" w:before="0" w:line="259" w:lineRule="auto"/>
            </w:pPr>
            <w:r>
              <w:rPr>
                <w:rFonts w:ascii="Calibri" w:hAnsi="Calibri"/>
                <w:b/>
                <w:i w:val="0"/>
                <w:color w:val="212121"/>
                <w:sz w:val="19"/>
              </w:rPr>
              <w:t>Persistent burning pain (postherpetic neuralgia)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Neuropathic pain persisting after rash resolution, commoner over age 50.</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Herpetic vesicles on auricle / ear canal / tympanic membrane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Hallmark zoster oticus rash defining the syndrome.</w:t>
            </w:r>
          </w:p>
        </w:tc>
      </w:tr>
      <w:tr>
        <w:trPr>
          <w:cantSplit/>
        </w:trPr>
        <w:tc>
          <w:tcPr>
            <w:tcW w:type="dxa" w:w="3456"/>
            <w:vAlign w:val="top"/>
          </w:tcPr>
          <w:p>
            <w:pPr>
              <w:spacing w:after="40" w:before="0" w:line="259" w:lineRule="auto"/>
            </w:pPr>
            <w:r>
              <w:rPr>
                <w:rFonts w:ascii="Calibri" w:hAnsi="Calibri"/>
                <w:b/>
                <w:i w:val="0"/>
                <w:color w:val="212121"/>
                <w:sz w:val="19"/>
              </w:rPr>
              <w:t>Lower-motor-neuron facial palsy (forehead involved)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Unilateral weakness of all facial muscles including the forehead — peripheral pattern.</w:t>
            </w:r>
          </w:p>
        </w:tc>
      </w:tr>
      <w:tr>
        <w:trPr>
          <w:cantSplit/>
        </w:trPr>
        <w:tc>
          <w:tcPr>
            <w:tcW w:type="dxa" w:w="3456"/>
            <w:vAlign w:val="top"/>
          </w:tcPr>
          <w:p>
            <w:pPr>
              <w:spacing w:after="40" w:before="0" w:line="259" w:lineRule="auto"/>
            </w:pPr>
            <w:r>
              <w:rPr>
                <w:rFonts w:ascii="Calibri" w:hAnsi="Calibri"/>
                <w:b/>
                <w:i w:val="0"/>
                <w:color w:val="212121"/>
                <w:sz w:val="19"/>
              </w:rPr>
              <w:t>Lagophthalmos with Bell's phenomenon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Incomplete eye closure with upward eye roll; risks exposure keratopathy.</w:t>
            </w:r>
          </w:p>
        </w:tc>
      </w:tr>
      <w:tr>
        <w:trPr>
          <w:cantSplit/>
        </w:trPr>
        <w:tc>
          <w:tcPr>
            <w:tcW w:type="dxa" w:w="3456"/>
            <w:vAlign w:val="top"/>
          </w:tcPr>
          <w:p>
            <w:pPr>
              <w:spacing w:after="40" w:before="0" w:line="259" w:lineRule="auto"/>
            </w:pPr>
            <w:r>
              <w:rPr>
                <w:rFonts w:ascii="Calibri" w:hAnsi="Calibri"/>
                <w:b/>
                <w:i w:val="0"/>
                <w:color w:val="212121"/>
                <w:sz w:val="19"/>
              </w:rPr>
              <w:t>Flattened nasolabial fold, drooping mouth corner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hemifacial asymmetry with drooling and food pocketing.</w:t>
            </w:r>
          </w:p>
        </w:tc>
      </w:tr>
      <w:tr>
        <w:trPr>
          <w:cantSplit/>
        </w:trPr>
        <w:tc>
          <w:tcPr>
            <w:tcW w:type="dxa" w:w="3456"/>
            <w:vAlign w:val="top"/>
          </w:tcPr>
          <w:p>
            <w:pPr>
              <w:spacing w:after="40" w:before="0" w:line="259" w:lineRule="auto"/>
            </w:pPr>
            <w:r>
              <w:rPr>
                <w:rFonts w:ascii="Calibri" w:hAnsi="Calibri"/>
                <w:b/>
                <w:i w:val="0"/>
                <w:color w:val="212121"/>
                <w:sz w:val="19"/>
              </w:rPr>
              <w:t>Oral mucosal vesicles / ulcers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Lesions on soft palate or anterior tongue on the affected side.</w:t>
            </w:r>
          </w:p>
        </w:tc>
      </w:tr>
      <w:tr>
        <w:trPr>
          <w:cantSplit/>
        </w:trPr>
        <w:tc>
          <w:tcPr>
            <w:tcW w:type="dxa" w:w="3456"/>
            <w:vAlign w:val="top"/>
          </w:tcPr>
          <w:p>
            <w:pPr>
              <w:spacing w:after="40" w:before="0" w:line="259" w:lineRule="auto"/>
            </w:pPr>
            <w:r>
              <w:rPr>
                <w:rFonts w:ascii="Calibri" w:hAnsi="Calibri"/>
                <w:b/>
                <w:i w:val="0"/>
                <w:color w:val="212121"/>
                <w:sz w:val="19"/>
              </w:rPr>
              <w:t>Sensorineural hearing loss on audiometry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ipsilateral SNHL confirming CN VIII involvement.</w:t>
            </w:r>
          </w:p>
        </w:tc>
      </w:tr>
      <w:tr>
        <w:trPr>
          <w:cantSplit/>
        </w:trPr>
        <w:tc>
          <w:tcPr>
            <w:tcW w:type="dxa" w:w="3456"/>
            <w:vAlign w:val="top"/>
          </w:tcPr>
          <w:p>
            <w:pPr>
              <w:spacing w:after="40" w:before="0" w:line="259" w:lineRule="auto"/>
            </w:pPr>
            <w:r>
              <w:rPr>
                <w:rFonts w:ascii="Calibri" w:hAnsi="Calibri"/>
                <w:b/>
                <w:i w:val="0"/>
                <w:color w:val="212121"/>
                <w:sz w:val="19"/>
              </w:rPr>
              <w:t>Spontaneous nystagmus / abnormal head-impulse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vestibular neuritis accompanying the facial palsy.</w:t>
            </w:r>
          </w:p>
        </w:tc>
      </w:tr>
      <w:tr>
        <w:trPr>
          <w:cantSplit/>
        </w:trPr>
        <w:tc>
          <w:tcPr>
            <w:tcW w:type="dxa" w:w="3456"/>
            <w:vAlign w:val="top"/>
          </w:tcPr>
          <w:p>
            <w:pPr>
              <w:spacing w:after="40" w:before="0" w:line="259" w:lineRule="auto"/>
            </w:pPr>
            <w:r>
              <w:rPr>
                <w:rFonts w:ascii="Calibri" w:hAnsi="Calibri"/>
                <w:b/>
                <w:i w:val="0"/>
                <w:color w:val="212121"/>
                <w:sz w:val="19"/>
              </w:rPr>
              <w:t>Reduced taste on anterior two-thirds of tongue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Chorda tympani dysfunction demonstrable on taste testing.</w:t>
            </w:r>
          </w:p>
        </w:tc>
      </w:tr>
      <w:tr>
        <w:trPr>
          <w:cantSplit/>
        </w:trPr>
        <w:tc>
          <w:tcPr>
            <w:tcW w:type="dxa" w:w="3456"/>
            <w:vAlign w:val="top"/>
          </w:tcPr>
          <w:p>
            <w:pPr>
              <w:spacing w:after="40" w:before="0" w:line="259" w:lineRule="auto"/>
            </w:pPr>
            <w:r>
              <w:rPr>
                <w:rFonts w:ascii="Calibri" w:hAnsi="Calibri"/>
                <w:b/>
                <w:i w:val="0"/>
                <w:color w:val="212121"/>
                <w:sz w:val="19"/>
              </w:rPr>
              <w:t>Facial synkinesis (late)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Aberrant reinnervation months later; occurs in ~40% of RHS versus ~16% of Bell's palsy.</w:t>
            </w:r>
          </w:p>
        </w:tc>
      </w:tr>
      <w:tr>
        <w:trPr>
          <w:cantSplit/>
        </w:trPr>
        <w:tc>
          <w:tcPr>
            <w:tcW w:type="dxa" w:w="3456"/>
            <w:vAlign w:val="top"/>
          </w:tcPr>
          <w:p>
            <w:pPr>
              <w:spacing w:after="40" w:before="0" w:line="259" w:lineRule="auto"/>
            </w:pPr>
            <w:r>
              <w:rPr>
                <w:rFonts w:ascii="Calibri" w:hAnsi="Calibri"/>
                <w:b/>
                <w:i w:val="0"/>
                <w:color w:val="212121"/>
                <w:sz w:val="19"/>
              </w:rPr>
              <w:t>Corneal abrasion / exposure keratitis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From incomplete closure and reduced tearing; threatens vision if untreated.</w:t>
            </w:r>
          </w:p>
        </w:tc>
      </w:tr>
      <w:tr>
        <w:trPr>
          <w:cantSplit/>
        </w:trPr>
        <w:tc>
          <w:tcPr>
            <w:tcW w:type="dxa" w:w="3456"/>
            <w:vAlign w:val="top"/>
          </w:tcPr>
          <w:p>
            <w:pPr>
              <w:spacing w:after="40" w:before="0" w:line="259" w:lineRule="auto"/>
            </w:pPr>
            <w:r>
              <w:rPr>
                <w:rFonts w:ascii="Calibri" w:hAnsi="Calibri"/>
                <w:b/>
                <w:i w:val="0"/>
                <w:color w:val="212121"/>
                <w:sz w:val="19"/>
              </w:rPr>
              <w:t>Multiple cranial nerve palsies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Polyneuritis cranialis (CN V, IX, X, XI, XII) in extensive or immunocompromised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Incomplete eye closure with exposure keratopathy / corneal abrasion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otalgia and acute neuritic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vestibular dysfunction (vertigo, imbalance, nausea)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Dysphagia or aspiration risk when lower cranial nerves are involved</w:t>
            </w:r>
          </w:p>
        </w:tc>
        <w:tc>
          <w:tcPr>
            <w:tcW w:type="dxa" w:w="2980"/>
            <w:vAlign w:val="top"/>
          </w:tcPr>
          <w:p>
            <w:pPr>
              <w:spacing w:after="40" w:before="0" w:line="259" w:lineRule="auto"/>
            </w:pPr>
            <w:r>
              <w:rPr>
                <w:rFonts w:ascii="Calibri" w:hAnsi="Calibri"/>
                <w:b w:val="0"/>
                <w:i w:val="0"/>
                <w:color w:val="212121"/>
                <w:sz w:val="19"/>
              </w:rPr>
              <w:t>Direct acute consequences of facial and cranial-nerve 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Sensorineural hearing loss (up to ~43-50%)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Postherpetic neuralgia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Facial synkinesis / aberrant reinnervation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of the vesicular rash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ulceration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CNS spread — meningitis, encephalitis, cerebellitis or VZV vasculopathy (rare)</w:t>
            </w:r>
          </w:p>
        </w:tc>
        <w:tc>
          <w:tcPr>
            <w:tcW w:type="dxa" w:w="2980"/>
            <w:vAlign w:val="top"/>
          </w:tcPr>
          <w:p>
            <w:pPr>
              <w:spacing w:after="40" w:before="0" w:line="259" w:lineRule="auto"/>
            </w:pPr>
            <w:r>
              <w:rPr>
                <w:rFonts w:ascii="Calibri" w:hAnsi="Calibri"/>
                <w:b w:val="0"/>
                <w:i w:val="0"/>
                <w:color w:val="212121"/>
                <w:sz w:val="19"/>
              </w:rPr>
              <w:t>Result from ongoing viral neuritis, nerve damage and immune/vascular effects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facial paralysis and facial disfigurement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deafness in the affected 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postherpetic neuralgia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Gustatory lacrimation ('crocodile tears' / Bogorad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scarring and vision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disability — depression, anxiety and social withdrawal</w:t>
            </w:r>
          </w:p>
        </w:tc>
        <w:tc>
          <w:tcPr>
            <w:tcW w:type="dxa" w:w="2980"/>
            <w:vAlign w:val="top"/>
          </w:tcPr>
          <w:p>
            <w:pPr>
              <w:spacing w:after="40" w:before="0" w:line="259" w:lineRule="auto"/>
            </w:pPr>
            <w:r>
              <w:rPr>
                <w:rFonts w:ascii="Calibri" w:hAnsi="Calibri"/>
                <w:b w:val="0"/>
                <w:i w:val="0"/>
                <w:color w:val="212121"/>
                <w:sz w:val="19"/>
              </w:rPr>
              <w:t>Irreversible, disabling outcomes of severe or inadequately treated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Impairs immune surveillance and microvascular perfusion; raises reactivation risk and predicts worse facial-nerve recovery.</w:t>
            </w:r>
          </w:p>
        </w:tc>
      </w:tr>
      <w:tr>
        <w:trPr>
          <w:cantSplit/>
        </w:trPr>
        <w:tc>
          <w:tcPr>
            <w:tcW w:type="dxa" w:w="2232"/>
            <w:vAlign w:val="top"/>
          </w:tcPr>
          <w:p>
            <w:pPr>
              <w:spacing w:after="40" w:before="0" w:line="259" w:lineRule="auto"/>
            </w:pPr>
            <w:r>
              <w:rPr>
                <w:rFonts w:ascii="Calibri" w:hAnsi="Calibri"/>
                <w:b/>
                <w:i w:val="0"/>
                <w:color w:val="212121"/>
                <w:sz w:val="19"/>
              </w:rPr>
              <w:t>HIV / AIDS and other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Sharply increases reactivation and severe, disseminated or multi-cranial disease; atypical RHS warrants HIV testing.</w:t>
            </w:r>
          </w:p>
        </w:tc>
      </w:tr>
      <w:tr>
        <w:trPr>
          <w:cantSplit/>
        </w:trPr>
        <w:tc>
          <w:tcPr>
            <w:tcW w:type="dxa" w:w="2232"/>
            <w:vAlign w:val="top"/>
          </w:tcPr>
          <w:p>
            <w:pPr>
              <w:spacing w:after="40" w:before="0" w:line="259" w:lineRule="auto"/>
            </w:pPr>
            <w:r>
              <w:rPr>
                <w:rFonts w:ascii="Calibri" w:hAnsi="Calibri"/>
                <w:b/>
                <w:i w:val="0"/>
                <w:color w:val="212121"/>
                <w:sz w:val="19"/>
              </w:rPr>
              <w:t>Malignancy (esp. lymphoproliferative) / chemotherapy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Cytotoxic therapy and haematological cancers suppress cell-mediated immunity, precipitating and worsening zoster reactivation.</w:t>
            </w:r>
          </w:p>
        </w:tc>
      </w:tr>
      <w:tr>
        <w:trPr>
          <w:cantSplit/>
        </w:trPr>
        <w:tc>
          <w:tcPr>
            <w:tcW w:type="dxa" w:w="2232"/>
            <w:vAlign w:val="top"/>
          </w:tcPr>
          <w:p>
            <w:pPr>
              <w:spacing w:after="40" w:before="0" w:line="259" w:lineRule="auto"/>
            </w:pPr>
            <w:r>
              <w:rPr>
                <w:rFonts w:ascii="Calibri" w:hAnsi="Calibri"/>
                <w:b/>
                <w:i w:val="0"/>
                <w:color w:val="212121"/>
                <w:sz w:val="19"/>
              </w:rPr>
              <w:t>Postherpetic neuralgia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Persistent neuropathic pain after the acute episode, more likely over age 50.</w:t>
            </w:r>
          </w:p>
          <w:p>
            <w:pPr>
              <w:spacing w:after="40" w:before="0" w:line="259" w:lineRule="auto"/>
            </w:pPr>
            <w:r>
              <w:rPr>
                <w:rFonts w:ascii="Calibri" w:hAnsi="Calibri"/>
                <w:b/>
                <w:i w:val="0"/>
                <w:color w:val="212121"/>
                <w:sz w:val="19"/>
              </w:rPr>
              <w:t>10-55% (zoster overall)</w:t>
            </w:r>
          </w:p>
        </w:tc>
      </w:tr>
      <w:tr>
        <w:trPr>
          <w:cantSplit/>
        </w:trPr>
        <w:tc>
          <w:tcPr>
            <w:tcW w:type="dxa" w:w="2232"/>
            <w:vAlign w:val="top"/>
          </w:tcPr>
          <w:p>
            <w:pPr>
              <w:spacing w:after="40" w:before="0" w:line="259" w:lineRule="auto"/>
            </w:pPr>
            <w:r>
              <w:rPr>
                <w:rFonts w:ascii="Calibri" w:hAnsi="Calibri"/>
                <w:b/>
                <w:i w:val="0"/>
                <w:color w:val="212121"/>
                <w:sz w:val="19"/>
              </w:rPr>
              <w:t>Sensorineural hearing loss / vestibulopathy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CN VIII involvement in the bony canal produces hearing loss, tinnitus and vertigo, sometimes permanent.</w:t>
            </w:r>
          </w:p>
          <w:p>
            <w:pPr>
              <w:spacing w:after="40" w:before="0" w:line="259" w:lineRule="auto"/>
            </w:pPr>
            <w:r>
              <w:rPr>
                <w:rFonts w:ascii="Calibri" w:hAnsi="Calibri"/>
                <w:b/>
                <w:i w:val="0"/>
                <w:color w:val="212121"/>
                <w:sz w:val="19"/>
              </w:rPr>
              <w:t>Up to ~43-50%</w:t>
            </w:r>
          </w:p>
        </w:tc>
      </w:tr>
      <w:tr>
        <w:trPr>
          <w:cantSplit/>
        </w:trPr>
        <w:tc>
          <w:tcPr>
            <w:tcW w:type="dxa" w:w="2232"/>
            <w:vAlign w:val="top"/>
          </w:tcPr>
          <w:p>
            <w:pPr>
              <w:spacing w:after="40" w:before="0" w:line="259" w:lineRule="auto"/>
            </w:pPr>
            <w:r>
              <w:rPr>
                <w:rFonts w:ascii="Calibri" w:hAnsi="Calibri"/>
                <w:b/>
                <w:i w:val="0"/>
                <w:color w:val="212121"/>
                <w:sz w:val="19"/>
              </w:rPr>
              <w:t>Herpes zoster ophthalmicus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Parallel VZV reactivation in the trigeminal (ophthalmic) division; shares mechanism and may coexist with cranial polyneuritis.</w:t>
            </w:r>
          </w:p>
        </w:tc>
      </w:tr>
      <w:tr>
        <w:trPr>
          <w:cantSplit/>
        </w:trPr>
        <w:tc>
          <w:tcPr>
            <w:tcW w:type="dxa" w:w="2232"/>
            <w:vAlign w:val="top"/>
          </w:tcPr>
          <w:p>
            <w:pPr>
              <w:spacing w:after="40" w:before="0" w:line="259" w:lineRule="auto"/>
            </w:pPr>
            <w:r>
              <w:rPr>
                <w:rFonts w:ascii="Calibri" w:hAnsi="Calibri"/>
                <w:b/>
                <w:i w:val="0"/>
                <w:color w:val="212121"/>
                <w:sz w:val="19"/>
              </w:rPr>
              <w:t>Exposure keratopathy / corneal ulcer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Results from orbicularis weakness and reduced tearing; a sight-threatening ocular consequence requiring lubrication and eye protection.</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Facial disfigurement, pain and disability drive mood disorders, while stress itself can precipitate reactivation — a bidirectional link.</w:t>
            </w:r>
          </w:p>
        </w:tc>
      </w:tr>
      <w:tr>
        <w:trPr>
          <w:cantSplit/>
        </w:trPr>
        <w:tc>
          <w:tcPr>
            <w:tcW w:type="dxa" w:w="2232"/>
            <w:vAlign w:val="top"/>
          </w:tcPr>
          <w:p>
            <w:pPr>
              <w:spacing w:after="40" w:before="0" w:line="259" w:lineRule="auto"/>
            </w:pPr>
            <w:r>
              <w:rPr>
                <w:rFonts w:ascii="Calibri" w:hAnsi="Calibri"/>
                <w:b/>
                <w:i w:val="0"/>
                <w:color w:val="212121"/>
                <w:sz w:val="19"/>
              </w:rPr>
              <w:t>VZV vasculopathy / stroke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Rare intracranial arterial involvement from VZV can cause ischaemic stroke, especially in the immunocompromised.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triad — one-sided facial droop, ear pain and an ear/mouth rash — and seek care urgently, ideally within 72 hours of onset.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recombinant zoster (shingles) vaccination for adults ≥ 50 years and immunocompromised adults, which is &gt;90% effective at preventing herpes zoster.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While vesicles are wet, avoid contact with people who have not had chickenpox, pregnant women and immunocompromised contacts, and practise strict hand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eye on the affected side (lubricating drops, night ointment, taping) to prevent corneal damage when the eye will not fully close.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chronic conditions such as diabetes and HIV well controlled to reduce reactivation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 50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Anyone with past chickenpox</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regular moderate-intensity activity (≥ 150 min/week) to support immune competence.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Balance exercise with adequate rest and recovery, avoiding extreme exhaustion that can transiently suppress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overall fitness and healthy weight to support vascular and immune health with ageing.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 immunocompromised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facial neuromuscular retraining and gentle mirror exercises once acute inflammation settles to improve symmetry and reduce synkinesis.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vestibular rehabilitation exercises for persistent vertigo or imbalance.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graded physiotherapy programme; avoid forceful, unsupervised electrical stimulation that may worsen synkinesis.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RHS patients in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residual palsy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vertigo</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with adequate protein and immune-supporting micronutrients (zinc, vitamins B12, C and 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glycaemic control if diabetic, since high blood sugar raises reactivation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undernutrition and deficiency states, which are common in older Indian adults and weaken cell-mediated immunity.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 to preserve T-cell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sleep disorders and limit habitual sleep deprivation, a recognised reactivation trigger.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sleep-wake routines to support immune and stress regulation.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sleep-deprived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improve cell-mediated immunity and nerve microcirculation.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for cessation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compromises immune defence.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reduce immunosuppression and the nutritional deficits that accompany heavy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and chronic heavy use, which impair immunity and may hinder nerve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alcohol-use disorder in recurrent or severe presentations.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stress-reduction techniques (mindfulness, breathing, yoga) since stress can precipitate VZV reactivation.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early support for anxiety or low mood, which raise physiological stress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social and family support, especially for older adults living alone.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Anxiety-prone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arising from facial disfigurement, pain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and peer/support-group referral for body-image and social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psychological support with pain management for postherpetic neuralgia.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RHS patients with residual palsy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postherpetic neuralgia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withdrawn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41824/" TargetMode="External"/><Relationship Id="rId10" Type="http://schemas.openxmlformats.org/officeDocument/2006/relationships/hyperlink" Target="https://pubmed.ncbi.nlm.nih.gov/34520327/" TargetMode="External"/><Relationship Id="rId11" Type="http://schemas.openxmlformats.org/officeDocument/2006/relationships/hyperlink" Target="https://www.mayoclinic.org/diseases-conditions/ramsay-hunt-syndrome/symptoms-causes/syc-20351783" TargetMode="External"/><Relationship Id="rId12" Type="http://schemas.openxmlformats.org/officeDocument/2006/relationships/hyperlink" Target="https://pubmed.ncbi.nlm.nih.gov/37293792/" TargetMode="External"/><Relationship Id="rId13" Type="http://schemas.openxmlformats.org/officeDocument/2006/relationships/hyperlink" Target="https://rarediseases.org/rare-diseases/ramsay-hunt-syndrome/" TargetMode="External"/><Relationship Id="rId14" Type="http://schemas.openxmlformats.org/officeDocument/2006/relationships/hyperlink" Target="https://pubmed.ncbi.nlm.nih.gov/9066356/" TargetMode="External"/><Relationship Id="rId15" Type="http://schemas.openxmlformats.org/officeDocument/2006/relationships/hyperlink" Target="https://www.ncbi.nlm.nih.gov/books/NBK5574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