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Allergic Rhinitis</w:t>
      </w:r>
    </w:p>
    <w:p>
      <w:pPr>
        <w:spacing w:before="0" w:after="160"/>
      </w:pPr>
      <w:r>
        <w:rPr>
          <w:rFonts w:ascii="Calibri" w:hAnsi="Calibri"/>
          <w:b/>
          <w:i w:val="0"/>
          <w:color w:val="212121"/>
          <w:sz w:val="22"/>
        </w:rPr>
        <w:t xml:space="preserve">AKA </w:t>
      </w:r>
      <w:r>
        <w:rPr>
          <w:rFonts w:ascii="Calibri" w:hAnsi="Calibri"/>
          <w:b w:val="0"/>
          <w:i w:val="0"/>
          <w:color w:val="212121"/>
          <w:sz w:val="22"/>
        </w:rPr>
        <w:t>i.e., Hay fever, Nasal allergy, Pollinosis (seasonal form), Allergic coryza, Atopic rhinitis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Allergic rhinitis is an IgE-mediated (type I hypersensitivity) inflammation of the nasal mucosa triggered by inhaled allergens in a sensitised person. It is defined clinically by two or more of sneezing, watery nasal discharge (rhinorrhoea), nasal itching and nasal blockage occurring for more than an hour on most days, usually with itchy, watery eyes. Because the nose and lungs share one continuous airway, allergic rhinitis and asthma are increasingly regarded as a single 'united airway disease', and rhinitis is a common first or accompanying step in the atopic (allergic) march.</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Allergic rhinitis is among the most common chronic disorders in India. Roughly 20-30% of Indians have at least one allergic disease, and allergic rhinitis accounts for about 55% of these. In the Global Asthma Network Phase I India study of 127,309 people, current rhinitis affected 7.7% of children aged 6-7 years, 23.5% of adolescents aged 13-14 years and 9.8% of adults, with allergic rhinoconjunctivitis in 8.4% of adolescents; adolescent prevalence has risen from about 18.6% (1998) to 23.6% (2009) across ISAAC surveys. Among 40,001 patients presenting to Indian clinics with nasal symptoms, 53.7% screened positive for allergic rhinitis. The condition is tightly linked to asthma (united airway disease) and is being worsened by rising urban air pollution.</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Allergic rhinitis is primarily a clinical diagnosis supported by tests that demonstrate allergen-specific sensitisation; the following are used together: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Typical history: two or more of sneezing, watery rhinorrhoea, nasal itch and nasal obstruction (often with itchy watery eyes) for &gt;1 hour on most days, with identifiable triggers (dust, pollen, pets, damp/mould) and a personal or family history of atopy.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Skin prick test (SPT): the primary confirmatory test; a wheal &gt;=3 mm larger than the negative control at 15-20 minutes indicates sensitisation to that aeroallergen (antihistamines must be stopped beforehand).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Serum allergen-specific IgE (e.g., ImmunoCAP): an acceptable alternative when SPT is not feasible (severe eczema, dermographism, or antihistamines that cannot be stopped); a value &gt;=0.35 kUA/L is generally considered positive.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Total serum IgE and absolute eosinophil count: often raised in atopy but are supportive only and neither confirms nor excludes the diagnosis.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Nasal smear cytology: predominance of eosinophils supports an allergic (rather than infective) aetiology.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Anterior rhinoscopy / nasal endoscopy: assesses the pale, boggy mucosa and clear secretions and excludes structural causes, polyps or infection; CT of the paranasal sinuses is reserved for suspected chronic rhinosinusitis or polyposis.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Allergic rhinitis is classified by the ARIA (Allergic Rhinitis and its Impact on Asthma) system by duration and severity, and by the older temporal/allergen pattern still widely used in practice:</w:t>
      </w:r>
    </w:p>
    <w:p>
      <w:pPr>
        <w:spacing w:before="0" w:after="80"/>
      </w:pPr>
      <w:r>
        <w:rPr>
          <w:rFonts w:ascii="Calibri" w:hAnsi="Calibri"/>
          <w:b w:val="0"/>
          <w:i w:val="0"/>
          <w:color w:val="212121"/>
          <w:sz w:val="21"/>
        </w:rPr>
        <w:t>(1) By ARIA duration: Intermittent allergic rhinitis, when symptoms are present less than 4 days per week OR for less than 4 consecutive weeks; and Persistent allergic rhinitis, when symptoms occur 4 or more days per week AND for 4 or more consecutive weeks.</w:t>
      </w:r>
    </w:p>
    <w:p>
      <w:pPr>
        <w:spacing w:before="0" w:after="80"/>
      </w:pPr>
      <w:r>
        <w:rPr>
          <w:rFonts w:ascii="Calibri" w:hAnsi="Calibri"/>
          <w:b w:val="0"/>
          <w:i w:val="0"/>
          <w:color w:val="212121"/>
          <w:sz w:val="21"/>
        </w:rPr>
        <w:t>(2) By ARIA severity: Mild disease, with normal sleep, no impairment of daily activities, sport, leisure, work or school and no troublesome symptoms; and Moderate-severe disease, when any one of these is affected (abnormal sleep, impaired daily activity/work/school, or troublesome symptoms).</w:t>
      </w:r>
    </w:p>
    <w:p>
      <w:pPr>
        <w:spacing w:before="0" w:after="80"/>
      </w:pPr>
      <w:r>
        <w:rPr>
          <w:rFonts w:ascii="Calibri" w:hAnsi="Calibri"/>
          <w:b w:val="0"/>
          <w:i w:val="0"/>
          <w:color w:val="212121"/>
          <w:sz w:val="21"/>
        </w:rPr>
        <w:t>(3) By traditional temporal/allergen pattern: Seasonal allergic rhinitis (hay fever), driven by outdoor pollens (in India commonly Parthenium/congress grass, Prosopis juliflora and grasses) and some mould spores that peak in defined seasons; and Perennial allergic rhinitis, present year-round from indoor allergens - house dust mites, animal dander, cockroach and indoor moulds.</w:t>
      </w:r>
    </w:p>
    <w:p>
      <w:pPr>
        <w:spacing w:before="0" w:after="80"/>
      </w:pPr>
      <w:r>
        <w:rPr>
          <w:rFonts w:ascii="Calibri" w:hAnsi="Calibri"/>
          <w:b w:val="0"/>
          <w:i w:val="0"/>
          <w:color w:val="212121"/>
          <w:sz w:val="21"/>
        </w:rPr>
        <w:t>(4) Occupational allergic rhinitis: caused by workplace sensitisers (flour, grain and animal proteins, wood and textile dusts, latex, enzymes), which frequently precedes occupational asthma. A subgroup have local allergic rhinitis ('entopy'), with typical symptoms and local nasal IgE despite negative SPT and serum IgE.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IgE-mediated hypersensitivity: Sensitisation produces allergen-specific IgE that coats nasal mast cells; on re-exposure, allergen cross-links IgE and releases histamine and leukotrienes, causing the early phase (sneezing, itch, rhinorrhoea) and a Th2-driven late phase 4-8 hours later (mainly congestion).</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Aeroallergen exposure: House dust mites (Dermatophagoides species) are the commonest trigger in India, followed by pollens (Parthenium/congress grass, Prosopis, grasses), fungal/mould spores (Alternaria, Aspergillus), animal dander and cockroach.</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Genetic predisposition (atopy): A strong family history of allergic rhinitis, asthma or eczema markedly raises risk; allergic rhinitis is frequently one step in the inherited atopic march.</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Air pollution and tobacco smoke: Traffic-related pollutants (PM2.5, PM10, NO2), biomass smoke and passive/active tobacco smoke augment allergic sensitisation and mucosal inflammation and impair mucociliary clearance.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Occupational sensitisers: Repeated inhalation of workplace proteins and dusts (bakery flour, grains, animal proteins, wood, textiles, latex, enzymes) induces sensitisation and occupational rhinitis.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Urban/'Westernised' living (hygiene hypothesis): Reduced early-life microbial exposure, indoor living, damp housing and dietary change are associated with the rising urban burden of allergic rhinitis.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Children and adolescents</w:t>
            </w:r>
          </w:p>
        </w:tc>
        <w:tc>
          <w:tcPr>
            <w:tcW w:type="dxa" w:w="4276"/>
            <w:vAlign w:val="top"/>
          </w:tcPr>
          <w:p>
            <w:pPr>
              <w:spacing w:after="60" w:line="259" w:lineRule="auto"/>
            </w:pPr>
            <w:r>
              <w:rPr>
                <w:rFonts w:ascii="Calibri" w:hAnsi="Calibri"/>
                <w:b w:val="0"/>
                <w:i w:val="0"/>
                <w:color w:val="212121"/>
                <w:sz w:val="19"/>
              </w:rPr>
              <w:t>Allergic rhinitis usually begins in childhood and peaks in adolescence as cumulative aeroallergen exposure and atopic predisposition express themselves; it is a leading cause of school absence and poor concentration.</w:t>
            </w:r>
          </w:p>
          <w:p>
            <w:pPr>
              <w:spacing w:after="40" w:before="60" w:line="259" w:lineRule="auto"/>
            </w:pPr>
            <w:r>
              <w:rPr>
                <w:rFonts w:ascii="Calibri" w:hAnsi="Calibri"/>
                <w:b w:val="0"/>
                <w:i w:val="0"/>
                <w:color w:val="212121"/>
                <w:sz w:val="19"/>
              </w:rPr>
              <w:t>In the Global Asthma Network Phase I India study (127,309 participants) current rhinitis affected 23.5% of adolescents aged 13-14 years (up from 18.6% in 1998), making adolescence the peak age of allergic rhinitis in India.</w:t>
            </w:r>
          </w:p>
          <w:p>
            <w:pPr>
              <w:spacing w:after="40" w:line="252" w:lineRule="auto"/>
            </w:pPr>
            <w:hyperlink r:id="rId9">
              <w:r>
                <w:rPr>
                  <w:rFonts w:ascii="Calibri" w:hAnsi="Calibri" w:cs="Calibri"/>
                  <w:sz w:val="18"/>
                  <w:color w:val="1155CC"/>
                  <w:u w:val="single"/>
                </w:rPr>
                <w:t xml:space="preserve">pubmed.ncbi.nlm.nih.gov/37780584 - Global Asthma Network India</w:t>
              </w:r>
            </w:hyperlink>
          </w:p>
          <w:p>
            <w:pPr>
              <w:spacing w:before="60" w:after="40"/>
            </w:pPr>
            <w:r>
              <w:rPr>
                <w:rFonts w:ascii="Calibri" w:hAnsi="Calibri"/>
                <w:b w:val="0"/>
                <w:i w:val="0"/>
                <w:color w:val="5A5A5A"/>
                <w:sz w:val="18"/>
              </w:rPr>
              <w:t>#allergicrhinitis  #adolescents  #ISAAC  #schoolabsence  #atopy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Allergic rhinitis commonly persists into adult working life, where perennial indoor allergens and urban pollution sustain symptoms and reduce work productivity and quality of life.</w:t>
            </w:r>
          </w:p>
          <w:p>
            <w:pPr>
              <w:spacing w:after="40" w:before="60" w:line="259" w:lineRule="auto"/>
            </w:pPr>
            <w:r>
              <w:rPr>
                <w:rFonts w:ascii="Calibri" w:hAnsi="Calibri"/>
                <w:b w:val="0"/>
                <w:i w:val="0"/>
                <w:color w:val="212121"/>
                <w:sz w:val="19"/>
              </w:rPr>
              <w:t>Among 40,001 Indian patients presenting with nasal symptoms across 19 states, 53.7% screened positive for allergic rhinitis on the SFAR questionnaire.</w:t>
            </w:r>
          </w:p>
          <w:p>
            <w:pPr>
              <w:spacing w:after="40" w:line="252" w:lineRule="auto"/>
            </w:pPr>
            <w:hyperlink r:id="rId10">
              <w:r>
                <w:rPr>
                  <w:rFonts w:ascii="Calibri" w:hAnsi="Calibri" w:cs="Calibri"/>
                  <w:sz w:val="18"/>
                  <w:color w:val="1155CC"/>
                  <w:u w:val="single"/>
                </w:rPr>
                <w:t xml:space="preserve">dovepress.com - Indian SFAR clinic prevalence study</w:t>
              </w:r>
            </w:hyperlink>
          </w:p>
          <w:p>
            <w:pPr>
              <w:spacing w:before="60" w:after="40"/>
            </w:pPr>
            <w:r>
              <w:rPr>
                <w:rFonts w:ascii="Calibri" w:hAnsi="Calibri"/>
                <w:b w:val="0"/>
                <w:i w:val="0"/>
                <w:color w:val="5A5A5A"/>
                <w:sz w:val="18"/>
              </w:rPr>
              <w:t>#adults  #perennial  #workproductivity  #SFAR  #qualityoflife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Allergic rhinitis can persist into older age but is under-recognised, frequently overlapping with non-allergic (vasomotor) and drug-induced rhinitis and with age-related mucosal drying, which complicates diagnosis and treatment.</w:t>
            </w:r>
          </w:p>
          <w:p>
            <w:pPr>
              <w:spacing w:after="40" w:before="60" w:line="259" w:lineRule="auto"/>
            </w:pPr>
            <w:r>
              <w:rPr>
                <w:rFonts w:ascii="Calibri" w:hAnsi="Calibri"/>
                <w:b w:val="0"/>
                <w:i w:val="0"/>
                <w:color w:val="212121"/>
                <w:sz w:val="19"/>
              </w:rPr>
              <w:t>Allergen sensitisation tends to wane with age, so late-onset nasal symptoms in the elderly are often non-allergic or mixed rather than purely allergic, warranting careful evaluation before immunotherapy.</w:t>
            </w:r>
          </w:p>
          <w:p>
            <w:pPr>
              <w:spacing w:before="60" w:after="40"/>
            </w:pPr>
            <w:r>
              <w:rPr>
                <w:rFonts w:ascii="Calibri" w:hAnsi="Calibri"/>
                <w:b w:val="0"/>
                <w:i w:val="0"/>
                <w:color w:val="5A5A5A"/>
                <w:sz w:val="18"/>
              </w:rPr>
              <w:t>#elderly  #vasomotorrhinitis  #mixedrhinitis  #underrecognised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Boys (childhood) / women (adulthood)</w:t>
            </w:r>
          </w:p>
        </w:tc>
        <w:tc>
          <w:tcPr>
            <w:tcW w:type="dxa" w:w="4276"/>
            <w:vAlign w:val="top"/>
          </w:tcPr>
          <w:p>
            <w:pPr>
              <w:spacing w:after="60" w:line="259" w:lineRule="auto"/>
            </w:pPr>
            <w:r>
              <w:rPr>
                <w:rFonts w:ascii="Calibri" w:hAnsi="Calibri"/>
                <w:b w:val="0"/>
                <w:i w:val="0"/>
                <w:color w:val="212121"/>
                <w:sz w:val="19"/>
              </w:rPr>
              <w:t>Allergic rhinitis is somewhat more common in boys during childhood, then the sex ratio equalises or reverses toward a female predominance in adolescence and adulthood, partly reflecting hormonal and exposure differences.</w:t>
            </w:r>
          </w:p>
          <w:p>
            <w:pPr>
              <w:spacing w:after="40" w:before="60" w:line="259" w:lineRule="auto"/>
            </w:pPr>
            <w:r>
              <w:rPr>
                <w:rFonts w:ascii="Calibri" w:hAnsi="Calibri"/>
                <w:b w:val="0"/>
                <w:i w:val="0"/>
                <w:color w:val="212121"/>
                <w:sz w:val="19"/>
              </w:rPr>
              <w:t>The male predominance seen in childhood allergic rhinitis diminishes after puberty, with several adult series reporting equal or higher prevalence in women.</w:t>
            </w:r>
          </w:p>
          <w:p>
            <w:pPr>
              <w:spacing w:before="60" w:after="40"/>
            </w:pPr>
            <w:r>
              <w:rPr>
                <w:rFonts w:ascii="Calibri" w:hAnsi="Calibri"/>
                <w:b w:val="0"/>
                <w:i w:val="0"/>
                <w:color w:val="5A5A5A"/>
                <w:sz w:val="18"/>
              </w:rPr>
              <w:t>#sexdifference  #boys  #women  #hormonal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Urban, higher-income and 'Westernised' households</w:t>
            </w:r>
          </w:p>
        </w:tc>
        <w:tc>
          <w:tcPr>
            <w:tcW w:type="dxa" w:w="4276"/>
            <w:vAlign w:val="top"/>
          </w:tcPr>
          <w:p>
            <w:pPr>
              <w:spacing w:after="60" w:line="259" w:lineRule="auto"/>
            </w:pPr>
            <w:r>
              <w:rPr>
                <w:rFonts w:ascii="Calibri" w:hAnsi="Calibri"/>
                <w:b w:val="0"/>
                <w:i w:val="0"/>
                <w:color w:val="212121"/>
                <w:sz w:val="19"/>
              </w:rPr>
              <w:t>Urbanisation, indoor-centred living, packaged/processed diets and reduced early-life microbial exposure (the hygiene hypothesis) are associated with a higher allergic-rhinitis burden in cities and among affluent groups.</w:t>
            </w:r>
          </w:p>
          <w:p>
            <w:pPr>
              <w:spacing w:after="40" w:before="60" w:line="259" w:lineRule="auto"/>
            </w:pPr>
            <w:r>
              <w:rPr>
                <w:rFonts w:ascii="Calibri" w:hAnsi="Calibri"/>
                <w:b w:val="0"/>
                <w:i w:val="0"/>
                <w:color w:val="212121"/>
                <w:sz w:val="19"/>
              </w:rPr>
              <w:t>About 20-30% of Indians have at least one allergic disorder and allergic rhinitis makes up roughly 55% of these, with the burden concentrated in urban and northern regions that also have higher air pollution.</w:t>
            </w:r>
          </w:p>
          <w:p>
            <w:pPr>
              <w:spacing w:after="40" w:line="252" w:lineRule="auto"/>
            </w:pPr>
            <w:hyperlink r:id="rId11">
              <w:r>
                <w:rPr>
                  <w:rFonts w:ascii="Calibri" w:hAnsi="Calibri" w:cs="Calibri"/>
                  <w:sz w:val="18"/>
                  <w:color w:val="1155CC"/>
                  <w:u w:val="single"/>
                </w:rPr>
                <w:t xml:space="preserve">academicmed.org - epidemiology of allergic rhinitis in India (systematic review)</w:t>
              </w:r>
            </w:hyperlink>
          </w:p>
          <w:p>
            <w:pPr>
              <w:spacing w:before="60" w:after="40"/>
            </w:pPr>
            <w:r>
              <w:rPr>
                <w:rFonts w:ascii="Calibri" w:hAnsi="Calibri"/>
                <w:b w:val="0"/>
                <w:i w:val="0"/>
                <w:color w:val="5A5A5A"/>
                <w:sz w:val="18"/>
              </w:rPr>
              <w:t>#urbanisation  #hygienehypothesis  #westernisation  #affluence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pollution</w:t>
            </w:r>
          </w:p>
        </w:tc>
        <w:tc>
          <w:tcPr>
            <w:tcW w:type="dxa" w:w="2160"/>
            <w:vAlign w:val="top"/>
          </w:tcPr>
          <w:p>
            <w:pPr>
              <w:spacing w:after="40" w:before="0" w:line="259" w:lineRule="auto"/>
            </w:pPr>
            <w:r>
              <w:rPr>
                <w:rFonts w:ascii="Calibri" w:hAnsi="Calibri"/>
                <w:b w:val="0"/>
                <w:i w:val="0"/>
                <w:color w:val="212121"/>
                <w:sz w:val="19"/>
              </w:rPr>
              <w:t>Residents of high-pollution metros (Delhi and northern cities)</w:t>
            </w:r>
          </w:p>
        </w:tc>
        <w:tc>
          <w:tcPr>
            <w:tcW w:type="dxa" w:w="4276"/>
            <w:vAlign w:val="top"/>
          </w:tcPr>
          <w:p>
            <w:pPr>
              <w:spacing w:after="60" w:line="259" w:lineRule="auto"/>
            </w:pPr>
            <w:r>
              <w:rPr>
                <w:rFonts w:ascii="Calibri" w:hAnsi="Calibri"/>
                <w:b w:val="0"/>
                <w:i w:val="0"/>
                <w:color w:val="212121"/>
                <w:sz w:val="19"/>
              </w:rPr>
              <w:t>Children and adults in heavily polluted Indian cities carry a higher allergic-rhinitis burden; pollutants cause oxidative stress, damage the epithelial barrier and impair mucociliary clearance, amplifying allergic inflammation.</w:t>
            </w:r>
          </w:p>
          <w:p>
            <w:pPr>
              <w:spacing w:after="40" w:before="60" w:line="259" w:lineRule="auto"/>
            </w:pPr>
            <w:r>
              <w:rPr>
                <w:rFonts w:ascii="Calibri" w:hAnsi="Calibri"/>
                <w:b w:val="0"/>
                <w:i w:val="0"/>
                <w:color w:val="212121"/>
                <w:sz w:val="19"/>
              </w:rPr>
              <w:t>The Indian Academy of Pediatrics consensus statement identifies air pollution as an emerging driver of allergic rhinitis and asthma through oxidative stress and compromised mucociliary clearance, with children especially vulnerable.</w:t>
            </w:r>
          </w:p>
          <w:p>
            <w:pPr>
              <w:spacing w:after="40" w:line="252" w:lineRule="auto"/>
            </w:pPr>
            <w:hyperlink r:id="rId12">
              <w:r>
                <w:rPr>
                  <w:rFonts w:ascii="Calibri" w:hAnsi="Calibri" w:cs="Calibri"/>
                  <w:sz w:val="18"/>
                  <w:color w:val="1155CC"/>
                  <w:u w:val="single"/>
                </w:rPr>
                <w:t xml:space="preserve">pubmed.ncbi.nlm.nih.gov/33941708 - IAP air pollution consensus</w:t>
              </w:r>
            </w:hyperlink>
          </w:p>
          <w:p>
            <w:pPr>
              <w:spacing w:before="60" w:after="40"/>
            </w:pPr>
            <w:r>
              <w:rPr>
                <w:rFonts w:ascii="Calibri" w:hAnsi="Calibri"/>
                <w:b w:val="0"/>
                <w:i w:val="0"/>
                <w:color w:val="5A5A5A"/>
                <w:sz w:val="18"/>
              </w:rPr>
              <w:t>#airpollution  #PM25  #Delhi  #mucociliary  #oxidativestress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Climate / dust mite</w:t>
            </w:r>
          </w:p>
        </w:tc>
        <w:tc>
          <w:tcPr>
            <w:tcW w:type="dxa" w:w="2160"/>
            <w:vAlign w:val="top"/>
          </w:tcPr>
          <w:p>
            <w:pPr>
              <w:spacing w:after="40" w:before="0" w:line="259" w:lineRule="auto"/>
            </w:pPr>
            <w:r>
              <w:rPr>
                <w:rFonts w:ascii="Calibri" w:hAnsi="Calibri"/>
                <w:b w:val="0"/>
                <w:i w:val="0"/>
                <w:color w:val="212121"/>
                <w:sz w:val="19"/>
              </w:rPr>
              <w:t>Warm, humid and coastal areas</w:t>
            </w:r>
          </w:p>
        </w:tc>
        <w:tc>
          <w:tcPr>
            <w:tcW w:type="dxa" w:w="4276"/>
            <w:vAlign w:val="top"/>
          </w:tcPr>
          <w:p>
            <w:pPr>
              <w:spacing w:after="60" w:line="259" w:lineRule="auto"/>
            </w:pPr>
            <w:r>
              <w:rPr>
                <w:rFonts w:ascii="Calibri" w:hAnsi="Calibri"/>
                <w:b w:val="0"/>
                <w:i w:val="0"/>
                <w:color w:val="212121"/>
                <w:sz w:val="19"/>
              </w:rPr>
              <w:t>Warm, humid Indian climates and coastal cities favour year-round proliferation of house dust mites and indoor moulds, sustaining perennial allergic rhinitis; mites are the single commonest aeroallergen nationwide.</w:t>
            </w:r>
          </w:p>
          <w:p>
            <w:pPr>
              <w:spacing w:after="40" w:before="60" w:line="259" w:lineRule="auto"/>
            </w:pPr>
            <w:r>
              <w:rPr>
                <w:rFonts w:ascii="Calibri" w:hAnsi="Calibri"/>
                <w:b w:val="0"/>
                <w:i w:val="0"/>
                <w:color w:val="212121"/>
                <w:sz w:val="19"/>
              </w:rPr>
              <w:t>In a South Indian skin-prick study of allergic rhinitis patients, house dust mites dominated (Dermatophagoides farinae 58%, D. pteronyssinus 54%, Blomia 48%), with Parthenium pollen positive in 38% and cockroach in 32%.</w:t>
            </w:r>
          </w:p>
          <w:p>
            <w:pPr>
              <w:spacing w:after="40" w:line="252" w:lineRule="auto"/>
            </w:pPr>
            <w:hyperlink r:id="rId13">
              <w:r>
                <w:rPr>
                  <w:rFonts w:ascii="Calibri" w:hAnsi="Calibri" w:cs="Calibri"/>
                  <w:sz w:val="18"/>
                  <w:color w:val="1155CC"/>
                  <w:u w:val="single"/>
                </w:rPr>
                <w:t xml:space="preserve">ejo.springeropen.com - aeroallergen skin-prick study, South India</w:t>
              </w:r>
            </w:hyperlink>
          </w:p>
          <w:p>
            <w:pPr>
              <w:spacing w:before="60" w:after="40"/>
            </w:pPr>
            <w:r>
              <w:rPr>
                <w:rFonts w:ascii="Calibri" w:hAnsi="Calibri"/>
                <w:b w:val="0"/>
                <w:i w:val="0"/>
                <w:color w:val="5A5A5A"/>
                <w:sz w:val="18"/>
              </w:rPr>
              <w:t>#dustmite  #Dermatophagoides  #humidity  #coastal  #perennial</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Tobacco smoke exposure</w:t>
            </w:r>
          </w:p>
        </w:tc>
        <w:tc>
          <w:tcPr>
            <w:tcW w:type="dxa" w:w="2160"/>
            <w:vAlign w:val="top"/>
          </w:tcPr>
          <w:p>
            <w:pPr>
              <w:spacing w:after="40" w:before="0" w:line="259" w:lineRule="auto"/>
            </w:pPr>
            <w:r>
              <w:rPr>
                <w:rFonts w:ascii="Calibri" w:hAnsi="Calibri"/>
                <w:b w:val="0"/>
                <w:i w:val="0"/>
                <w:color w:val="212121"/>
                <w:sz w:val="19"/>
              </w:rPr>
              <w:t>Children exposed to household (passive) smoke and adolescent smokers</w:t>
            </w:r>
          </w:p>
        </w:tc>
        <w:tc>
          <w:tcPr>
            <w:tcW w:type="dxa" w:w="4276"/>
            <w:vAlign w:val="top"/>
          </w:tcPr>
          <w:p>
            <w:pPr>
              <w:spacing w:after="60" w:line="259" w:lineRule="auto"/>
            </w:pPr>
            <w:r>
              <w:rPr>
                <w:rFonts w:ascii="Calibri" w:hAnsi="Calibri"/>
                <w:b w:val="0"/>
                <w:i w:val="0"/>
                <w:color w:val="212121"/>
                <w:sz w:val="19"/>
              </w:rPr>
              <w:t>Environmental tobacco smoke irritates and inflames the nasal mucosa and promotes allergic sensitisation, raising the risk and severity of rhinitis in children; active smoking adds risk in adolescents.</w:t>
            </w:r>
          </w:p>
          <w:p>
            <w:pPr>
              <w:spacing w:after="40" w:before="60" w:line="259" w:lineRule="auto"/>
            </w:pPr>
            <w:r>
              <w:rPr>
                <w:rFonts w:ascii="Calibri" w:hAnsi="Calibri"/>
                <w:b w:val="0"/>
                <w:i w:val="0"/>
                <w:color w:val="212121"/>
                <w:sz w:val="19"/>
              </w:rPr>
              <w:t>A meta-analysis found passive smoke raised childhood rhinitis risk (pooled RR 1.09, 95% CI 1.04-1.14) and active smoking raised it in children and adolescents (RR 1.40, 95% CI 1.24-1.59).</w:t>
            </w:r>
          </w:p>
          <w:p>
            <w:pPr>
              <w:spacing w:after="40" w:line="252" w:lineRule="auto"/>
            </w:pPr>
            <w:hyperlink r:id="rId14">
              <w:r>
                <w:rPr>
                  <w:rFonts w:ascii="Calibri" w:hAnsi="Calibri" w:cs="Calibri"/>
                  <w:sz w:val="18"/>
                  <w:color w:val="1155CC"/>
                  <w:u w:val="single"/>
                </w:rPr>
                <w:t xml:space="preserve">journals.plos.org - tobacco smoke &amp; allergic rhinitis meta-analysis</w:t>
              </w:r>
            </w:hyperlink>
          </w:p>
          <w:p>
            <w:pPr>
              <w:spacing w:before="60" w:after="40"/>
            </w:pPr>
            <w:r>
              <w:rPr>
                <w:rFonts w:ascii="Calibri" w:hAnsi="Calibri"/>
                <w:b w:val="0"/>
                <w:i w:val="0"/>
                <w:color w:val="5A5A5A"/>
                <w:sz w:val="18"/>
              </w:rPr>
              <w:t>#passivesmoking  #ETS  #tobacco  #children  #secondhandsmoke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Air pollution / traffic exposure</w:t>
            </w:r>
          </w:p>
        </w:tc>
        <w:tc>
          <w:tcPr>
            <w:tcW w:type="dxa" w:w="2160"/>
            <w:vAlign w:val="top"/>
          </w:tcPr>
          <w:p>
            <w:pPr>
              <w:spacing w:after="40" w:before="0" w:line="259" w:lineRule="auto"/>
            </w:pPr>
            <w:r>
              <w:rPr>
                <w:rFonts w:ascii="Calibri" w:hAnsi="Calibri"/>
                <w:b w:val="0"/>
                <w:i w:val="0"/>
                <w:color w:val="212121"/>
                <w:sz w:val="19"/>
              </w:rPr>
              <w:t>People living or commuting near heavy traffic</w:t>
            </w:r>
          </w:p>
        </w:tc>
        <w:tc>
          <w:tcPr>
            <w:tcW w:type="dxa" w:w="4276"/>
            <w:vAlign w:val="top"/>
          </w:tcPr>
          <w:p>
            <w:pPr>
              <w:spacing w:after="60" w:line="259" w:lineRule="auto"/>
            </w:pPr>
            <w:r>
              <w:rPr>
                <w:rFonts w:ascii="Calibri" w:hAnsi="Calibri"/>
                <w:b w:val="0"/>
                <w:i w:val="0"/>
                <w:color w:val="212121"/>
                <w:sz w:val="19"/>
              </w:rPr>
              <w:t>Traffic-related air pollution, including antenatal and early-life exposure, promotes allergic sensitisation and airway inflammation and is implicated in the rising urban burden of allergic rhinitis.</w:t>
            </w:r>
          </w:p>
          <w:p>
            <w:pPr>
              <w:spacing w:after="40" w:before="60" w:line="259" w:lineRule="auto"/>
            </w:pPr>
            <w:r>
              <w:rPr>
                <w:rFonts w:ascii="Calibri" w:hAnsi="Calibri"/>
                <w:b w:val="0"/>
                <w:i w:val="0"/>
                <w:color w:val="212121"/>
                <w:sz w:val="19"/>
              </w:rPr>
              <w:t>A systematic review found prenatal PM2.5 exposure increased doctor-diagnosed allergic rhinitis (prevalence ratio 1.43, 95% CI 1.11-1.84) and prenatal NO2 increased it (OR 1.41, 95% CI 1.05-1.88).</w:t>
            </w:r>
          </w:p>
          <w:p>
            <w:pPr>
              <w:spacing w:after="40" w:line="252" w:lineRule="auto"/>
            </w:pPr>
            <w:hyperlink r:id="rId15">
              <w:r>
                <w:rPr>
                  <w:rFonts w:ascii="Calibri" w:hAnsi="Calibri" w:cs="Calibri"/>
                  <w:sz w:val="18"/>
                  <w:color w:val="1155CC"/>
                  <w:u w:val="single"/>
                </w:rPr>
                <w:t xml:space="preserve">pmc.ncbi.nlm.nih.gov/PMC10118164 - traffic pollution &amp; AR review</w:t>
              </w:r>
            </w:hyperlink>
          </w:p>
          <w:p>
            <w:pPr>
              <w:spacing w:before="60" w:after="40"/>
            </w:pPr>
            <w:r>
              <w:rPr>
                <w:rFonts w:ascii="Calibri" w:hAnsi="Calibri"/>
                <w:b w:val="0"/>
                <w:i w:val="0"/>
                <w:color w:val="5A5A5A"/>
                <w:sz w:val="18"/>
              </w:rPr>
              <w:t>#trafficpollution  #PM25  #NO2  #prenatalexposure  #urban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Occupational exposure</w:t>
            </w:r>
          </w:p>
        </w:tc>
        <w:tc>
          <w:tcPr>
            <w:tcW w:type="dxa" w:w="2160"/>
            <w:vAlign w:val="top"/>
          </w:tcPr>
          <w:p>
            <w:pPr>
              <w:spacing w:after="40" w:before="0" w:line="259" w:lineRule="auto"/>
            </w:pPr>
            <w:r>
              <w:rPr>
                <w:rFonts w:ascii="Calibri" w:hAnsi="Calibri"/>
                <w:b w:val="0"/>
                <w:i w:val="0"/>
                <w:color w:val="212121"/>
                <w:sz w:val="19"/>
              </w:rPr>
              <w:t>Bakers, grain/animal handlers, wood &amp; textile workers, healthcare (latex) staff</w:t>
            </w:r>
          </w:p>
        </w:tc>
        <w:tc>
          <w:tcPr>
            <w:tcW w:type="dxa" w:w="4276"/>
            <w:vAlign w:val="top"/>
          </w:tcPr>
          <w:p>
            <w:pPr>
              <w:spacing w:after="60" w:line="259" w:lineRule="auto"/>
            </w:pPr>
            <w:r>
              <w:rPr>
                <w:rFonts w:ascii="Calibri" w:hAnsi="Calibri"/>
                <w:b w:val="0"/>
                <w:i w:val="0"/>
                <w:color w:val="212121"/>
                <w:sz w:val="19"/>
              </w:rPr>
              <w:t>Repeated inhalation of workplace proteins and dusts sensitises the nasal mucosa, producing occupational allergic rhinitis that often precedes occupational asthma; symptoms typically ease away from work.</w:t>
            </w:r>
          </w:p>
          <w:p>
            <w:pPr>
              <w:spacing w:after="40" w:before="60" w:line="259" w:lineRule="auto"/>
            </w:pPr>
            <w:r>
              <w:rPr>
                <w:rFonts w:ascii="Calibri" w:hAnsi="Calibri"/>
                <w:b w:val="0"/>
                <w:i w:val="0"/>
                <w:color w:val="212121"/>
                <w:sz w:val="19"/>
              </w:rPr>
              <w:t>Occupational rhinitis is well documented among flour and grain handlers, laboratory and animal workers, wood- and textile-dust exposed workers and latex-exposed healthcare staff, and is a recognised warning sign for occupational asthma.</w:t>
            </w:r>
          </w:p>
          <w:p>
            <w:pPr>
              <w:spacing w:before="60" w:after="40"/>
            </w:pPr>
            <w:r>
              <w:rPr>
                <w:rFonts w:ascii="Calibri" w:hAnsi="Calibri"/>
                <w:b w:val="0"/>
                <w:i w:val="0"/>
                <w:color w:val="5A5A5A"/>
                <w:sz w:val="18"/>
              </w:rPr>
              <w:t>#occupational  #bakers  #latex  #flourdust  #occupationalasthma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Pet ownership</w:t>
            </w:r>
          </w:p>
        </w:tc>
        <w:tc>
          <w:tcPr>
            <w:tcW w:type="dxa" w:w="2160"/>
            <w:vAlign w:val="top"/>
          </w:tcPr>
          <w:p>
            <w:pPr>
              <w:spacing w:after="40" w:before="0" w:line="259" w:lineRule="auto"/>
            </w:pPr>
            <w:r>
              <w:rPr>
                <w:rFonts w:ascii="Calibri" w:hAnsi="Calibri"/>
                <w:b w:val="0"/>
                <w:i w:val="0"/>
                <w:color w:val="212121"/>
                <w:sz w:val="19"/>
              </w:rPr>
              <w:t>Households with furred pets (cats, dogs)</w:t>
            </w:r>
          </w:p>
        </w:tc>
        <w:tc>
          <w:tcPr>
            <w:tcW w:type="dxa" w:w="4276"/>
            <w:vAlign w:val="top"/>
          </w:tcPr>
          <w:p>
            <w:pPr>
              <w:spacing w:after="60" w:line="259" w:lineRule="auto"/>
            </w:pPr>
            <w:r>
              <w:rPr>
                <w:rFonts w:ascii="Calibri" w:hAnsi="Calibri"/>
                <w:b w:val="0"/>
                <w:i w:val="0"/>
                <w:color w:val="212121"/>
                <w:sz w:val="19"/>
              </w:rPr>
              <w:t>Cat and dog dander are potent perennial indoor allergens; sensitised owners develop persistent nasal symptoms, and dander persists in soft furnishings for months after a pet is removed.</w:t>
            </w:r>
          </w:p>
          <w:p>
            <w:pPr>
              <w:spacing w:after="40" w:before="60" w:line="259" w:lineRule="auto"/>
            </w:pPr>
            <w:r>
              <w:rPr>
                <w:rFonts w:ascii="Calibri" w:hAnsi="Calibri"/>
                <w:b w:val="0"/>
                <w:i w:val="0"/>
                <w:color w:val="212121"/>
                <w:sz w:val="19"/>
              </w:rPr>
              <w:t>Animal dander is a common perennial trigger of allergic rhinitis; sensitised individuals may have year-round symptoms sustained by indoor allergen reservoirs.</w:t>
            </w:r>
          </w:p>
          <w:p>
            <w:pPr>
              <w:spacing w:before="60" w:after="40"/>
            </w:pPr>
            <w:r>
              <w:rPr>
                <w:rFonts w:ascii="Calibri" w:hAnsi="Calibri"/>
                <w:b w:val="0"/>
                <w:i w:val="0"/>
                <w:color w:val="5A5A5A"/>
                <w:sz w:val="18"/>
              </w:rPr>
              <w:t>#petdander  #cat  #dog  #perennial  #indoorallergen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Indoor dampness / mould</w:t>
            </w:r>
          </w:p>
        </w:tc>
        <w:tc>
          <w:tcPr>
            <w:tcW w:type="dxa" w:w="2160"/>
            <w:vAlign w:val="top"/>
          </w:tcPr>
          <w:p>
            <w:pPr>
              <w:spacing w:after="40" w:before="0" w:line="259" w:lineRule="auto"/>
            </w:pPr>
            <w:r>
              <w:rPr>
                <w:rFonts w:ascii="Calibri" w:hAnsi="Calibri"/>
                <w:b w:val="0"/>
                <w:i w:val="0"/>
                <w:color w:val="212121"/>
                <w:sz w:val="19"/>
              </w:rPr>
              <w:t>Occupants of damp, poorly ventilated homes</w:t>
            </w:r>
          </w:p>
        </w:tc>
        <w:tc>
          <w:tcPr>
            <w:tcW w:type="dxa" w:w="4276"/>
            <w:vAlign w:val="top"/>
          </w:tcPr>
          <w:p>
            <w:pPr>
              <w:spacing w:after="60" w:line="259" w:lineRule="auto"/>
            </w:pPr>
            <w:r>
              <w:rPr>
                <w:rFonts w:ascii="Calibri" w:hAnsi="Calibri"/>
                <w:b w:val="0"/>
                <w:i w:val="0"/>
                <w:color w:val="212121"/>
                <w:sz w:val="19"/>
              </w:rPr>
              <w:t>Damp, poorly ventilated housing promotes fungal (mould) growth and higher dust-mite loads, both of which sustain perennial allergic rhinitis and can worsen coexisting asthma.</w:t>
            </w:r>
          </w:p>
          <w:p>
            <w:pPr>
              <w:spacing w:after="40" w:before="60" w:line="259" w:lineRule="auto"/>
            </w:pPr>
            <w:r>
              <w:rPr>
                <w:rFonts w:ascii="Calibri" w:hAnsi="Calibri"/>
                <w:b w:val="0"/>
                <w:i w:val="0"/>
                <w:color w:val="212121"/>
                <w:sz w:val="19"/>
              </w:rPr>
              <w:t>In Indian allergic rhinitis, fungal sensitisation is common - fungi were positive in about 39% of 'nasal-blocker' type patients - with Alternaria and Aspergillus among the recognised perennial triggers.</w:t>
            </w:r>
          </w:p>
          <w:p>
            <w:pPr>
              <w:spacing w:after="40" w:line="252" w:lineRule="auto"/>
            </w:pPr>
            <w:hyperlink r:id="rId16">
              <w:r>
                <w:rPr>
                  <w:rFonts w:ascii="Calibri" w:hAnsi="Calibri" w:cs="Calibri"/>
                  <w:sz w:val="18"/>
                  <w:color w:val="1155CC"/>
                  <w:u w:val="single"/>
                </w:rPr>
                <w:t xml:space="preserve">ijorl.com - Allergic rhinitis in India: an overview</w:t>
              </w:r>
            </w:hyperlink>
          </w:p>
          <w:p>
            <w:pPr>
              <w:spacing w:before="60" w:after="40"/>
            </w:pPr>
            <w:r>
              <w:rPr>
                <w:rFonts w:ascii="Calibri" w:hAnsi="Calibri"/>
                <w:b w:val="0"/>
                <w:i w:val="0"/>
                <w:color w:val="5A5A5A"/>
                <w:sz w:val="18"/>
              </w:rPr>
              <w:t>#mould  #dampness  #Alternaria  #Aspergillus  #ventilation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obesity</w:t>
            </w:r>
          </w:p>
        </w:tc>
        <w:tc>
          <w:tcPr>
            <w:tcW w:type="dxa" w:w="2160"/>
            <w:vAlign w:val="top"/>
          </w:tcPr>
          <w:p>
            <w:pPr>
              <w:spacing w:after="40" w:before="0" w:line="259" w:lineRule="auto"/>
            </w:pPr>
            <w:r>
              <w:rPr>
                <w:rFonts w:ascii="Calibri" w:hAnsi="Calibri"/>
                <w:b w:val="0"/>
                <w:i w:val="0"/>
                <w:color w:val="212121"/>
                <w:sz w:val="19"/>
              </w:rPr>
              <w:t>Overweight and obese individuals</w:t>
            </w:r>
          </w:p>
        </w:tc>
        <w:tc>
          <w:tcPr>
            <w:tcW w:type="dxa" w:w="4276"/>
            <w:vAlign w:val="top"/>
          </w:tcPr>
          <w:p>
            <w:pPr>
              <w:spacing w:after="60" w:line="259" w:lineRule="auto"/>
            </w:pPr>
            <w:r>
              <w:rPr>
                <w:rFonts w:ascii="Calibri" w:hAnsi="Calibri"/>
                <w:b w:val="0"/>
                <w:i w:val="0"/>
                <w:color w:val="212121"/>
                <w:sz w:val="19"/>
              </w:rPr>
              <w:t>Obesity is associated with higher rates of both allergic and non-allergic rhinitis and with worse asthma control, plausibly through systemic low-grade inflammation; the link is strengthening as urban Indian obesity rises.</w:t>
            </w:r>
          </w:p>
          <w:p>
            <w:pPr>
              <w:spacing w:after="40" w:before="60" w:line="259" w:lineRule="auto"/>
            </w:pPr>
            <w:r>
              <w:rPr>
                <w:rFonts w:ascii="Calibri" w:hAnsi="Calibri"/>
                <w:b w:val="0"/>
                <w:i w:val="0"/>
                <w:color w:val="212121"/>
                <w:sz w:val="19"/>
              </w:rPr>
              <w:t>Excess adiposity generates a pro-inflammatory state that is associated with increased rhinitis prevalence and poorer control of coexisting airway disease.</w:t>
            </w:r>
          </w:p>
          <w:p>
            <w:pPr>
              <w:spacing w:before="60" w:after="40"/>
            </w:pPr>
            <w:r>
              <w:rPr>
                <w:rFonts w:ascii="Calibri" w:hAnsi="Calibri"/>
                <w:b w:val="0"/>
                <w:i w:val="0"/>
                <w:color w:val="5A5A5A"/>
                <w:sz w:val="18"/>
              </w:rPr>
              <w:t>#obesity  #inflammation  #adiposity  #asthmacontrol</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pattern</w:t>
            </w:r>
          </w:p>
        </w:tc>
        <w:tc>
          <w:tcPr>
            <w:tcW w:type="dxa" w:w="2160"/>
            <w:vAlign w:val="top"/>
          </w:tcPr>
          <w:p>
            <w:pPr>
              <w:spacing w:after="40" w:before="0" w:line="259" w:lineRule="auto"/>
            </w:pPr>
            <w:r>
              <w:rPr>
                <w:rFonts w:ascii="Calibri" w:hAnsi="Calibri"/>
                <w:b w:val="0"/>
                <w:i w:val="0"/>
                <w:color w:val="212121"/>
                <w:sz w:val="19"/>
              </w:rPr>
              <w:t>High fast-food, low fruit-and-vegetable diets</w:t>
            </w:r>
          </w:p>
        </w:tc>
        <w:tc>
          <w:tcPr>
            <w:tcW w:type="dxa" w:w="4276"/>
            <w:vAlign w:val="top"/>
          </w:tcPr>
          <w:p>
            <w:pPr>
              <w:spacing w:after="60" w:line="259" w:lineRule="auto"/>
            </w:pPr>
            <w:r>
              <w:rPr>
                <w:rFonts w:ascii="Calibri" w:hAnsi="Calibri"/>
                <w:b w:val="0"/>
                <w:i w:val="0"/>
                <w:color w:val="212121"/>
                <w:sz w:val="19"/>
              </w:rPr>
              <w:t>Diets high in fast food and low in fresh fruit and vegetables are associated with more frequent and severe rhinoconjunctivitis, whereas breastfeeding and fruit/vegetable-rich diets appear modestly protective.</w:t>
            </w:r>
          </w:p>
          <w:p>
            <w:pPr>
              <w:spacing w:after="40" w:before="60" w:line="259" w:lineRule="auto"/>
            </w:pPr>
            <w:r>
              <w:rPr>
                <w:rFonts w:ascii="Calibri" w:hAnsi="Calibri"/>
                <w:b w:val="0"/>
                <w:i w:val="0"/>
                <w:color w:val="212121"/>
                <w:sz w:val="19"/>
              </w:rPr>
              <w:t>Frequent fast-food intake has been linked with more severe rhinoconjunctivitis in adolescents, while a diet rich in fruit and vegetables is associated with fewer symptoms.</w:t>
            </w:r>
          </w:p>
          <w:p>
            <w:pPr>
              <w:spacing w:before="60" w:after="40"/>
            </w:pPr>
            <w:r>
              <w:rPr>
                <w:rFonts w:ascii="Calibri" w:hAnsi="Calibri"/>
                <w:b w:val="0"/>
                <w:i w:val="0"/>
                <w:color w:val="5A5A5A"/>
                <w:sz w:val="18"/>
              </w:rPr>
              <w:t>#fastfood  #diet  #fruitvegetables  #breastfeeding  #antioxidants</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atopy</w:t>
            </w:r>
          </w:p>
        </w:tc>
        <w:tc>
          <w:tcPr>
            <w:tcW w:type="dxa" w:w="2160"/>
            <w:vAlign w:val="top"/>
          </w:tcPr>
          <w:p>
            <w:pPr>
              <w:spacing w:after="40" w:before="0" w:line="259" w:lineRule="auto"/>
            </w:pPr>
            <w:r>
              <w:rPr>
                <w:rFonts w:ascii="Calibri" w:hAnsi="Calibri"/>
                <w:b w:val="0"/>
                <w:i w:val="0"/>
                <w:color w:val="212121"/>
                <w:sz w:val="19"/>
              </w:rPr>
              <w:t>Children of parents with allergic rhinitis, asthma or eczema</w:t>
            </w:r>
          </w:p>
        </w:tc>
        <w:tc>
          <w:tcPr>
            <w:tcW w:type="dxa" w:w="4276"/>
            <w:vAlign w:val="top"/>
          </w:tcPr>
          <w:p>
            <w:pPr>
              <w:spacing w:after="60" w:line="259" w:lineRule="auto"/>
            </w:pPr>
            <w:r>
              <w:rPr>
                <w:rFonts w:ascii="Calibri" w:hAnsi="Calibri"/>
                <w:b w:val="0"/>
                <w:i w:val="0"/>
                <w:color w:val="212121"/>
                <w:sz w:val="19"/>
              </w:rPr>
              <w:t>Atopy is strongly heritable. A child with one atopic parent has roughly double the risk of allergic rhinitis, and the risk rises further when both parents are affected or share the same atopic disease.</w:t>
            </w:r>
          </w:p>
          <w:p>
            <w:pPr>
              <w:spacing w:after="40" w:before="60" w:line="259" w:lineRule="auto"/>
            </w:pPr>
            <w:r>
              <w:rPr>
                <w:rFonts w:ascii="Calibri" w:hAnsi="Calibri"/>
                <w:b w:val="0"/>
                <w:i w:val="0"/>
                <w:color w:val="212121"/>
                <w:sz w:val="19"/>
              </w:rPr>
              <w:t>A positive family history of atopy (allergic rhinitis, asthma or eczema) is one of the strongest predictors of allergic rhinitis, reflecting the inherited tendency to produce allergen-specific IgE.</w:t>
            </w:r>
          </w:p>
          <w:p>
            <w:pPr>
              <w:spacing w:before="60" w:after="40"/>
            </w:pPr>
            <w:r>
              <w:rPr>
                <w:rFonts w:ascii="Calibri" w:hAnsi="Calibri"/>
                <w:b w:val="0"/>
                <w:i w:val="0"/>
                <w:color w:val="5A5A5A"/>
                <w:sz w:val="18"/>
              </w:rPr>
              <w:t>#familyhistory  #atopy  #heritability  #IgE  #allergicmarch</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Asthma</w:t>
            </w:r>
          </w:p>
        </w:tc>
        <w:tc>
          <w:tcPr>
            <w:tcW w:type="dxa" w:w="2160"/>
            <w:vAlign w:val="top"/>
          </w:tcPr>
          <w:p>
            <w:pPr>
              <w:spacing w:after="40" w:before="0" w:line="259" w:lineRule="auto"/>
            </w:pPr>
            <w:r>
              <w:rPr>
                <w:rFonts w:ascii="Calibri" w:hAnsi="Calibri"/>
                <w:b w:val="0"/>
                <w:i w:val="0"/>
                <w:color w:val="212121"/>
                <w:sz w:val="19"/>
              </w:rPr>
              <w:t>Patients with asthma (united airway disease)</w:t>
            </w:r>
          </w:p>
        </w:tc>
        <w:tc>
          <w:tcPr>
            <w:tcW w:type="dxa" w:w="4276"/>
            <w:vAlign w:val="top"/>
          </w:tcPr>
          <w:p>
            <w:pPr>
              <w:spacing w:after="60" w:line="259" w:lineRule="auto"/>
            </w:pPr>
            <w:r>
              <w:rPr>
                <w:rFonts w:ascii="Calibri" w:hAnsi="Calibri"/>
                <w:b w:val="0"/>
                <w:i w:val="0"/>
                <w:color w:val="212121"/>
                <w:sz w:val="19"/>
              </w:rPr>
              <w:t>The nose and bronchi form one continuous airway, so allergic rhinitis and asthma commonly coexist; untreated rhinitis worsens asthma control and treating rhinitis improves it.</w:t>
            </w:r>
          </w:p>
          <w:p>
            <w:pPr>
              <w:spacing w:after="40" w:before="60" w:line="259" w:lineRule="auto"/>
            </w:pPr>
            <w:r>
              <w:rPr>
                <w:rFonts w:ascii="Calibri" w:hAnsi="Calibri"/>
                <w:b w:val="0"/>
                <w:i w:val="0"/>
                <w:color w:val="212121"/>
                <w:sz w:val="19"/>
              </w:rPr>
              <w:t>In the Indian CARAS survey, 65.2% of asthma patients had coexisting allergic rhinitis, and about 38% of allergic rhinitis patients have asthma.</w:t>
            </w:r>
          </w:p>
          <w:p>
            <w:pPr>
              <w:spacing w:after="40" w:line="252" w:lineRule="auto"/>
            </w:pPr>
            <w:hyperlink r:id="rId17">
              <w:r>
                <w:rPr>
                  <w:rFonts w:ascii="Calibri" w:hAnsi="Calibri" w:cs="Calibri"/>
                  <w:sz w:val="18"/>
                  <w:color w:val="1155CC"/>
                  <w:u w:val="single"/>
                </w:rPr>
                <w:t xml:space="preserve">pubmed.ncbi.nlm.nih.gov/31464213 - CARAS survey, India</w:t>
              </w:r>
            </w:hyperlink>
          </w:p>
          <w:p>
            <w:pPr>
              <w:spacing w:before="60" w:after="40"/>
            </w:pPr>
            <w:r>
              <w:rPr>
                <w:rFonts w:ascii="Calibri" w:hAnsi="Calibri"/>
                <w:b w:val="0"/>
                <w:i w:val="0"/>
                <w:color w:val="5A5A5A"/>
                <w:sz w:val="18"/>
              </w:rPr>
              <w:t>#asthma  #unitedairway  #CARAS  #comorbidity  #airwayinflammation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Atopic dermatitis (eczema)</w:t>
            </w:r>
          </w:p>
        </w:tc>
        <w:tc>
          <w:tcPr>
            <w:tcW w:type="dxa" w:w="2160"/>
            <w:vAlign w:val="top"/>
          </w:tcPr>
          <w:p>
            <w:pPr>
              <w:spacing w:after="40" w:before="0" w:line="259" w:lineRule="auto"/>
            </w:pPr>
            <w:r>
              <w:rPr>
                <w:rFonts w:ascii="Calibri" w:hAnsi="Calibri"/>
                <w:b w:val="0"/>
                <w:i w:val="0"/>
                <w:color w:val="212121"/>
                <w:sz w:val="19"/>
              </w:rPr>
              <w:t>Children with infantile eczema</w:t>
            </w:r>
          </w:p>
        </w:tc>
        <w:tc>
          <w:tcPr>
            <w:tcW w:type="dxa" w:w="4276"/>
            <w:vAlign w:val="top"/>
          </w:tcPr>
          <w:p>
            <w:pPr>
              <w:spacing w:after="60" w:line="259" w:lineRule="auto"/>
            </w:pPr>
            <w:r>
              <w:rPr>
                <w:rFonts w:ascii="Calibri" w:hAnsi="Calibri"/>
                <w:b w:val="0"/>
                <w:i w:val="0"/>
                <w:color w:val="212121"/>
                <w:sz w:val="19"/>
              </w:rPr>
              <w:t>Atopic dermatitis in infancy is often the first step of the atopic march, with skin-barrier disruption and early sensitisation preceding the later development of allergic rhinitis and asthma.</w:t>
            </w:r>
          </w:p>
          <w:p>
            <w:pPr>
              <w:spacing w:after="40" w:before="60" w:line="259" w:lineRule="auto"/>
            </w:pPr>
            <w:r>
              <w:rPr>
                <w:rFonts w:ascii="Calibri" w:hAnsi="Calibri"/>
                <w:b w:val="0"/>
                <w:i w:val="0"/>
                <w:color w:val="212121"/>
                <w:sz w:val="19"/>
              </w:rPr>
              <w:t>In the Global Asthma Network India study, childhood rhinitis carried a 2.6-fold higher risk when eczema coexisted, reflecting shared atopic mechanisms.</w:t>
            </w:r>
          </w:p>
          <w:p>
            <w:pPr>
              <w:spacing w:after="40" w:line="252" w:lineRule="auto"/>
            </w:pPr>
            <w:hyperlink r:id="rId9">
              <w:r>
                <w:rPr>
                  <w:rFonts w:ascii="Calibri" w:hAnsi="Calibri" w:cs="Calibri"/>
                  <w:sz w:val="18"/>
                  <w:color w:val="1155CC"/>
                  <w:u w:val="single"/>
                </w:rPr>
                <w:t xml:space="preserve">pubmed.ncbi.nlm.nih.gov/37780584 - Global Asthma Network India</w:t>
              </w:r>
            </w:hyperlink>
          </w:p>
          <w:p>
            <w:pPr>
              <w:spacing w:before="60" w:after="40"/>
            </w:pPr>
            <w:r>
              <w:rPr>
                <w:rFonts w:ascii="Calibri" w:hAnsi="Calibri"/>
                <w:b w:val="0"/>
                <w:i w:val="0"/>
                <w:color w:val="5A5A5A"/>
                <w:sz w:val="18"/>
              </w:rPr>
              <w:t>#eczema  #atopicdermatitis  #atopicmarch  #skinbarrier  #sensitisation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Allergic conjunctivitis</w:t>
            </w:r>
          </w:p>
        </w:tc>
        <w:tc>
          <w:tcPr>
            <w:tcW w:type="dxa" w:w="2160"/>
            <w:vAlign w:val="top"/>
          </w:tcPr>
          <w:p>
            <w:pPr>
              <w:spacing w:after="40" w:before="0" w:line="259" w:lineRule="auto"/>
            </w:pPr>
            <w:r>
              <w:rPr>
                <w:rFonts w:ascii="Calibri" w:hAnsi="Calibri"/>
                <w:b w:val="0"/>
                <w:i w:val="0"/>
                <w:color w:val="212121"/>
                <w:sz w:val="19"/>
              </w:rPr>
              <w:t>Patients with allergic rhinoconjunctivitis</w:t>
            </w:r>
          </w:p>
        </w:tc>
        <w:tc>
          <w:tcPr>
            <w:tcW w:type="dxa" w:w="4276"/>
            <w:vAlign w:val="top"/>
          </w:tcPr>
          <w:p>
            <w:pPr>
              <w:spacing w:after="60" w:line="259" w:lineRule="auto"/>
            </w:pPr>
            <w:r>
              <w:rPr>
                <w:rFonts w:ascii="Calibri" w:hAnsi="Calibri"/>
                <w:b w:val="0"/>
                <w:i w:val="0"/>
                <w:color w:val="212121"/>
                <w:sz w:val="19"/>
              </w:rPr>
              <w:t>Eye symptoms frequently accompany nasal allergy (allergic rhinoconjunctivitis), producing itchy, watery, red eyes that add substantially to the symptom burden and quality-of-life impact.</w:t>
            </w:r>
          </w:p>
          <w:p>
            <w:pPr>
              <w:spacing w:after="40" w:before="60" w:line="259" w:lineRule="auto"/>
            </w:pPr>
            <w:r>
              <w:rPr>
                <w:rFonts w:ascii="Calibri" w:hAnsi="Calibri"/>
                <w:b w:val="0"/>
                <w:i w:val="0"/>
                <w:color w:val="212121"/>
                <w:sz w:val="19"/>
              </w:rPr>
              <w:t>Allergic rhinoconjunctivitis affected 8.4% of Indian adolescents aged 13-14 years in the Global Asthma Network India study.</w:t>
            </w:r>
          </w:p>
          <w:p>
            <w:pPr>
              <w:spacing w:after="40" w:line="252" w:lineRule="auto"/>
            </w:pPr>
            <w:hyperlink r:id="rId9">
              <w:r>
                <w:rPr>
                  <w:rFonts w:ascii="Calibri" w:hAnsi="Calibri" w:cs="Calibri"/>
                  <w:sz w:val="18"/>
                  <w:color w:val="1155CC"/>
                  <w:u w:val="single"/>
                </w:rPr>
                <w:t xml:space="preserve">pubmed.ncbi.nlm.nih.gov/37780584 - Global Asthma Network India</w:t>
              </w:r>
            </w:hyperlink>
          </w:p>
          <w:p>
            <w:pPr>
              <w:spacing w:before="60" w:after="40"/>
            </w:pPr>
            <w:r>
              <w:rPr>
                <w:rFonts w:ascii="Calibri" w:hAnsi="Calibri"/>
                <w:b w:val="0"/>
                <w:i w:val="0"/>
                <w:color w:val="5A5A5A"/>
                <w:sz w:val="18"/>
              </w:rPr>
              <w:t>#conjunctivitis  #rhinoconjunctivitis  #itchyeyes  #ocularallergy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rhinosinusitis / nasal polyps</w:t>
            </w:r>
          </w:p>
        </w:tc>
        <w:tc>
          <w:tcPr>
            <w:tcW w:type="dxa" w:w="2160"/>
            <w:vAlign w:val="top"/>
          </w:tcPr>
          <w:p>
            <w:pPr>
              <w:spacing w:after="40" w:before="0" w:line="259" w:lineRule="auto"/>
            </w:pPr>
            <w:r>
              <w:rPr>
                <w:rFonts w:ascii="Calibri" w:hAnsi="Calibri"/>
                <w:b w:val="0"/>
                <w:i w:val="0"/>
                <w:color w:val="212121"/>
                <w:sz w:val="19"/>
              </w:rPr>
              <w:t>Patients with recurrent sinusitis or nasal polyposis</w:t>
            </w:r>
          </w:p>
        </w:tc>
        <w:tc>
          <w:tcPr>
            <w:tcW w:type="dxa" w:w="4276"/>
            <w:vAlign w:val="top"/>
          </w:tcPr>
          <w:p>
            <w:pPr>
              <w:spacing w:after="60" w:line="259" w:lineRule="auto"/>
            </w:pPr>
            <w:r>
              <w:rPr>
                <w:rFonts w:ascii="Calibri" w:hAnsi="Calibri"/>
                <w:b w:val="0"/>
                <w:i w:val="0"/>
                <w:color w:val="212121"/>
                <w:sz w:val="19"/>
              </w:rPr>
              <w:t>Persistent allergic mucosal oedema obstructs the sinus drainage pathways and predisposes to chronic rhinosinusitis and nasal polyposis, which in turn perpetuate obstruction and loss of smell.</w:t>
            </w:r>
          </w:p>
          <w:p>
            <w:pPr>
              <w:spacing w:after="40" w:before="60" w:line="259" w:lineRule="auto"/>
            </w:pPr>
            <w:r>
              <w:rPr>
                <w:rFonts w:ascii="Calibri" w:hAnsi="Calibri"/>
                <w:b w:val="0"/>
                <w:i w:val="0"/>
                <w:color w:val="212121"/>
                <w:sz w:val="19"/>
              </w:rPr>
              <w:t>Chronic mucosal inflammation from allergic rhinitis is a recognised contributor to chronic rhinosinusitis and nasal polyp formation, often producing persistent congestion and hyposmia.</w:t>
            </w:r>
          </w:p>
          <w:p>
            <w:pPr>
              <w:spacing w:before="60" w:after="40"/>
            </w:pPr>
            <w:r>
              <w:rPr>
                <w:rFonts w:ascii="Calibri" w:hAnsi="Calibri"/>
                <w:b w:val="0"/>
                <w:i w:val="0"/>
                <w:color w:val="5A5A5A"/>
                <w:sz w:val="18"/>
              </w:rPr>
              <w:t>#sinusitis  #nasalpolyps  #hyposmia  #mucosaloedema  #CRS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Regular exercise transiently decongests the nose and, by reducing obesity-related inflammation, may modestly lower rhinitis burden; however, physical inactivity is not a major driver and vigorous outdoor exercise in high-pollen or high-pollution air can provoke symptoms.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Isolated food allergy rarely causes chronic rhinitis; diets high in fast food and low in fruit/vegetables are weakly associated with more severe rhinoconjunctivitis, while breastfeeding and antioxidant-rich diets appear mildly protective.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The relationship is largely bidirectional: nasal obstruction disturbs sleep in roughly 48% of seasonal and 68% of perennial rhinitis sufferers, and the resulting fatigue and poor sleep amplify daytime symptom burden and impair school/work performance.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Active and passive tobacco smoke inflame the nasal mucosa and promote allergic sensitisation; passive smoke raises childhood rhinitis risk (RR 1.09) and active smoking raises it in children/adolescents (RR 1.40), and smoke aggravates established symptoms.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can acutely worsen nasal congestion and rhinorrhoea through vasodilation, histamine content and sulphite additives in wine/beer, but it is not a cause of the underlying allergic disease.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Psychological stress up-regulates neuro-immune and mast-cell activity and worsens perceived symptom severity and quality of life; chronic rhinitis in turn increases anxiety, depression and irritability, creating a reinforcing loop.</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and saline help thin mucus and support mucociliary clearance, easing congestion, but hydration status has no established role in causing or preventing the allergy itself.</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has mild bronchodilator and decongestant-like properties and no meaningful causal link to allergic rhinitis; its effect on symptoms is negligible.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Environmental hygiene is central: allergen avoidance and control - dust-mite-proof bedding, hot-washing linen, reducing indoor humidity, removing mould and pet dander, and nasal saline irrigation - directly reduce symptoms; early-life over-hygiene (hygiene hypothesis) may conversely raise atopy risk.</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Direct exposure to the causative aeroallergen is the immediate provoker - house dust mite, pollens (Parthenium, Prosopis, grasses), moulds, animal dander and cockroach - amplified by air pollution, tobacco smoke, strong odours and cold air.</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Lying supine increases nasal venous congestion and worsens night-time obstruction (the nasal cycle), so elevating the head of the bed can relieve nocturnal symptoms; posture does not influence the underlying disease.</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Indoor relative humidity (%)</w:t>
            </w:r>
          </w:p>
        </w:tc>
        <w:tc>
          <w:tcPr>
            <w:tcW w:type="dxa" w:w="1655"/>
            <w:vAlign w:val="top"/>
          </w:tcPr>
          <w:p>
            <w:pPr>
              <w:spacing w:after="40" w:before="0" w:line="259" w:lineRule="auto"/>
            </w:pPr>
            <w:r>
              <w:rPr>
                <w:rFonts w:ascii="Calibri" w:hAnsi="Calibri"/>
                <w:b w:val="0"/>
                <w:i w:val="0"/>
                <w:color w:val="212121"/>
                <w:sz w:val="19"/>
              </w:rPr>
              <w:t>Dust-mite/mould-sensitive patients</w:t>
            </w:r>
          </w:p>
        </w:tc>
        <w:tc>
          <w:tcPr>
            <w:tcW w:type="dxa" w:w="1512"/>
            <w:vAlign w:val="top"/>
          </w:tcPr>
          <w:p>
            <w:pPr>
              <w:spacing w:after="40" w:before="0" w:line="259" w:lineRule="auto"/>
            </w:pPr>
            <w:r>
              <w:rPr>
                <w:rFonts w:ascii="Calibri" w:hAnsi="Calibri"/>
                <w:b w:val="0"/>
                <w:i w:val="0"/>
                <w:color w:val="212121"/>
                <w:sz w:val="19"/>
              </w:rPr>
              <w:t>&lt; 50% relative humidity</w:t>
            </w:r>
          </w:p>
        </w:tc>
        <w:tc>
          <w:tcPr>
            <w:tcW w:type="dxa" w:w="1512"/>
            <w:vAlign w:val="top"/>
          </w:tcPr>
          <w:p>
            <w:pPr>
              <w:spacing w:after="40" w:before="0" w:line="259" w:lineRule="auto"/>
            </w:pPr>
            <w:r>
              <w:rPr>
                <w:rFonts w:ascii="Calibri" w:hAnsi="Calibri"/>
                <w:b w:val="0"/>
                <w:i w:val="0"/>
                <w:color w:val="212121"/>
                <w:sz w:val="19"/>
              </w:rPr>
              <w:t>&gt; 60% relative humidity</w:t>
            </w:r>
          </w:p>
        </w:tc>
        <w:tc>
          <w:tcPr>
            <w:tcW w:type="dxa" w:w="1468"/>
            <w:vAlign w:val="top"/>
          </w:tcPr>
          <w:p>
            <w:pPr>
              <w:spacing w:after="40" w:before="0" w:line="259" w:lineRule="auto"/>
            </w:pPr>
            <w:r>
              <w:rPr>
                <w:rFonts w:ascii="Calibri" w:hAnsi="Calibri"/>
                <w:b w:val="0"/>
                <w:i w:val="0"/>
                <w:color w:val="212121"/>
                <w:sz w:val="19"/>
              </w:rPr>
              <w:t>Mites and moulds proliferate in humid air; dehumidifying/ventilating reduces allergen load</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Ambient PM2.5 (air quality)</w:t>
            </w:r>
          </w:p>
        </w:tc>
        <w:tc>
          <w:tcPr>
            <w:tcW w:type="dxa" w:w="1655"/>
            <w:vAlign w:val="top"/>
          </w:tcPr>
          <w:p>
            <w:pPr>
              <w:spacing w:after="40" w:before="0" w:line="259" w:lineRule="auto"/>
            </w:pPr>
            <w:r>
              <w:rPr>
                <w:rFonts w:ascii="Calibri" w:hAnsi="Calibri"/>
                <w:b w:val="0"/>
                <w:i w:val="0"/>
                <w:color w:val="212121"/>
                <w:sz w:val="19"/>
              </w:rPr>
              <w:t>Urban residents, children</w:t>
            </w:r>
          </w:p>
        </w:tc>
        <w:tc>
          <w:tcPr>
            <w:tcW w:type="dxa" w:w="1512"/>
            <w:vAlign w:val="top"/>
          </w:tcPr>
          <w:p>
            <w:pPr>
              <w:spacing w:after="40" w:before="0" w:line="259" w:lineRule="auto"/>
            </w:pPr>
            <w:r>
              <w:rPr>
                <w:rFonts w:ascii="Calibri" w:hAnsi="Calibri"/>
                <w:b w:val="0"/>
                <w:i w:val="0"/>
                <w:color w:val="212121"/>
                <w:sz w:val="19"/>
              </w:rPr>
              <w:t>Low (WHO 24-h guideline &lt;= 15 ug/m3)</w:t>
            </w:r>
          </w:p>
        </w:tc>
        <w:tc>
          <w:tcPr>
            <w:tcW w:type="dxa" w:w="1512"/>
            <w:vAlign w:val="top"/>
          </w:tcPr>
          <w:p>
            <w:pPr>
              <w:spacing w:after="40" w:before="0" w:line="259" w:lineRule="auto"/>
            </w:pPr>
            <w:r>
              <w:rPr>
                <w:rFonts w:ascii="Calibri" w:hAnsi="Calibri"/>
                <w:b w:val="0"/>
                <w:i w:val="0"/>
                <w:color w:val="212121"/>
                <w:sz w:val="19"/>
              </w:rPr>
              <w:t>High-pollution days (well above WHO limits)</w:t>
            </w:r>
          </w:p>
        </w:tc>
        <w:tc>
          <w:tcPr>
            <w:tcW w:type="dxa" w:w="1468"/>
            <w:vAlign w:val="top"/>
          </w:tcPr>
          <w:p>
            <w:pPr>
              <w:spacing w:after="60" w:line="259" w:lineRule="auto"/>
            </w:pPr>
            <w:r>
              <w:rPr>
                <w:rFonts w:ascii="Calibri" w:hAnsi="Calibri"/>
                <w:b w:val="0"/>
                <w:i w:val="0"/>
                <w:color w:val="212121"/>
                <w:sz w:val="19"/>
              </w:rPr>
              <w:t>Traffic-related pollution aggravates allergic inflammation; limit outdoor exposure on high-AQI days</w:t>
            </w:r>
          </w:p>
          <w:p>
            <w:pPr>
              <w:spacing w:after="40" w:line="252" w:lineRule="auto"/>
            </w:pPr>
            <w:hyperlink r:id="rId15">
              <w:r>
                <w:rPr>
                  <w:rFonts w:ascii="Calibri" w:hAnsi="Calibri" w:cs="Calibri"/>
                  <w:sz w:val="18"/>
                  <w:color w:val="1155CC"/>
                  <w:u w:val="single"/>
                </w:rPr>
                <w:t xml:space="preserve">https://pmc.ncbi.nlm.nih.gov/articles/PMC10118164/</w:t>
              </w:r>
            </w:hyperlink>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Bedding hot-wash temperature</w:t>
            </w:r>
          </w:p>
        </w:tc>
        <w:tc>
          <w:tcPr>
            <w:tcW w:type="dxa" w:w="1655"/>
            <w:vAlign w:val="top"/>
          </w:tcPr>
          <w:p>
            <w:pPr>
              <w:spacing w:after="40" w:before="0" w:line="259" w:lineRule="auto"/>
            </w:pPr>
            <w:r>
              <w:rPr>
                <w:rFonts w:ascii="Calibri" w:hAnsi="Calibri"/>
                <w:b w:val="0"/>
                <w:i w:val="0"/>
                <w:color w:val="212121"/>
                <w:sz w:val="19"/>
              </w:rPr>
              <w:t>Dust-mite-sensitive patients</w:t>
            </w:r>
          </w:p>
        </w:tc>
        <w:tc>
          <w:tcPr>
            <w:tcW w:type="dxa" w:w="1512"/>
            <w:vAlign w:val="top"/>
          </w:tcPr>
          <w:p>
            <w:pPr>
              <w:spacing w:after="40" w:before="0" w:line="259" w:lineRule="auto"/>
            </w:pPr>
            <w:r>
              <w:rPr>
                <w:rFonts w:ascii="Calibri" w:hAnsi="Calibri"/>
                <w:b w:val="0"/>
                <w:i w:val="0"/>
                <w:color w:val="212121"/>
                <w:sz w:val="19"/>
              </w:rPr>
              <w:t>&gt;= 55-60 C weekly wash</w:t>
            </w:r>
          </w:p>
        </w:tc>
        <w:tc>
          <w:tcPr>
            <w:tcW w:type="dxa" w:w="1512"/>
            <w:vAlign w:val="top"/>
          </w:tcPr>
          <w:p>
            <w:pPr>
              <w:spacing w:after="40" w:before="0" w:line="259" w:lineRule="auto"/>
            </w:pPr>
            <w:r>
              <w:rPr>
                <w:rFonts w:ascii="Calibri" w:hAnsi="Calibri"/>
                <w:b w:val="0"/>
                <w:i w:val="0"/>
                <w:color w:val="212121"/>
                <w:sz w:val="19"/>
              </w:rPr>
              <w:t>Cold/low-temperature washing only</w:t>
            </w:r>
          </w:p>
        </w:tc>
        <w:tc>
          <w:tcPr>
            <w:tcW w:type="dxa" w:w="1468"/>
            <w:vAlign w:val="top"/>
          </w:tcPr>
          <w:p>
            <w:pPr>
              <w:spacing w:after="40" w:before="0" w:line="259" w:lineRule="auto"/>
            </w:pPr>
            <w:r>
              <w:rPr>
                <w:rFonts w:ascii="Calibri" w:hAnsi="Calibri"/>
                <w:b w:val="0"/>
                <w:i w:val="0"/>
                <w:color w:val="212121"/>
                <w:sz w:val="19"/>
              </w:rPr>
              <w:t>Water &gt;= 55 C kills house dust mites; pair with allergen-proof mattress/pillow covers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Nasal saline irrigation (frequency)</w:t>
            </w:r>
          </w:p>
        </w:tc>
        <w:tc>
          <w:tcPr>
            <w:tcW w:type="dxa" w:w="1655"/>
            <w:vAlign w:val="top"/>
          </w:tcPr>
          <w:p>
            <w:pPr>
              <w:spacing w:after="40" w:before="0" w:line="259" w:lineRule="auto"/>
            </w:pPr>
            <w:r>
              <w:rPr>
                <w:rFonts w:ascii="Calibri" w:hAnsi="Calibri"/>
                <w:b w:val="0"/>
                <w:i w:val="0"/>
                <w:color w:val="212121"/>
                <w:sz w:val="19"/>
              </w:rPr>
              <w:t>Persistent rhinitis, all ages</w:t>
            </w:r>
          </w:p>
        </w:tc>
        <w:tc>
          <w:tcPr>
            <w:tcW w:type="dxa" w:w="1512"/>
            <w:vAlign w:val="top"/>
          </w:tcPr>
          <w:p>
            <w:pPr>
              <w:spacing w:after="40" w:before="0" w:line="259" w:lineRule="auto"/>
            </w:pPr>
            <w:r>
              <w:rPr>
                <w:rFonts w:ascii="Calibri" w:hAnsi="Calibri"/>
                <w:b w:val="0"/>
                <w:i w:val="0"/>
                <w:color w:val="212121"/>
                <w:sz w:val="19"/>
              </w:rPr>
              <w:t>Once to twice daily during flares</w:t>
            </w:r>
          </w:p>
        </w:tc>
        <w:tc>
          <w:tcPr>
            <w:tcW w:type="dxa" w:w="1512"/>
            <w:vAlign w:val="top"/>
          </w:tcPr>
          <w:p>
            <w:pPr>
              <w:spacing w:after="40" w:before="0" w:line="259" w:lineRule="auto"/>
            </w:pPr>
            <w:r>
              <w:rPr>
                <w:rFonts w:ascii="Calibri" w:hAnsi="Calibri"/>
                <w:b w:val="0"/>
                <w:i w:val="0"/>
                <w:color w:val="212121"/>
                <w:sz w:val="19"/>
              </w:rPr>
              <w:t>No nasal hygiene</w:t>
            </w:r>
          </w:p>
        </w:tc>
        <w:tc>
          <w:tcPr>
            <w:tcW w:type="dxa" w:w="1468"/>
            <w:vAlign w:val="top"/>
          </w:tcPr>
          <w:p>
            <w:pPr>
              <w:spacing w:after="40" w:before="0" w:line="259" w:lineRule="auto"/>
            </w:pPr>
            <w:r>
              <w:rPr>
                <w:rFonts w:ascii="Calibri" w:hAnsi="Calibri"/>
                <w:b w:val="0"/>
                <w:i w:val="0"/>
                <w:color w:val="212121"/>
                <w:sz w:val="19"/>
              </w:rPr>
              <w:t>Saline flushes allergens and mucus and improves symptoms and mucociliary clearance</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Household tobacco smoke exposure</w:t>
            </w:r>
          </w:p>
        </w:tc>
        <w:tc>
          <w:tcPr>
            <w:tcW w:type="dxa" w:w="1655"/>
            <w:vAlign w:val="top"/>
          </w:tcPr>
          <w:p>
            <w:pPr>
              <w:spacing w:after="40" w:before="0" w:line="259" w:lineRule="auto"/>
            </w:pPr>
            <w:r>
              <w:rPr>
                <w:rFonts w:ascii="Calibri" w:hAnsi="Calibri"/>
                <w:b w:val="0"/>
                <w:i w:val="0"/>
                <w:color w:val="212121"/>
                <w:sz w:val="19"/>
              </w:rPr>
              <w:t>Children, adolescents, adults</w:t>
            </w:r>
          </w:p>
        </w:tc>
        <w:tc>
          <w:tcPr>
            <w:tcW w:type="dxa" w:w="1512"/>
            <w:vAlign w:val="top"/>
          </w:tcPr>
          <w:p>
            <w:pPr>
              <w:spacing w:after="40" w:before="0" w:line="259" w:lineRule="auto"/>
            </w:pPr>
            <w:r>
              <w:rPr>
                <w:rFonts w:ascii="Calibri" w:hAnsi="Calibri"/>
                <w:b w:val="0"/>
                <w:i w:val="0"/>
                <w:color w:val="212121"/>
                <w:sz w:val="19"/>
              </w:rPr>
              <w:t>Zero (smoke-free home)</w:t>
            </w:r>
          </w:p>
        </w:tc>
        <w:tc>
          <w:tcPr>
            <w:tcW w:type="dxa" w:w="1512"/>
            <w:vAlign w:val="top"/>
          </w:tcPr>
          <w:p>
            <w:pPr>
              <w:spacing w:after="40" w:before="0" w:line="259" w:lineRule="auto"/>
            </w:pPr>
            <w:r>
              <w:rPr>
                <w:rFonts w:ascii="Calibri" w:hAnsi="Calibri"/>
                <w:b w:val="0"/>
                <w:i w:val="0"/>
                <w:color w:val="212121"/>
                <w:sz w:val="19"/>
              </w:rPr>
              <w:t>Any active or passive smoke exposure</w:t>
            </w:r>
          </w:p>
        </w:tc>
        <w:tc>
          <w:tcPr>
            <w:tcW w:type="dxa" w:w="1468"/>
            <w:vAlign w:val="top"/>
          </w:tcPr>
          <w:p>
            <w:pPr>
              <w:spacing w:after="60" w:line="259" w:lineRule="auto"/>
            </w:pPr>
            <w:r>
              <w:rPr>
                <w:rFonts w:ascii="Calibri" w:hAnsi="Calibri"/>
                <w:b w:val="0"/>
                <w:i w:val="0"/>
                <w:color w:val="212121"/>
                <w:sz w:val="19"/>
              </w:rPr>
              <w:t>Passive smoke raises childhood rhinitis risk (RR 1.09) and worsens symptoms</w:t>
            </w:r>
          </w:p>
          <w:p>
            <w:pPr>
              <w:spacing w:after="40" w:line="252" w:lineRule="auto"/>
            </w:pPr>
            <w:hyperlink r:id="rId14">
              <w:r>
                <w:rPr>
                  <w:rFonts w:ascii="Calibri" w:hAnsi="Calibri" w:cs="Calibri"/>
                  <w:sz w:val="18"/>
                  <w:color w:val="1155CC"/>
                  <w:u w:val="single"/>
                </w:rPr>
                <w:t xml:space="preserve">https://journals.plos.org/plosmedicine/article?id=10.1371%2Fjournal.pmed.1001611</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(kg/m2, Asian-Indian)</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18.0-22.9 kg/m2</w:t>
            </w:r>
          </w:p>
        </w:tc>
        <w:tc>
          <w:tcPr>
            <w:tcW w:type="dxa" w:w="1512"/>
            <w:vAlign w:val="top"/>
          </w:tcPr>
          <w:p>
            <w:pPr>
              <w:spacing w:after="40" w:before="0" w:line="259" w:lineRule="auto"/>
            </w:pPr>
            <w:r>
              <w:rPr>
                <w:rFonts w:ascii="Calibri" w:hAnsi="Calibri"/>
                <w:b w:val="0"/>
                <w:i w:val="0"/>
                <w:color w:val="212121"/>
                <w:sz w:val="19"/>
              </w:rPr>
              <w:t>&gt;= 25 (obese, Asian-Indian cut-off)</w:t>
            </w:r>
          </w:p>
        </w:tc>
        <w:tc>
          <w:tcPr>
            <w:tcW w:type="dxa" w:w="1468"/>
            <w:vAlign w:val="top"/>
          </w:tcPr>
          <w:p>
            <w:pPr>
              <w:spacing w:after="40" w:before="0" w:line="259" w:lineRule="auto"/>
            </w:pPr>
            <w:r>
              <w:rPr>
                <w:rFonts w:ascii="Calibri" w:hAnsi="Calibri"/>
                <w:b w:val="0"/>
                <w:i w:val="0"/>
                <w:color w:val="212121"/>
                <w:sz w:val="19"/>
              </w:rPr>
              <w:t>Obesity-related inflammation is associated with more rhinitis and poorer asthma control</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 and children</w:t>
            </w:r>
          </w:p>
        </w:tc>
        <w:tc>
          <w:tcPr>
            <w:tcW w:type="dxa" w:w="1512"/>
            <w:vAlign w:val="top"/>
          </w:tcPr>
          <w:p>
            <w:pPr>
              <w:spacing w:after="40" w:before="0" w:line="259" w:lineRule="auto"/>
            </w:pPr>
            <w:r>
              <w:rPr>
                <w:rFonts w:ascii="Calibri" w:hAnsi="Calibri"/>
                <w:b w:val="0"/>
                <w:i w:val="0"/>
                <w:color w:val="212121"/>
                <w:sz w:val="19"/>
              </w:rPr>
              <w:t>7-9 hours (adults); more for children</w:t>
            </w:r>
          </w:p>
        </w:tc>
        <w:tc>
          <w:tcPr>
            <w:tcW w:type="dxa" w:w="1512"/>
            <w:vAlign w:val="top"/>
          </w:tcPr>
          <w:p>
            <w:pPr>
              <w:spacing w:after="40" w:before="0" w:line="259" w:lineRule="auto"/>
            </w:pPr>
            <w:r>
              <w:rPr>
                <w:rFonts w:ascii="Calibri" w:hAnsi="Calibri"/>
                <w:b w:val="0"/>
                <w:i w:val="0"/>
                <w:color w:val="212121"/>
                <w:sz w:val="19"/>
              </w:rPr>
              <w:t>&lt; 6 hours or frequent night waking</w:t>
            </w:r>
          </w:p>
        </w:tc>
        <w:tc>
          <w:tcPr>
            <w:tcW w:type="dxa" w:w="1468"/>
            <w:vAlign w:val="top"/>
          </w:tcPr>
          <w:p>
            <w:pPr>
              <w:spacing w:after="40" w:before="0" w:line="259" w:lineRule="auto"/>
            </w:pPr>
            <w:r>
              <w:rPr>
                <w:rFonts w:ascii="Calibri" w:hAnsi="Calibri"/>
                <w:b w:val="0"/>
                <w:i w:val="0"/>
                <w:color w:val="212121"/>
                <w:sz w:val="19"/>
              </w:rPr>
              <w:t>Nasal obstruction fragments sleep; treating congestion restores sleep quality</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Visible indoor mould / damp</w:t>
            </w:r>
          </w:p>
        </w:tc>
        <w:tc>
          <w:tcPr>
            <w:tcW w:type="dxa" w:w="1655"/>
            <w:vAlign w:val="top"/>
          </w:tcPr>
          <w:p>
            <w:pPr>
              <w:spacing w:after="40" w:before="0" w:line="259" w:lineRule="auto"/>
            </w:pPr>
            <w:r>
              <w:rPr>
                <w:rFonts w:ascii="Calibri" w:hAnsi="Calibri"/>
                <w:b w:val="0"/>
                <w:i w:val="0"/>
                <w:color w:val="212121"/>
                <w:sz w:val="19"/>
              </w:rPr>
              <w:t>Mould-sensitive patients</w:t>
            </w:r>
          </w:p>
        </w:tc>
        <w:tc>
          <w:tcPr>
            <w:tcW w:type="dxa" w:w="1512"/>
            <w:vAlign w:val="top"/>
          </w:tcPr>
          <w:p>
            <w:pPr>
              <w:spacing w:after="40" w:before="0" w:line="259" w:lineRule="auto"/>
            </w:pPr>
            <w:r>
              <w:rPr>
                <w:rFonts w:ascii="Calibri" w:hAnsi="Calibri"/>
                <w:b w:val="0"/>
                <w:i w:val="0"/>
                <w:color w:val="212121"/>
                <w:sz w:val="19"/>
              </w:rPr>
              <w:t>None (dry, well-ventilated home)</w:t>
            </w:r>
          </w:p>
        </w:tc>
        <w:tc>
          <w:tcPr>
            <w:tcW w:type="dxa" w:w="1512"/>
            <w:vAlign w:val="top"/>
          </w:tcPr>
          <w:p>
            <w:pPr>
              <w:spacing w:after="40" w:before="0" w:line="259" w:lineRule="auto"/>
            </w:pPr>
            <w:r>
              <w:rPr>
                <w:rFonts w:ascii="Calibri" w:hAnsi="Calibri"/>
                <w:b w:val="0"/>
                <w:i w:val="0"/>
                <w:color w:val="212121"/>
                <w:sz w:val="19"/>
              </w:rPr>
              <w:t>Visible mould or persistent damp patches</w:t>
            </w:r>
          </w:p>
        </w:tc>
        <w:tc>
          <w:tcPr>
            <w:tcW w:type="dxa" w:w="1468"/>
            <w:vAlign w:val="top"/>
          </w:tcPr>
          <w:p>
            <w:pPr>
              <w:spacing w:after="40" w:before="0" w:line="259" w:lineRule="auto"/>
            </w:pPr>
            <w:r>
              <w:rPr>
                <w:rFonts w:ascii="Calibri" w:hAnsi="Calibri"/>
                <w:b w:val="0"/>
                <w:i w:val="0"/>
                <w:color w:val="212121"/>
                <w:sz w:val="19"/>
              </w:rPr>
              <w:t>Remove mould and fix leaks; Alternaria/Aspergillus are perennial triggers</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Allergy testing</w:t>
            </w:r>
          </w:p>
        </w:tc>
        <w:tc>
          <w:tcPr>
            <w:tcW w:type="dxa" w:w="1036"/>
            <w:vAlign w:val="top"/>
          </w:tcPr>
          <w:p>
            <w:pPr>
              <w:spacing w:after="40" w:before="0" w:line="259" w:lineRule="auto"/>
            </w:pPr>
            <w:r>
              <w:rPr>
                <w:rFonts w:ascii="Calibri" w:hAnsi="Calibri"/>
                <w:b w:val="0"/>
                <w:i w:val="0"/>
                <w:color w:val="212121"/>
                <w:sz w:val="16"/>
              </w:rPr>
              <w:t>Skin Prick Test (wheal size)</w:t>
            </w:r>
          </w:p>
        </w:tc>
        <w:tc>
          <w:tcPr>
            <w:tcW w:type="dxa" w:w="892"/>
            <w:vAlign w:val="top"/>
          </w:tcPr>
          <w:p>
            <w:pPr>
              <w:spacing w:after="40" w:before="0" w:line="259" w:lineRule="auto"/>
            </w:pPr>
            <w:r>
              <w:rPr>
                <w:rFonts w:ascii="Calibri" w:hAnsi="Calibri"/>
                <w:b w:val="0"/>
                <w:i w:val="0"/>
                <w:color w:val="212121"/>
                <w:sz w:val="16"/>
              </w:rPr>
              <w:t>Aeroallergen panel SPT</w:t>
            </w:r>
          </w:p>
        </w:tc>
        <w:tc>
          <w:tcPr>
            <w:tcW w:type="dxa" w:w="950"/>
            <w:vAlign w:val="top"/>
          </w:tcPr>
          <w:p>
            <w:pPr>
              <w:spacing w:after="40" w:before="0" w:line="259" w:lineRule="auto"/>
            </w:pPr>
            <w:r>
              <w:rPr>
                <w:rFonts w:ascii="Calibri" w:hAnsi="Calibri"/>
                <w:b w:val="0"/>
                <w:i w:val="0"/>
                <w:color w:val="212121"/>
                <w:sz w:val="16"/>
              </w:rPr>
              <w:t>Wheal &lt; 3 mm larger than negative control</w:t>
            </w:r>
          </w:p>
        </w:tc>
        <w:tc>
          <w:tcPr>
            <w:tcW w:type="dxa" w:w="950"/>
            <w:vAlign w:val="top"/>
          </w:tcPr>
          <w:p>
            <w:pPr>
              <w:spacing w:after="40" w:before="0" w:line="259" w:lineRule="auto"/>
            </w:pPr>
            <w:r>
              <w:rPr>
                <w:rFonts w:ascii="Calibri" w:hAnsi="Calibri"/>
                <w:b w:val="0"/>
                <w:i w:val="0"/>
                <w:color w:val="212121"/>
                <w:sz w:val="16"/>
              </w:rPr>
              <w:t>Wheal &gt;= 3 mm larger than negative control at 15-20 min</w:t>
            </w:r>
          </w:p>
        </w:tc>
        <w:tc>
          <w:tcPr>
            <w:tcW w:type="dxa" w:w="1036"/>
            <w:vAlign w:val="top"/>
          </w:tcPr>
          <w:p>
            <w:pPr>
              <w:spacing w:after="40" w:before="0" w:line="259" w:lineRule="auto"/>
            </w:pPr>
            <w:r>
              <w:rPr>
                <w:rFonts w:ascii="Calibri" w:hAnsi="Calibri"/>
                <w:b w:val="0"/>
                <w:i w:val="0"/>
                <w:color w:val="212121"/>
                <w:sz w:val="16"/>
              </w:rPr>
              <w:t>Confirms IgE sensitisation to the tested allergen; primary confirmatory test</w:t>
            </w:r>
          </w:p>
        </w:tc>
        <w:tc>
          <w:tcPr>
            <w:tcW w:type="dxa" w:w="1036"/>
            <w:vAlign w:val="top"/>
          </w:tcPr>
          <w:p>
            <w:pPr>
              <w:spacing w:after="40" w:before="0" w:line="259" w:lineRule="auto"/>
            </w:pPr>
            <w:r>
              <w:rPr>
                <w:rFonts w:ascii="Calibri" w:hAnsi="Calibri"/>
                <w:b w:val="0"/>
                <w:i w:val="0"/>
                <w:color w:val="212121"/>
                <w:sz w:val="16"/>
              </w:rPr>
              <w:t>Patients with typical rhinitis, before immunotherapy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Stop antihistamines 3-7 days before; avoid on extensive eczema/dermographism</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Allergen-specific IgE (sIgE)</w:t>
            </w:r>
          </w:p>
        </w:tc>
        <w:tc>
          <w:tcPr>
            <w:tcW w:type="dxa" w:w="892"/>
            <w:vAlign w:val="top"/>
          </w:tcPr>
          <w:p>
            <w:pPr>
              <w:spacing w:after="40" w:before="0" w:line="259" w:lineRule="auto"/>
            </w:pPr>
            <w:r>
              <w:rPr>
                <w:rFonts w:ascii="Calibri" w:hAnsi="Calibri"/>
                <w:b w:val="0"/>
                <w:i w:val="0"/>
                <w:color w:val="212121"/>
                <w:sz w:val="16"/>
              </w:rPr>
              <w:t>Serum specific IgE (ImmunoCAP)</w:t>
            </w:r>
          </w:p>
        </w:tc>
        <w:tc>
          <w:tcPr>
            <w:tcW w:type="dxa" w:w="950"/>
            <w:vAlign w:val="top"/>
          </w:tcPr>
          <w:p>
            <w:pPr>
              <w:spacing w:after="40" w:before="0" w:line="259" w:lineRule="auto"/>
            </w:pPr>
            <w:r>
              <w:rPr>
                <w:rFonts w:ascii="Calibri" w:hAnsi="Calibri"/>
                <w:b w:val="0"/>
                <w:i w:val="0"/>
                <w:color w:val="212121"/>
                <w:sz w:val="16"/>
              </w:rPr>
              <w:t>&lt; 0.35 kUA/L</w:t>
            </w:r>
          </w:p>
        </w:tc>
        <w:tc>
          <w:tcPr>
            <w:tcW w:type="dxa" w:w="950"/>
            <w:vAlign w:val="top"/>
          </w:tcPr>
          <w:p>
            <w:pPr>
              <w:spacing w:after="40" w:before="0" w:line="259" w:lineRule="auto"/>
            </w:pPr>
            <w:r>
              <w:rPr>
                <w:rFonts w:ascii="Calibri" w:hAnsi="Calibri"/>
                <w:b w:val="0"/>
                <w:i w:val="0"/>
                <w:color w:val="212121"/>
                <w:sz w:val="16"/>
              </w:rPr>
              <w:t>&gt;= 0.35 kUA/L (rising with class 1-6)</w:t>
            </w:r>
          </w:p>
        </w:tc>
        <w:tc>
          <w:tcPr>
            <w:tcW w:type="dxa" w:w="1036"/>
            <w:vAlign w:val="top"/>
          </w:tcPr>
          <w:p>
            <w:pPr>
              <w:spacing w:after="40" w:before="0" w:line="259" w:lineRule="auto"/>
            </w:pPr>
            <w:r>
              <w:rPr>
                <w:rFonts w:ascii="Calibri" w:hAnsi="Calibri"/>
                <w:b w:val="0"/>
                <w:i w:val="0"/>
                <w:color w:val="212121"/>
                <w:sz w:val="16"/>
              </w:rPr>
              <w:t>Demonstrates sensitisation when SPT not feasible; identifies culprit allergen</w:t>
            </w:r>
          </w:p>
        </w:tc>
        <w:tc>
          <w:tcPr>
            <w:tcW w:type="dxa" w:w="1036"/>
            <w:vAlign w:val="top"/>
          </w:tcPr>
          <w:p>
            <w:pPr>
              <w:spacing w:after="40" w:before="0" w:line="259" w:lineRule="auto"/>
            </w:pPr>
            <w:r>
              <w:rPr>
                <w:rFonts w:ascii="Calibri" w:hAnsi="Calibri"/>
                <w:b w:val="0"/>
                <w:i w:val="0"/>
                <w:color w:val="212121"/>
                <w:sz w:val="16"/>
              </w:rPr>
              <w:t>Patients on antihistamines, severe eczema, uncontrolled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Not affected by antihistamines; correlate with clinical history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Total serum IgE</w:t>
            </w:r>
          </w:p>
        </w:tc>
        <w:tc>
          <w:tcPr>
            <w:tcW w:type="dxa" w:w="892"/>
            <w:vAlign w:val="top"/>
          </w:tcPr>
          <w:p>
            <w:pPr>
              <w:spacing w:after="40" w:before="0" w:line="259" w:lineRule="auto"/>
            </w:pPr>
            <w:r>
              <w:rPr>
                <w:rFonts w:ascii="Calibri" w:hAnsi="Calibri"/>
                <w:b w:val="0"/>
                <w:i w:val="0"/>
                <w:color w:val="212121"/>
                <w:sz w:val="16"/>
              </w:rPr>
              <w:t>Serum IgE assay</w:t>
            </w:r>
          </w:p>
        </w:tc>
        <w:tc>
          <w:tcPr>
            <w:tcW w:type="dxa" w:w="950"/>
            <w:vAlign w:val="top"/>
          </w:tcPr>
          <w:p>
            <w:pPr>
              <w:spacing w:after="40" w:before="0" w:line="259" w:lineRule="auto"/>
            </w:pPr>
            <w:r>
              <w:rPr>
                <w:rFonts w:ascii="Calibri" w:hAnsi="Calibri"/>
                <w:b w:val="0"/>
                <w:i w:val="0"/>
                <w:color w:val="212121"/>
                <w:sz w:val="16"/>
              </w:rPr>
              <w:t>Age-dependent (adults broadly &lt; 100 IU/mL)</w:t>
            </w:r>
          </w:p>
        </w:tc>
        <w:tc>
          <w:tcPr>
            <w:tcW w:type="dxa" w:w="950"/>
            <w:vAlign w:val="top"/>
          </w:tcPr>
          <w:p>
            <w:pPr>
              <w:spacing w:after="40" w:before="0" w:line="259" w:lineRule="auto"/>
            </w:pPr>
            <w:r>
              <w:rPr>
                <w:rFonts w:ascii="Calibri" w:hAnsi="Calibri"/>
                <w:b w:val="0"/>
                <w:i w:val="0"/>
                <w:color w:val="212121"/>
                <w:sz w:val="16"/>
              </w:rPr>
              <w:t>Elevated for age</w:t>
            </w:r>
          </w:p>
        </w:tc>
        <w:tc>
          <w:tcPr>
            <w:tcW w:type="dxa" w:w="1036"/>
            <w:vAlign w:val="top"/>
          </w:tcPr>
          <w:p>
            <w:pPr>
              <w:spacing w:after="40" w:before="0" w:line="259" w:lineRule="auto"/>
            </w:pPr>
            <w:r>
              <w:rPr>
                <w:rFonts w:ascii="Calibri" w:hAnsi="Calibri"/>
                <w:b w:val="0"/>
                <w:i w:val="0"/>
                <w:color w:val="212121"/>
                <w:sz w:val="16"/>
              </w:rPr>
              <w:t>Supports an atopic tendency but is neither sensitive nor specific</w:t>
            </w:r>
          </w:p>
        </w:tc>
        <w:tc>
          <w:tcPr>
            <w:tcW w:type="dxa" w:w="1036"/>
            <w:vAlign w:val="top"/>
          </w:tcPr>
          <w:p>
            <w:pPr>
              <w:spacing w:after="40" w:before="0" w:line="259" w:lineRule="auto"/>
            </w:pPr>
            <w:r>
              <w:rPr>
                <w:rFonts w:ascii="Calibri" w:hAnsi="Calibri"/>
                <w:b w:val="0"/>
                <w:i w:val="0"/>
                <w:color w:val="212121"/>
                <w:sz w:val="16"/>
              </w:rPr>
              <w:t>Atopic patients, suspected allergic march</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Also raised in parasitic infestation and other conditions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Absolute Eosinophil Count (AEC)</w:t>
            </w:r>
          </w:p>
        </w:tc>
        <w:tc>
          <w:tcPr>
            <w:tcW w:type="dxa" w:w="892"/>
            <w:vAlign w:val="top"/>
          </w:tcPr>
          <w:p>
            <w:pPr>
              <w:spacing w:after="40" w:before="0" w:line="259" w:lineRule="auto"/>
            </w:pPr>
            <w:r>
              <w:rPr>
                <w:rFonts w:ascii="Calibri" w:hAnsi="Calibri"/>
                <w:b w:val="0"/>
                <w:i w:val="0"/>
                <w:color w:val="212121"/>
                <w:sz w:val="16"/>
              </w:rPr>
              <w:t>Complete blood count with AEC</w:t>
            </w:r>
          </w:p>
        </w:tc>
        <w:tc>
          <w:tcPr>
            <w:tcW w:type="dxa" w:w="950"/>
            <w:vAlign w:val="top"/>
          </w:tcPr>
          <w:p>
            <w:pPr>
              <w:spacing w:after="40" w:before="0" w:line="259" w:lineRule="auto"/>
            </w:pPr>
            <w:r>
              <w:rPr>
                <w:rFonts w:ascii="Calibri" w:hAnsi="Calibri"/>
                <w:b w:val="0"/>
                <w:i w:val="0"/>
                <w:color w:val="212121"/>
                <w:sz w:val="16"/>
              </w:rPr>
              <w:t>&lt; 500 cells/uL</w:t>
            </w:r>
          </w:p>
        </w:tc>
        <w:tc>
          <w:tcPr>
            <w:tcW w:type="dxa" w:w="950"/>
            <w:vAlign w:val="top"/>
          </w:tcPr>
          <w:p>
            <w:pPr>
              <w:spacing w:after="40" w:before="0" w:line="259" w:lineRule="auto"/>
            </w:pPr>
            <w:r>
              <w:rPr>
                <w:rFonts w:ascii="Calibri" w:hAnsi="Calibri"/>
                <w:b w:val="0"/>
                <w:i w:val="0"/>
                <w:color w:val="212121"/>
                <w:sz w:val="16"/>
              </w:rPr>
              <w:t>&gt;= 500 cells/uL</w:t>
            </w:r>
          </w:p>
        </w:tc>
        <w:tc>
          <w:tcPr>
            <w:tcW w:type="dxa" w:w="1036"/>
            <w:vAlign w:val="top"/>
          </w:tcPr>
          <w:p>
            <w:pPr>
              <w:spacing w:after="40" w:before="0" w:line="259" w:lineRule="auto"/>
            </w:pPr>
            <w:r>
              <w:rPr>
                <w:rFonts w:ascii="Calibri" w:hAnsi="Calibri"/>
                <w:b w:val="0"/>
                <w:i w:val="0"/>
                <w:color w:val="212121"/>
                <w:sz w:val="16"/>
              </w:rPr>
              <w:t>Peripheral eosinophilia supports allergic inflammation</w:t>
            </w:r>
          </w:p>
        </w:tc>
        <w:tc>
          <w:tcPr>
            <w:tcW w:type="dxa" w:w="1036"/>
            <w:vAlign w:val="top"/>
          </w:tcPr>
          <w:p>
            <w:pPr>
              <w:spacing w:after="40" w:before="0" w:line="259" w:lineRule="auto"/>
            </w:pPr>
            <w:r>
              <w:rPr>
                <w:rFonts w:ascii="Calibri" w:hAnsi="Calibri"/>
                <w:b w:val="0"/>
                <w:i w:val="0"/>
                <w:color w:val="212121"/>
                <w:sz w:val="16"/>
              </w:rPr>
              <w:t>Atopic patients, coexisting asthma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Non-specific; consider parasites if markedly high</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Cytology</w:t>
            </w:r>
          </w:p>
        </w:tc>
        <w:tc>
          <w:tcPr>
            <w:tcW w:type="dxa" w:w="1036"/>
            <w:vAlign w:val="top"/>
          </w:tcPr>
          <w:p>
            <w:pPr>
              <w:spacing w:after="40" w:before="0" w:line="259" w:lineRule="auto"/>
            </w:pPr>
            <w:r>
              <w:rPr>
                <w:rFonts w:ascii="Calibri" w:hAnsi="Calibri"/>
                <w:b w:val="0"/>
                <w:i w:val="0"/>
                <w:color w:val="212121"/>
                <w:sz w:val="16"/>
              </w:rPr>
              <w:t>Nasal smear eosinophils</w:t>
            </w:r>
          </w:p>
        </w:tc>
        <w:tc>
          <w:tcPr>
            <w:tcW w:type="dxa" w:w="892"/>
            <w:vAlign w:val="top"/>
          </w:tcPr>
          <w:p>
            <w:pPr>
              <w:spacing w:after="40" w:before="0" w:line="259" w:lineRule="auto"/>
            </w:pPr>
            <w:r>
              <w:rPr>
                <w:rFonts w:ascii="Calibri" w:hAnsi="Calibri"/>
                <w:b w:val="0"/>
                <w:i w:val="0"/>
                <w:color w:val="212121"/>
                <w:sz w:val="16"/>
              </w:rPr>
              <w:t>Nasal cytology (smear)</w:t>
            </w:r>
          </w:p>
        </w:tc>
        <w:tc>
          <w:tcPr>
            <w:tcW w:type="dxa" w:w="950"/>
            <w:vAlign w:val="top"/>
          </w:tcPr>
          <w:p>
            <w:pPr>
              <w:spacing w:after="40" w:before="0" w:line="259" w:lineRule="auto"/>
            </w:pPr>
            <w:r>
              <w:rPr>
                <w:rFonts w:ascii="Calibri" w:hAnsi="Calibri"/>
                <w:b w:val="0"/>
                <w:i w:val="0"/>
                <w:color w:val="212121"/>
                <w:sz w:val="16"/>
              </w:rPr>
              <w:t>Few/absent eosinophils</w:t>
            </w:r>
          </w:p>
        </w:tc>
        <w:tc>
          <w:tcPr>
            <w:tcW w:type="dxa" w:w="950"/>
            <w:vAlign w:val="top"/>
          </w:tcPr>
          <w:p>
            <w:pPr>
              <w:spacing w:after="40" w:before="0" w:line="259" w:lineRule="auto"/>
            </w:pPr>
            <w:r>
              <w:rPr>
                <w:rFonts w:ascii="Calibri" w:hAnsi="Calibri"/>
                <w:b w:val="0"/>
                <w:i w:val="0"/>
                <w:color w:val="212121"/>
                <w:sz w:val="16"/>
              </w:rPr>
              <w:t>&gt; 10% eosinophils</w:t>
            </w:r>
          </w:p>
        </w:tc>
        <w:tc>
          <w:tcPr>
            <w:tcW w:type="dxa" w:w="1036"/>
            <w:vAlign w:val="top"/>
          </w:tcPr>
          <w:p>
            <w:pPr>
              <w:spacing w:after="40" w:before="0" w:line="259" w:lineRule="auto"/>
            </w:pPr>
            <w:r>
              <w:rPr>
                <w:rFonts w:ascii="Calibri" w:hAnsi="Calibri"/>
                <w:b w:val="0"/>
                <w:i w:val="0"/>
                <w:color w:val="212121"/>
                <w:sz w:val="16"/>
              </w:rPr>
              <w:t>Eosinophil predominance favours allergic over infective rhinitis</w:t>
            </w:r>
          </w:p>
        </w:tc>
        <w:tc>
          <w:tcPr>
            <w:tcW w:type="dxa" w:w="1036"/>
            <w:vAlign w:val="top"/>
          </w:tcPr>
          <w:p>
            <w:pPr>
              <w:spacing w:after="40" w:before="0" w:line="259" w:lineRule="auto"/>
            </w:pPr>
            <w:r>
              <w:rPr>
                <w:rFonts w:ascii="Calibri" w:hAnsi="Calibri"/>
                <w:b w:val="0"/>
                <w:i w:val="0"/>
                <w:color w:val="212121"/>
                <w:sz w:val="16"/>
              </w:rPr>
              <w:t>Diagnostic uncertainty, NARES differential</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Simple, inexpensive bedside adjunct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Pulmonary function</w:t>
            </w:r>
          </w:p>
        </w:tc>
        <w:tc>
          <w:tcPr>
            <w:tcW w:type="dxa" w:w="1036"/>
            <w:vAlign w:val="top"/>
          </w:tcPr>
          <w:p>
            <w:pPr>
              <w:spacing w:after="40" w:before="0" w:line="259" w:lineRule="auto"/>
            </w:pPr>
            <w:r>
              <w:rPr>
                <w:rFonts w:ascii="Calibri" w:hAnsi="Calibri"/>
                <w:b w:val="0"/>
                <w:i w:val="0"/>
                <w:color w:val="212121"/>
                <w:sz w:val="16"/>
              </w:rPr>
              <w:t>Spirometry (FEV1/FVC)</w:t>
            </w:r>
          </w:p>
        </w:tc>
        <w:tc>
          <w:tcPr>
            <w:tcW w:type="dxa" w:w="892"/>
            <w:vAlign w:val="top"/>
          </w:tcPr>
          <w:p>
            <w:pPr>
              <w:spacing w:after="40" w:before="0" w:line="259" w:lineRule="auto"/>
            </w:pPr>
            <w:r>
              <w:rPr>
                <w:rFonts w:ascii="Calibri" w:hAnsi="Calibri"/>
                <w:b w:val="0"/>
                <w:i w:val="0"/>
                <w:color w:val="212121"/>
                <w:sz w:val="16"/>
              </w:rPr>
              <w:t>Spirometry +/- reversibility</w:t>
            </w:r>
          </w:p>
        </w:tc>
        <w:tc>
          <w:tcPr>
            <w:tcW w:type="dxa" w:w="950"/>
            <w:vAlign w:val="top"/>
          </w:tcPr>
          <w:p>
            <w:pPr>
              <w:spacing w:after="40" w:before="0" w:line="259" w:lineRule="auto"/>
            </w:pPr>
            <w:r>
              <w:rPr>
                <w:rFonts w:ascii="Calibri" w:hAnsi="Calibri"/>
                <w:b w:val="0"/>
                <w:i w:val="0"/>
                <w:color w:val="212121"/>
                <w:sz w:val="16"/>
              </w:rPr>
              <w:t>FEV1/FVC &gt;= 0.70; no reversibility</w:t>
            </w:r>
          </w:p>
        </w:tc>
        <w:tc>
          <w:tcPr>
            <w:tcW w:type="dxa" w:w="950"/>
            <w:vAlign w:val="top"/>
          </w:tcPr>
          <w:p>
            <w:pPr>
              <w:spacing w:after="40" w:before="0" w:line="259" w:lineRule="auto"/>
            </w:pPr>
            <w:r>
              <w:rPr>
                <w:rFonts w:ascii="Calibri" w:hAnsi="Calibri"/>
                <w:b w:val="0"/>
                <w:i w:val="0"/>
                <w:color w:val="212121"/>
                <w:sz w:val="16"/>
              </w:rPr>
              <w:t>Obstruction with bronchodilator reversibility</w:t>
            </w:r>
          </w:p>
        </w:tc>
        <w:tc>
          <w:tcPr>
            <w:tcW w:type="dxa" w:w="1036"/>
            <w:vAlign w:val="top"/>
          </w:tcPr>
          <w:p>
            <w:pPr>
              <w:spacing w:after="40" w:before="0" w:line="259" w:lineRule="auto"/>
            </w:pPr>
            <w:r>
              <w:rPr>
                <w:rFonts w:ascii="Calibri" w:hAnsi="Calibri"/>
                <w:b w:val="0"/>
                <w:i w:val="0"/>
                <w:color w:val="212121"/>
                <w:sz w:val="16"/>
              </w:rPr>
              <w:t>Screens for coexisting asthma (united airway disease)</w:t>
            </w:r>
          </w:p>
        </w:tc>
        <w:tc>
          <w:tcPr>
            <w:tcW w:type="dxa" w:w="1036"/>
            <w:vAlign w:val="top"/>
          </w:tcPr>
          <w:p>
            <w:pPr>
              <w:spacing w:after="40" w:before="0" w:line="259" w:lineRule="auto"/>
            </w:pPr>
            <w:r>
              <w:rPr>
                <w:rFonts w:ascii="Calibri" w:hAnsi="Calibri"/>
                <w:b w:val="0"/>
                <w:i w:val="0"/>
                <w:color w:val="212121"/>
                <w:sz w:val="16"/>
              </w:rPr>
              <w:t>Rhinitis with cough/wheeze/breathlessness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Consider in all moderate-severe or persistent rhinitis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CT paranasal sinuses</w:t>
            </w:r>
          </w:p>
        </w:tc>
        <w:tc>
          <w:tcPr>
            <w:tcW w:type="dxa" w:w="892"/>
            <w:vAlign w:val="top"/>
          </w:tcPr>
          <w:p>
            <w:pPr>
              <w:spacing w:after="40" w:before="0" w:line="259" w:lineRule="auto"/>
            </w:pPr>
            <w:r>
              <w:rPr>
                <w:rFonts w:ascii="Calibri" w:hAnsi="Calibri"/>
                <w:b w:val="0"/>
                <w:i w:val="0"/>
                <w:color w:val="212121"/>
                <w:sz w:val="16"/>
              </w:rPr>
              <w:t>CT PNS</w:t>
            </w:r>
          </w:p>
        </w:tc>
        <w:tc>
          <w:tcPr>
            <w:tcW w:type="dxa" w:w="950"/>
            <w:vAlign w:val="top"/>
          </w:tcPr>
          <w:p>
            <w:pPr>
              <w:spacing w:after="40" w:before="0" w:line="259" w:lineRule="auto"/>
            </w:pPr>
            <w:r>
              <w:rPr>
                <w:rFonts w:ascii="Calibri" w:hAnsi="Calibri"/>
                <w:b w:val="0"/>
                <w:i w:val="0"/>
                <w:color w:val="212121"/>
                <w:sz w:val="16"/>
              </w:rPr>
              <w:t>Clear, well-aerated sinuses</w:t>
            </w:r>
          </w:p>
        </w:tc>
        <w:tc>
          <w:tcPr>
            <w:tcW w:type="dxa" w:w="950"/>
            <w:vAlign w:val="top"/>
          </w:tcPr>
          <w:p>
            <w:pPr>
              <w:spacing w:after="40" w:before="0" w:line="259" w:lineRule="auto"/>
            </w:pPr>
            <w:r>
              <w:rPr>
                <w:rFonts w:ascii="Calibri" w:hAnsi="Calibri"/>
                <w:b w:val="0"/>
                <w:i w:val="0"/>
                <w:color w:val="212121"/>
                <w:sz w:val="16"/>
              </w:rPr>
              <w:t>Mucosal thickening, opacification, polyps</w:t>
            </w:r>
          </w:p>
        </w:tc>
        <w:tc>
          <w:tcPr>
            <w:tcW w:type="dxa" w:w="1036"/>
            <w:vAlign w:val="top"/>
          </w:tcPr>
          <w:p>
            <w:pPr>
              <w:spacing w:after="40" w:before="0" w:line="259" w:lineRule="auto"/>
            </w:pPr>
            <w:r>
              <w:rPr>
                <w:rFonts w:ascii="Calibri" w:hAnsi="Calibri"/>
                <w:b w:val="0"/>
                <w:i w:val="0"/>
                <w:color w:val="212121"/>
                <w:sz w:val="16"/>
              </w:rPr>
              <w:t>Assesses complications - chronic rhinosinusitis and nasal polyposis</w:t>
            </w:r>
          </w:p>
        </w:tc>
        <w:tc>
          <w:tcPr>
            <w:tcW w:type="dxa" w:w="1036"/>
            <w:vAlign w:val="top"/>
          </w:tcPr>
          <w:p>
            <w:pPr>
              <w:spacing w:after="40" w:before="0" w:line="259" w:lineRule="auto"/>
            </w:pPr>
            <w:r>
              <w:rPr>
                <w:rFonts w:ascii="Calibri" w:hAnsi="Calibri"/>
                <w:b w:val="0"/>
                <w:i w:val="0"/>
                <w:color w:val="212121"/>
                <w:sz w:val="16"/>
              </w:rPr>
              <w:t>Suspected sinusitis/polyps, treatment failure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Not routine; reserve for complications or pre-surgical planning</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Sneezing, watery rhinorrhoea, nasal itch, congestion, itchy eyes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Two or more present for &gt;1 h on most days</w:t>
            </w:r>
          </w:p>
        </w:tc>
        <w:tc>
          <w:tcPr>
            <w:tcW w:type="dxa" w:w="1036"/>
            <w:vAlign w:val="top"/>
          </w:tcPr>
          <w:p>
            <w:pPr>
              <w:spacing w:after="40" w:before="0" w:line="259" w:lineRule="auto"/>
            </w:pPr>
            <w:r>
              <w:rPr>
                <w:rFonts w:ascii="Calibri" w:hAnsi="Calibri"/>
                <w:b w:val="0"/>
                <w:i w:val="0"/>
                <w:color w:val="212121"/>
                <w:sz w:val="16"/>
              </w:rPr>
              <w:t>Cardinal symptom cluster of allergic rhinitis</w:t>
            </w:r>
          </w:p>
        </w:tc>
        <w:tc>
          <w:tcPr>
            <w:tcW w:type="dxa" w:w="1036"/>
            <w:vAlign w:val="top"/>
          </w:tcPr>
          <w:p>
            <w:pPr>
              <w:spacing w:after="40" w:before="0" w:line="259" w:lineRule="auto"/>
            </w:pPr>
            <w:r>
              <w:rPr>
                <w:rFonts w:ascii="Calibri" w:hAnsi="Calibri"/>
                <w:b w:val="0"/>
                <w:i w:val="0"/>
                <w:color w:val="212121"/>
                <w:sz w:val="16"/>
              </w:rPr>
              <w:t>Children and adults with nasal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Distinguish 'sneezers-runners' from 'blockers'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Pattern and triggers</w:t>
            </w:r>
          </w:p>
        </w:tc>
        <w:tc>
          <w:tcPr>
            <w:tcW w:type="dxa" w:w="979"/>
            <w:vAlign w:val="top"/>
          </w:tcPr>
          <w:p>
            <w:pPr>
              <w:spacing w:after="40" w:before="0" w:line="259" w:lineRule="auto"/>
            </w:pPr>
            <w:r>
              <w:rPr>
                <w:rFonts w:ascii="Calibri" w:hAnsi="Calibri"/>
                <w:b w:val="0"/>
                <w:i w:val="0"/>
                <w:color w:val="212121"/>
                <w:sz w:val="16"/>
              </w:rPr>
              <w:t>Seasonal vs perennial; dust/pollen/pet/damp triggers</w:t>
            </w:r>
          </w:p>
        </w:tc>
        <w:tc>
          <w:tcPr>
            <w:tcW w:type="dxa" w:w="950"/>
            <w:vAlign w:val="top"/>
          </w:tcPr>
          <w:p>
            <w:pPr>
              <w:spacing w:after="40" w:before="0" w:line="259" w:lineRule="auto"/>
            </w:pPr>
            <w:r>
              <w:rPr>
                <w:rFonts w:ascii="Calibri" w:hAnsi="Calibri"/>
                <w:b w:val="0"/>
                <w:i w:val="0"/>
                <w:color w:val="212121"/>
                <w:sz w:val="16"/>
              </w:rPr>
              <w:t>No identifiable pattern or trigger</w:t>
            </w:r>
          </w:p>
        </w:tc>
        <w:tc>
          <w:tcPr>
            <w:tcW w:type="dxa" w:w="950"/>
            <w:vAlign w:val="top"/>
          </w:tcPr>
          <w:p>
            <w:pPr>
              <w:spacing w:after="40" w:before="0" w:line="259" w:lineRule="auto"/>
            </w:pPr>
            <w:r>
              <w:rPr>
                <w:rFonts w:ascii="Calibri" w:hAnsi="Calibri"/>
                <w:b w:val="0"/>
                <w:i w:val="0"/>
                <w:color w:val="212121"/>
                <w:sz w:val="16"/>
              </w:rPr>
              <w:t>Clear temporal pattern or trigger exposure</w:t>
            </w:r>
          </w:p>
        </w:tc>
        <w:tc>
          <w:tcPr>
            <w:tcW w:type="dxa" w:w="1036"/>
            <w:vAlign w:val="top"/>
          </w:tcPr>
          <w:p>
            <w:pPr>
              <w:spacing w:after="40" w:before="0" w:line="259" w:lineRule="auto"/>
            </w:pPr>
            <w:r>
              <w:rPr>
                <w:rFonts w:ascii="Calibri" w:hAnsi="Calibri"/>
                <w:b w:val="0"/>
                <w:i w:val="0"/>
                <w:color w:val="212121"/>
                <w:sz w:val="16"/>
              </w:rPr>
              <w:t>Separates seasonal from perennial and points to the culprit allergen</w:t>
            </w:r>
          </w:p>
        </w:tc>
        <w:tc>
          <w:tcPr>
            <w:tcW w:type="dxa" w:w="1036"/>
            <w:vAlign w:val="top"/>
          </w:tcPr>
          <w:p>
            <w:pPr>
              <w:spacing w:after="40" w:before="0" w:line="259" w:lineRule="auto"/>
            </w:pPr>
            <w:r>
              <w:rPr>
                <w:rFonts w:ascii="Calibri" w:hAnsi="Calibri"/>
                <w:b w:val="0"/>
                <w:i w:val="0"/>
                <w:color w:val="212121"/>
                <w:sz w:val="16"/>
              </w:rPr>
              <w:t>All suspected allergic rhinitis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Ask about home dampness, pets, bedding and occupation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Atopy and family history</w:t>
            </w:r>
          </w:p>
        </w:tc>
        <w:tc>
          <w:tcPr>
            <w:tcW w:type="dxa" w:w="979"/>
            <w:vAlign w:val="top"/>
          </w:tcPr>
          <w:p>
            <w:pPr>
              <w:spacing w:after="40" w:before="0" w:line="259" w:lineRule="auto"/>
            </w:pPr>
            <w:r>
              <w:rPr>
                <w:rFonts w:ascii="Calibri" w:hAnsi="Calibri"/>
                <w:b w:val="0"/>
                <w:i w:val="0"/>
                <w:color w:val="212121"/>
                <w:sz w:val="16"/>
              </w:rPr>
              <w:t>Personal/family eczema, asthma, allergic rhinitis</w:t>
            </w:r>
          </w:p>
        </w:tc>
        <w:tc>
          <w:tcPr>
            <w:tcW w:type="dxa" w:w="950"/>
            <w:vAlign w:val="top"/>
          </w:tcPr>
          <w:p>
            <w:pPr>
              <w:spacing w:after="40" w:before="0" w:line="259" w:lineRule="auto"/>
            </w:pPr>
            <w:r>
              <w:rPr>
                <w:rFonts w:ascii="Calibri" w:hAnsi="Calibri"/>
                <w:b w:val="0"/>
                <w:i w:val="0"/>
                <w:color w:val="212121"/>
                <w:sz w:val="16"/>
              </w:rPr>
              <w:t>No atopic history</w:t>
            </w:r>
          </w:p>
        </w:tc>
        <w:tc>
          <w:tcPr>
            <w:tcW w:type="dxa" w:w="950"/>
            <w:vAlign w:val="top"/>
          </w:tcPr>
          <w:p>
            <w:pPr>
              <w:spacing w:after="40" w:before="0" w:line="259" w:lineRule="auto"/>
            </w:pPr>
            <w:r>
              <w:rPr>
                <w:rFonts w:ascii="Calibri" w:hAnsi="Calibri"/>
                <w:b w:val="0"/>
                <w:i w:val="0"/>
                <w:color w:val="212121"/>
                <w:sz w:val="16"/>
              </w:rPr>
              <w:t>Personal or first-degree atopic history present</w:t>
            </w:r>
          </w:p>
        </w:tc>
        <w:tc>
          <w:tcPr>
            <w:tcW w:type="dxa" w:w="1036"/>
            <w:vAlign w:val="top"/>
          </w:tcPr>
          <w:p>
            <w:pPr>
              <w:spacing w:after="40" w:before="0" w:line="259" w:lineRule="auto"/>
            </w:pPr>
            <w:r>
              <w:rPr>
                <w:rFonts w:ascii="Calibri" w:hAnsi="Calibri"/>
                <w:b w:val="0"/>
                <w:i w:val="0"/>
                <w:color w:val="212121"/>
                <w:sz w:val="16"/>
              </w:rPr>
              <w:t>Supports atopic aetiology and allergic march</w:t>
            </w:r>
          </w:p>
        </w:tc>
        <w:tc>
          <w:tcPr>
            <w:tcW w:type="dxa" w:w="1036"/>
            <w:vAlign w:val="top"/>
          </w:tcPr>
          <w:p>
            <w:pPr>
              <w:spacing w:after="40" w:before="0" w:line="259" w:lineRule="auto"/>
            </w:pPr>
            <w:r>
              <w:rPr>
                <w:rFonts w:ascii="Calibri" w:hAnsi="Calibri"/>
                <w:b w:val="0"/>
                <w:i w:val="0"/>
                <w:color w:val="212121"/>
                <w:sz w:val="16"/>
              </w:rPr>
              <w:t>Children, families with atopy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Note eczema in infancy and any asthma symptoms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Environmental / occupational history</w:t>
            </w:r>
          </w:p>
        </w:tc>
        <w:tc>
          <w:tcPr>
            <w:tcW w:type="dxa" w:w="979"/>
            <w:vAlign w:val="top"/>
          </w:tcPr>
          <w:p>
            <w:pPr>
              <w:spacing w:after="40" w:before="0" w:line="259" w:lineRule="auto"/>
            </w:pPr>
            <w:r>
              <w:rPr>
                <w:rFonts w:ascii="Calibri" w:hAnsi="Calibri"/>
                <w:b w:val="0"/>
                <w:i w:val="0"/>
                <w:color w:val="212121"/>
                <w:sz w:val="16"/>
              </w:rPr>
              <w:t>Home allergens, pollution, workplace sensitisers</w:t>
            </w:r>
          </w:p>
        </w:tc>
        <w:tc>
          <w:tcPr>
            <w:tcW w:type="dxa" w:w="950"/>
            <w:vAlign w:val="top"/>
          </w:tcPr>
          <w:p>
            <w:pPr>
              <w:spacing w:after="40" w:before="0" w:line="259" w:lineRule="auto"/>
            </w:pPr>
            <w:r>
              <w:rPr>
                <w:rFonts w:ascii="Calibri" w:hAnsi="Calibri"/>
                <w:b w:val="0"/>
                <w:i w:val="0"/>
                <w:color w:val="212121"/>
                <w:sz w:val="16"/>
              </w:rPr>
              <w:t>Low exposure</w:t>
            </w:r>
          </w:p>
        </w:tc>
        <w:tc>
          <w:tcPr>
            <w:tcW w:type="dxa" w:w="950"/>
            <w:vAlign w:val="top"/>
          </w:tcPr>
          <w:p>
            <w:pPr>
              <w:spacing w:after="40" w:before="0" w:line="259" w:lineRule="auto"/>
            </w:pPr>
            <w:r>
              <w:rPr>
                <w:rFonts w:ascii="Calibri" w:hAnsi="Calibri"/>
                <w:b w:val="0"/>
                <w:i w:val="0"/>
                <w:color w:val="212121"/>
                <w:sz w:val="16"/>
              </w:rPr>
              <w:t>High allergen/pollution/occupational exposure</w:t>
            </w:r>
          </w:p>
        </w:tc>
        <w:tc>
          <w:tcPr>
            <w:tcW w:type="dxa" w:w="1036"/>
            <w:vAlign w:val="top"/>
          </w:tcPr>
          <w:p>
            <w:pPr>
              <w:spacing w:after="40" w:before="0" w:line="259" w:lineRule="auto"/>
            </w:pPr>
            <w:r>
              <w:rPr>
                <w:rFonts w:ascii="Calibri" w:hAnsi="Calibri"/>
                <w:b w:val="0"/>
                <w:i w:val="0"/>
                <w:color w:val="212121"/>
                <w:sz w:val="16"/>
              </w:rPr>
              <w:t>Identifies modifiable exposures and occupational rhinitis</w:t>
            </w:r>
          </w:p>
        </w:tc>
        <w:tc>
          <w:tcPr>
            <w:tcW w:type="dxa" w:w="1036"/>
            <w:vAlign w:val="top"/>
          </w:tcPr>
          <w:p>
            <w:pPr>
              <w:spacing w:after="40" w:before="0" w:line="259" w:lineRule="auto"/>
            </w:pPr>
            <w:r>
              <w:rPr>
                <w:rFonts w:ascii="Calibri" w:hAnsi="Calibri"/>
                <w:b w:val="0"/>
                <w:i w:val="0"/>
                <w:color w:val="212121"/>
                <w:sz w:val="16"/>
              </w:rPr>
              <w:t>Urban dwellers, bakers, animal/latex workers</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Symptoms easing away from work suggest occupational cause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Anterior rhinoscopy</w:t>
            </w:r>
          </w:p>
        </w:tc>
        <w:tc>
          <w:tcPr>
            <w:tcW w:type="dxa" w:w="979"/>
            <w:vAlign w:val="top"/>
          </w:tcPr>
          <w:p>
            <w:pPr>
              <w:spacing w:after="40" w:before="0" w:line="259" w:lineRule="auto"/>
            </w:pPr>
            <w:r>
              <w:rPr>
                <w:rFonts w:ascii="Calibri" w:hAnsi="Calibri"/>
                <w:b w:val="0"/>
                <w:i w:val="0"/>
                <w:color w:val="212121"/>
                <w:sz w:val="16"/>
              </w:rPr>
              <w:t>Nasal mucosa and secretions</w:t>
            </w:r>
          </w:p>
        </w:tc>
        <w:tc>
          <w:tcPr>
            <w:tcW w:type="dxa" w:w="950"/>
            <w:vAlign w:val="top"/>
          </w:tcPr>
          <w:p>
            <w:pPr>
              <w:spacing w:after="40" w:before="0" w:line="259" w:lineRule="auto"/>
            </w:pPr>
            <w:r>
              <w:rPr>
                <w:rFonts w:ascii="Calibri" w:hAnsi="Calibri"/>
                <w:b w:val="0"/>
                <w:i w:val="0"/>
                <w:color w:val="212121"/>
                <w:sz w:val="16"/>
              </w:rPr>
              <w:t>Pink mucosa, no excess secretion</w:t>
            </w:r>
          </w:p>
        </w:tc>
        <w:tc>
          <w:tcPr>
            <w:tcW w:type="dxa" w:w="950"/>
            <w:vAlign w:val="top"/>
          </w:tcPr>
          <w:p>
            <w:pPr>
              <w:spacing w:after="40" w:before="0" w:line="259" w:lineRule="auto"/>
            </w:pPr>
            <w:r>
              <w:rPr>
                <w:rFonts w:ascii="Calibri" w:hAnsi="Calibri"/>
                <w:b w:val="0"/>
                <w:i w:val="0"/>
                <w:color w:val="212121"/>
                <w:sz w:val="16"/>
              </w:rPr>
              <w:t>Pale/bluish boggy oedematous turbinates with clear watery discharge</w:t>
            </w:r>
          </w:p>
        </w:tc>
        <w:tc>
          <w:tcPr>
            <w:tcW w:type="dxa" w:w="1036"/>
            <w:vAlign w:val="top"/>
          </w:tcPr>
          <w:p>
            <w:pPr>
              <w:spacing w:after="40" w:before="0" w:line="259" w:lineRule="auto"/>
            </w:pPr>
            <w:r>
              <w:rPr>
                <w:rFonts w:ascii="Calibri" w:hAnsi="Calibri"/>
                <w:b w:val="0"/>
                <w:i w:val="0"/>
                <w:color w:val="212121"/>
                <w:sz w:val="16"/>
              </w:rPr>
              <w:t>Classic mucosal appearance of allergic rhinitis</w:t>
            </w:r>
          </w:p>
        </w:tc>
        <w:tc>
          <w:tcPr>
            <w:tcW w:type="dxa" w:w="1036"/>
            <w:vAlign w:val="top"/>
          </w:tcPr>
          <w:p>
            <w:pPr>
              <w:spacing w:after="40" w:before="0" w:line="259" w:lineRule="auto"/>
            </w:pPr>
            <w:r>
              <w:rPr>
                <w:rFonts w:ascii="Calibri" w:hAnsi="Calibri"/>
                <w:b w:val="0"/>
                <w:i w:val="0"/>
                <w:color w:val="212121"/>
                <w:sz w:val="16"/>
              </w:rPr>
              <w:t>All suspected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Assess turbinate hypertrophy and septal deviation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Facial/ocular allergy signs</w:t>
            </w:r>
          </w:p>
        </w:tc>
        <w:tc>
          <w:tcPr>
            <w:tcW w:type="dxa" w:w="979"/>
            <w:vAlign w:val="top"/>
          </w:tcPr>
          <w:p>
            <w:pPr>
              <w:spacing w:after="40" w:before="0" w:line="259" w:lineRule="auto"/>
            </w:pPr>
            <w:r>
              <w:rPr>
                <w:rFonts w:ascii="Calibri" w:hAnsi="Calibri"/>
                <w:b w:val="0"/>
                <w:i w:val="0"/>
                <w:color w:val="212121"/>
                <w:sz w:val="16"/>
              </w:rPr>
              <w:t>Allergic salute/nasal crease, shiners, Dennie-Morgan folds</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Peripheral stigmata of chronic nasal/ocular allergy</w:t>
            </w:r>
          </w:p>
        </w:tc>
        <w:tc>
          <w:tcPr>
            <w:tcW w:type="dxa" w:w="1036"/>
            <w:vAlign w:val="top"/>
          </w:tcPr>
          <w:p>
            <w:pPr>
              <w:spacing w:after="40" w:before="0" w:line="259" w:lineRule="auto"/>
            </w:pPr>
            <w:r>
              <w:rPr>
                <w:rFonts w:ascii="Calibri" w:hAnsi="Calibri"/>
                <w:b w:val="0"/>
                <w:i w:val="0"/>
                <w:color w:val="212121"/>
                <w:sz w:val="16"/>
              </w:rPr>
              <w:t>Children especially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Transverse nasal crease follows repeated 'allergic salute'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Nasal endoscopy</w:t>
            </w:r>
          </w:p>
        </w:tc>
        <w:tc>
          <w:tcPr>
            <w:tcW w:type="dxa" w:w="979"/>
            <w:vAlign w:val="top"/>
          </w:tcPr>
          <w:p>
            <w:pPr>
              <w:spacing w:after="40" w:before="0" w:line="259" w:lineRule="auto"/>
            </w:pPr>
            <w:r>
              <w:rPr>
                <w:rFonts w:ascii="Calibri" w:hAnsi="Calibri"/>
                <w:b w:val="0"/>
                <w:i w:val="0"/>
                <w:color w:val="212121"/>
                <w:sz w:val="16"/>
              </w:rPr>
              <w:t>Deep nasal cavity, meati, nasopharynx</w:t>
            </w:r>
          </w:p>
        </w:tc>
        <w:tc>
          <w:tcPr>
            <w:tcW w:type="dxa" w:w="950"/>
            <w:vAlign w:val="top"/>
          </w:tcPr>
          <w:p>
            <w:pPr>
              <w:spacing w:after="40" w:before="0" w:line="259" w:lineRule="auto"/>
            </w:pPr>
            <w:r>
              <w:rPr>
                <w:rFonts w:ascii="Calibri" w:hAnsi="Calibri"/>
                <w:b w:val="0"/>
                <w:i w:val="0"/>
                <w:color w:val="212121"/>
                <w:sz w:val="16"/>
              </w:rPr>
              <w:t>Healthy mucosa, no polyps</w:t>
            </w:r>
          </w:p>
        </w:tc>
        <w:tc>
          <w:tcPr>
            <w:tcW w:type="dxa" w:w="950"/>
            <w:vAlign w:val="top"/>
          </w:tcPr>
          <w:p>
            <w:pPr>
              <w:spacing w:after="40" w:before="0" w:line="259" w:lineRule="auto"/>
            </w:pPr>
            <w:r>
              <w:rPr>
                <w:rFonts w:ascii="Calibri" w:hAnsi="Calibri"/>
                <w:b w:val="0"/>
                <w:i w:val="0"/>
                <w:color w:val="212121"/>
                <w:sz w:val="16"/>
              </w:rPr>
              <w:t>Polyps, mucopus, marked oedema, adenoid hypertrophy</w:t>
            </w:r>
          </w:p>
        </w:tc>
        <w:tc>
          <w:tcPr>
            <w:tcW w:type="dxa" w:w="1036"/>
            <w:vAlign w:val="top"/>
          </w:tcPr>
          <w:p>
            <w:pPr>
              <w:spacing w:after="40" w:before="0" w:line="259" w:lineRule="auto"/>
            </w:pPr>
            <w:r>
              <w:rPr>
                <w:rFonts w:ascii="Calibri" w:hAnsi="Calibri"/>
                <w:b w:val="0"/>
                <w:i w:val="0"/>
                <w:color w:val="212121"/>
                <w:sz w:val="16"/>
              </w:rPr>
              <w:t>Detects polyps, sinusitis and adenoidal disease</w:t>
            </w:r>
          </w:p>
        </w:tc>
        <w:tc>
          <w:tcPr>
            <w:tcW w:type="dxa" w:w="1036"/>
            <w:vAlign w:val="top"/>
          </w:tcPr>
          <w:p>
            <w:pPr>
              <w:spacing w:after="40" w:before="0" w:line="259" w:lineRule="auto"/>
            </w:pPr>
            <w:r>
              <w:rPr>
                <w:rFonts w:ascii="Calibri" w:hAnsi="Calibri"/>
                <w:b w:val="0"/>
                <w:i w:val="0"/>
                <w:color w:val="212121"/>
                <w:sz w:val="16"/>
              </w:rPr>
              <w:t>Persistent/severe or treatment-refractory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Useful when structural or complicating disease is suspected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Throat, ear and chest exam</w:t>
            </w:r>
          </w:p>
        </w:tc>
        <w:tc>
          <w:tcPr>
            <w:tcW w:type="dxa" w:w="979"/>
            <w:vAlign w:val="top"/>
          </w:tcPr>
          <w:p>
            <w:pPr>
              <w:spacing w:after="40" w:before="0" w:line="259" w:lineRule="auto"/>
            </w:pPr>
            <w:r>
              <w:rPr>
                <w:rFonts w:ascii="Calibri" w:hAnsi="Calibri"/>
                <w:b w:val="0"/>
                <w:i w:val="0"/>
                <w:color w:val="212121"/>
                <w:sz w:val="16"/>
              </w:rPr>
              <w:t>Postnasal drip/cobblestoning, tympanic membrane, chest auscultation</w:t>
            </w:r>
          </w:p>
        </w:tc>
        <w:tc>
          <w:tcPr>
            <w:tcW w:type="dxa" w:w="950"/>
            <w:vAlign w:val="top"/>
          </w:tcPr>
          <w:p>
            <w:pPr>
              <w:spacing w:after="40" w:before="0" w:line="259" w:lineRule="auto"/>
            </w:pPr>
            <w:r>
              <w:rPr>
                <w:rFonts w:ascii="Calibri" w:hAnsi="Calibri"/>
                <w:b w:val="0"/>
                <w:i w:val="0"/>
                <w:color w:val="212121"/>
                <w:sz w:val="16"/>
              </w:rPr>
              <w:t>Clear pharynx, mobile eardrums, clear chest</w:t>
            </w:r>
          </w:p>
        </w:tc>
        <w:tc>
          <w:tcPr>
            <w:tcW w:type="dxa" w:w="950"/>
            <w:vAlign w:val="top"/>
          </w:tcPr>
          <w:p>
            <w:pPr>
              <w:spacing w:after="40" w:before="0" w:line="259" w:lineRule="auto"/>
            </w:pPr>
            <w:r>
              <w:rPr>
                <w:rFonts w:ascii="Calibri" w:hAnsi="Calibri"/>
                <w:b w:val="0"/>
                <w:i w:val="0"/>
                <w:color w:val="212121"/>
                <w:sz w:val="16"/>
              </w:rPr>
              <w:t>Cobblestoning, middle-ear effusion, wheeze</w:t>
            </w:r>
          </w:p>
        </w:tc>
        <w:tc>
          <w:tcPr>
            <w:tcW w:type="dxa" w:w="1036"/>
            <w:vAlign w:val="top"/>
          </w:tcPr>
          <w:p>
            <w:pPr>
              <w:spacing w:after="40" w:before="0" w:line="259" w:lineRule="auto"/>
            </w:pPr>
            <w:r>
              <w:rPr>
                <w:rFonts w:ascii="Calibri" w:hAnsi="Calibri"/>
                <w:b w:val="0"/>
                <w:i w:val="0"/>
                <w:color w:val="212121"/>
                <w:sz w:val="16"/>
              </w:rPr>
              <w:t>Detects postnasal drip, otitis media with effusion and coexisting asthma</w:t>
            </w:r>
          </w:p>
        </w:tc>
        <w:tc>
          <w:tcPr>
            <w:tcW w:type="dxa" w:w="1036"/>
            <w:vAlign w:val="top"/>
          </w:tcPr>
          <w:p>
            <w:pPr>
              <w:spacing w:after="40" w:before="0" w:line="259" w:lineRule="auto"/>
            </w:pPr>
            <w:r>
              <w:rPr>
                <w:rFonts w:ascii="Calibri" w:hAnsi="Calibri"/>
                <w:b w:val="0"/>
                <w:i w:val="0"/>
                <w:color w:val="212121"/>
                <w:sz w:val="16"/>
              </w:rPr>
              <w:t>Children (OME), patients with cough/wheeze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Screens for united-airway and middle-ear complications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Paroxysmal sneezing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Repetitive bouts of sneezing, often on waking or on allergen exposure; typical of the 'sneezer-runner' phenotype.</w:t>
            </w:r>
          </w:p>
        </w:tc>
      </w:tr>
      <w:tr>
        <w:trPr>
          <w:cantSplit/>
        </w:trPr>
        <w:tc>
          <w:tcPr>
            <w:tcW w:type="dxa" w:w="2304"/>
            <w:vAlign w:val="top"/>
          </w:tcPr>
          <w:p>
            <w:pPr>
              <w:spacing w:after="40" w:before="0" w:line="259" w:lineRule="auto"/>
            </w:pPr>
            <w:r>
              <w:rPr>
                <w:rFonts w:ascii="Calibri" w:hAnsi="Calibri"/>
                <w:b/>
                <w:i w:val="0"/>
                <w:color w:val="212121"/>
                <w:sz w:val="19"/>
              </w:rPr>
              <w:t>Watery rhinorrhoea (clear nasal discharge)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Profuse clear anterior and posterior nasal discharge from mucosal gland hypersecretion.</w:t>
            </w:r>
          </w:p>
        </w:tc>
      </w:tr>
      <w:tr>
        <w:trPr>
          <w:cantSplit/>
        </w:trPr>
        <w:tc>
          <w:tcPr>
            <w:tcW w:type="dxa" w:w="2304"/>
            <w:vAlign w:val="top"/>
          </w:tcPr>
          <w:p>
            <w:pPr>
              <w:spacing w:after="40" w:before="0" w:line="259" w:lineRule="auto"/>
            </w:pPr>
            <w:r>
              <w:rPr>
                <w:rFonts w:ascii="Calibri" w:hAnsi="Calibri"/>
                <w:b/>
                <w:i w:val="0"/>
                <w:color w:val="212121"/>
                <w:sz w:val="19"/>
              </w:rPr>
              <w:t>Nasal congestion / obstruction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Blocked nose from mucosal oedema and turbinate swelling; the dominant symptom in 'blocker' phenotype and the main late-phase feature.</w:t>
            </w:r>
          </w:p>
        </w:tc>
      </w:tr>
      <w:tr>
        <w:trPr>
          <w:cantSplit/>
        </w:trPr>
        <w:tc>
          <w:tcPr>
            <w:tcW w:type="dxa" w:w="2304"/>
            <w:vAlign w:val="top"/>
          </w:tcPr>
          <w:p>
            <w:pPr>
              <w:spacing w:after="40" w:before="0" w:line="259" w:lineRule="auto"/>
            </w:pPr>
            <w:r>
              <w:rPr>
                <w:rFonts w:ascii="Calibri" w:hAnsi="Calibri"/>
                <w:b/>
                <w:i w:val="0"/>
                <w:color w:val="212121"/>
                <w:sz w:val="19"/>
              </w:rPr>
              <w:t>Nasal itching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Itchy nose driven by histamine on sensory nerve endings; often prompts the 'allergic salute' in children.</w:t>
            </w:r>
          </w:p>
        </w:tc>
      </w:tr>
      <w:tr>
        <w:trPr>
          <w:cantSplit/>
        </w:trPr>
        <w:tc>
          <w:tcPr>
            <w:tcW w:type="dxa" w:w="2304"/>
            <w:vAlign w:val="top"/>
          </w:tcPr>
          <w:p>
            <w:pPr>
              <w:spacing w:after="40" w:before="0" w:line="259" w:lineRule="auto"/>
            </w:pPr>
            <w:r>
              <w:rPr>
                <w:rFonts w:ascii="Calibri" w:hAnsi="Calibri"/>
                <w:b/>
                <w:i w:val="0"/>
                <w:color w:val="212121"/>
                <w:sz w:val="19"/>
              </w:rPr>
              <w:t>Itchy, watery, red eyes (conjunctivitis)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Ocular allergy frequently accompanies nasal symptoms as allergic rhinoconjunctivitis.</w:t>
            </w:r>
          </w:p>
        </w:tc>
      </w:tr>
      <w:tr>
        <w:trPr>
          <w:cantSplit/>
        </w:trPr>
        <w:tc>
          <w:tcPr>
            <w:tcW w:type="dxa" w:w="2304"/>
            <w:vAlign w:val="top"/>
          </w:tcPr>
          <w:p>
            <w:pPr>
              <w:spacing w:after="40" w:before="0" w:line="259" w:lineRule="auto"/>
            </w:pPr>
            <w:r>
              <w:rPr>
                <w:rFonts w:ascii="Calibri" w:hAnsi="Calibri"/>
                <w:b/>
                <w:i w:val="0"/>
                <w:color w:val="212121"/>
                <w:sz w:val="19"/>
              </w:rPr>
              <w:t>Postnasal drip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Mucus trickling down the throat causing throat clearing and cough.</w:t>
            </w:r>
          </w:p>
        </w:tc>
      </w:tr>
      <w:tr>
        <w:trPr>
          <w:cantSplit/>
        </w:trPr>
        <w:tc>
          <w:tcPr>
            <w:tcW w:type="dxa" w:w="2304"/>
            <w:vAlign w:val="top"/>
          </w:tcPr>
          <w:p>
            <w:pPr>
              <w:spacing w:after="40" w:before="0" w:line="259" w:lineRule="auto"/>
            </w:pPr>
            <w:r>
              <w:rPr>
                <w:rFonts w:ascii="Calibri" w:hAnsi="Calibri"/>
                <w:b/>
                <w:i w:val="0"/>
                <w:color w:val="212121"/>
                <w:sz w:val="19"/>
              </w:rPr>
              <w:t>Itching of palate, throat and ears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Referred itch from shared sensory innervation of the upper airway.</w:t>
            </w:r>
          </w:p>
        </w:tc>
      </w:tr>
      <w:tr>
        <w:trPr>
          <w:cantSplit/>
        </w:trPr>
        <w:tc>
          <w:tcPr>
            <w:tcW w:type="dxa" w:w="2304"/>
            <w:vAlign w:val="top"/>
          </w:tcPr>
          <w:p>
            <w:pPr>
              <w:spacing w:after="40" w:before="0" w:line="259" w:lineRule="auto"/>
            </w:pPr>
            <w:r>
              <w:rPr>
                <w:rFonts w:ascii="Calibri" w:hAnsi="Calibri"/>
                <w:b/>
                <w:i w:val="0"/>
                <w:color w:val="212121"/>
                <w:sz w:val="19"/>
              </w:rPr>
              <w:t>Reduced or lost sense of smell (hyposmia)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mucosal oedema blocking the olfactory cleft; more marked with polyps or chronic disease.</w:t>
            </w:r>
          </w:p>
        </w:tc>
      </w:tr>
      <w:tr>
        <w:trPr>
          <w:cantSplit/>
        </w:trPr>
        <w:tc>
          <w:tcPr>
            <w:tcW w:type="dxa" w:w="2304"/>
            <w:vAlign w:val="top"/>
          </w:tcPr>
          <w:p>
            <w:pPr>
              <w:spacing w:after="40" w:before="0" w:line="259" w:lineRule="auto"/>
            </w:pPr>
            <w:r>
              <w:rPr>
                <w:rFonts w:ascii="Calibri" w:hAnsi="Calibri"/>
                <w:b/>
                <w:i w:val="0"/>
                <w:color w:val="212121"/>
                <w:sz w:val="19"/>
              </w:rPr>
              <w:t>Disturbed sleep, snoring and daytime fatigue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Nocturnal nasal blockage fragments sleep, causing tiredness, irritability and poor concentration.</w:t>
            </w:r>
          </w:p>
        </w:tc>
      </w:tr>
      <w:tr>
        <w:trPr>
          <w:cantSplit/>
        </w:trPr>
        <w:tc>
          <w:tcPr>
            <w:tcW w:type="dxa" w:w="2304"/>
            <w:vAlign w:val="top"/>
          </w:tcPr>
          <w:p>
            <w:pPr>
              <w:spacing w:after="40" w:before="0" w:line="259" w:lineRule="auto"/>
            </w:pPr>
            <w:r>
              <w:rPr>
                <w:rFonts w:ascii="Calibri" w:hAnsi="Calibri"/>
                <w:b/>
                <w:i w:val="0"/>
                <w:color w:val="212121"/>
                <w:sz w:val="19"/>
              </w:rPr>
              <w:t>Headache / facial pressure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sinus congestion and impaired drainage.</w:t>
            </w:r>
          </w:p>
        </w:tc>
      </w:tr>
      <w:tr>
        <w:trPr>
          <w:cantSplit/>
        </w:trPr>
        <w:tc>
          <w:tcPr>
            <w:tcW w:type="dxa" w:w="2304"/>
            <w:vAlign w:val="top"/>
          </w:tcPr>
          <w:p>
            <w:pPr>
              <w:spacing w:after="40" w:before="0" w:line="259" w:lineRule="auto"/>
            </w:pPr>
            <w:r>
              <w:rPr>
                <w:rFonts w:ascii="Calibri" w:hAnsi="Calibri"/>
                <w:b/>
                <w:i w:val="0"/>
                <w:color w:val="212121"/>
                <w:sz w:val="19"/>
              </w:rPr>
              <w:t>Cough</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Provoked by postnasal drip or reflecting coexisting asthma (united airway).</w:t>
            </w:r>
          </w:p>
        </w:tc>
      </w:tr>
      <w:tr>
        <w:trPr>
          <w:cantSplit/>
        </w:trPr>
        <w:tc>
          <w:tcPr>
            <w:tcW w:type="dxa" w:w="2304"/>
            <w:vAlign w:val="top"/>
          </w:tcPr>
          <w:p>
            <w:pPr>
              <w:spacing w:after="40" w:before="0" w:line="259" w:lineRule="auto"/>
            </w:pPr>
            <w:r>
              <w:rPr>
                <w:rFonts w:ascii="Calibri" w:hAnsi="Calibri"/>
                <w:b/>
                <w:i w:val="0"/>
                <w:color w:val="212121"/>
                <w:sz w:val="19"/>
              </w:rPr>
              <w:t>Wheeze / breathlessness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Indicates coexisting asthma, which is present in a large minority of patients.</w:t>
            </w:r>
          </w:p>
        </w:tc>
      </w:tr>
      <w:tr>
        <w:trPr>
          <w:cantSplit/>
        </w:trPr>
        <w:tc>
          <w:tcPr>
            <w:tcW w:type="dxa" w:w="2304"/>
            <w:vAlign w:val="top"/>
          </w:tcPr>
          <w:p>
            <w:pPr>
              <w:spacing w:after="40" w:before="0" w:line="259" w:lineRule="auto"/>
            </w:pPr>
            <w:r>
              <w:rPr>
                <w:rFonts w:ascii="Calibri" w:hAnsi="Calibri"/>
                <w:b/>
                <w:i w:val="0"/>
                <w:color w:val="212121"/>
                <w:sz w:val="19"/>
              </w:rPr>
              <w:t>Irritability and poor school/work performance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Especially in children; results from chronic symptoms and disturbed sleep.</w:t>
            </w:r>
          </w:p>
        </w:tc>
      </w:tr>
      <w:tr>
        <w:trPr>
          <w:cantSplit/>
        </w:trPr>
        <w:tc>
          <w:tcPr>
            <w:tcW w:type="dxa" w:w="2304"/>
            <w:vAlign w:val="top"/>
          </w:tcPr>
          <w:p>
            <w:pPr>
              <w:spacing w:after="40" w:before="0" w:line="259" w:lineRule="auto"/>
            </w:pPr>
            <w:r>
              <w:rPr>
                <w:rFonts w:ascii="Calibri" w:hAnsi="Calibri"/>
                <w:b/>
                <w:i w:val="0"/>
                <w:color w:val="212121"/>
                <w:sz w:val="19"/>
              </w:rPr>
              <w:t>Epistaxis (nosebleeds)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From repeated nose-rubbing, mucosal dryness or intranasal treatments.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Transverse nasal crease / 'allergic salute'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horizontal crease across the nose from repeatedly pushing the itchy nose upward.</w:t>
            </w:r>
          </w:p>
        </w:tc>
      </w:tr>
      <w:tr>
        <w:trPr>
          <w:cantSplit/>
        </w:trPr>
        <w:tc>
          <w:tcPr>
            <w:tcW w:type="dxa" w:w="3456"/>
            <w:vAlign w:val="top"/>
          </w:tcPr>
          <w:p>
            <w:pPr>
              <w:spacing w:after="40" w:before="0" w:line="259" w:lineRule="auto"/>
            </w:pPr>
            <w:r>
              <w:rPr>
                <w:rFonts w:ascii="Calibri" w:hAnsi="Calibri"/>
                <w:b/>
                <w:i w:val="0"/>
                <w:color w:val="212121"/>
                <w:sz w:val="19"/>
              </w:rPr>
              <w:t>Allergic shiners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Dark bluish infra-orbital discolouration from venous congestion of chronic nasal obstruction.</w:t>
            </w:r>
          </w:p>
        </w:tc>
      </w:tr>
      <w:tr>
        <w:trPr>
          <w:cantSplit/>
        </w:trPr>
        <w:tc>
          <w:tcPr>
            <w:tcW w:type="dxa" w:w="3456"/>
            <w:vAlign w:val="top"/>
          </w:tcPr>
          <w:p>
            <w:pPr>
              <w:spacing w:after="40" w:before="0" w:line="259" w:lineRule="auto"/>
            </w:pPr>
            <w:r>
              <w:rPr>
                <w:rFonts w:ascii="Calibri" w:hAnsi="Calibri"/>
                <w:b/>
                <w:i w:val="0"/>
                <w:color w:val="212121"/>
                <w:sz w:val="19"/>
              </w:rPr>
              <w:t>Dennie-Morgan lines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Prominent creases/folds under the lower eyelids associated with atopy.</w:t>
            </w:r>
          </w:p>
        </w:tc>
      </w:tr>
      <w:tr>
        <w:trPr>
          <w:cantSplit/>
        </w:trPr>
        <w:tc>
          <w:tcPr>
            <w:tcW w:type="dxa" w:w="3456"/>
            <w:vAlign w:val="top"/>
          </w:tcPr>
          <w:p>
            <w:pPr>
              <w:spacing w:after="40" w:before="0" w:line="259" w:lineRule="auto"/>
            </w:pPr>
            <w:r>
              <w:rPr>
                <w:rFonts w:ascii="Calibri" w:hAnsi="Calibri"/>
                <w:b/>
                <w:i w:val="0"/>
                <w:color w:val="212121"/>
                <w:sz w:val="19"/>
              </w:rPr>
              <w:t>Pale, bluish, boggy, oedematous nasal turbinates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Classic anterior-rhinoscopy appearance of allergic mucosa.</w:t>
            </w:r>
          </w:p>
        </w:tc>
      </w:tr>
      <w:tr>
        <w:trPr>
          <w:cantSplit/>
        </w:trPr>
        <w:tc>
          <w:tcPr>
            <w:tcW w:type="dxa" w:w="3456"/>
            <w:vAlign w:val="top"/>
          </w:tcPr>
          <w:p>
            <w:pPr>
              <w:spacing w:after="40" w:before="0" w:line="259" w:lineRule="auto"/>
            </w:pPr>
            <w:r>
              <w:rPr>
                <w:rFonts w:ascii="Calibri" w:hAnsi="Calibri"/>
                <w:b/>
                <w:i w:val="0"/>
                <w:color w:val="212121"/>
                <w:sz w:val="19"/>
              </w:rPr>
              <w:t>Clear watery nasal secretions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Thin, clear discharge on examination, in contrast to the purulent discharge of infection.</w:t>
            </w:r>
          </w:p>
        </w:tc>
      </w:tr>
      <w:tr>
        <w:trPr>
          <w:cantSplit/>
        </w:trPr>
        <w:tc>
          <w:tcPr>
            <w:tcW w:type="dxa" w:w="3456"/>
            <w:vAlign w:val="top"/>
          </w:tcPr>
          <w:p>
            <w:pPr>
              <w:spacing w:after="40" w:before="0" w:line="259" w:lineRule="auto"/>
            </w:pPr>
            <w:r>
              <w:rPr>
                <w:rFonts w:ascii="Calibri" w:hAnsi="Calibri"/>
                <w:b/>
                <w:i w:val="0"/>
                <w:color w:val="212121"/>
                <w:sz w:val="19"/>
              </w:rPr>
              <w:t>Cobblestoning of the posterior pharynx</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Lymphoid hyperplasia of the posterior pharyngeal wall from chronic postnasal drip.</w:t>
            </w:r>
          </w:p>
        </w:tc>
      </w:tr>
      <w:tr>
        <w:trPr>
          <w:cantSplit/>
        </w:trPr>
        <w:tc>
          <w:tcPr>
            <w:tcW w:type="dxa" w:w="3456"/>
            <w:vAlign w:val="top"/>
          </w:tcPr>
          <w:p>
            <w:pPr>
              <w:spacing w:after="40" w:before="0" w:line="259" w:lineRule="auto"/>
            </w:pPr>
            <w:r>
              <w:rPr>
                <w:rFonts w:ascii="Calibri" w:hAnsi="Calibri"/>
                <w:b/>
                <w:i w:val="0"/>
                <w:color w:val="212121"/>
                <w:sz w:val="19"/>
              </w:rPr>
              <w:t>Conjunctival injection, tearing and chemosis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Signs of accompanying allergic conjunctivitis.</w:t>
            </w:r>
          </w:p>
        </w:tc>
      </w:tr>
      <w:tr>
        <w:trPr>
          <w:cantSplit/>
        </w:trPr>
        <w:tc>
          <w:tcPr>
            <w:tcW w:type="dxa" w:w="3456"/>
            <w:vAlign w:val="top"/>
          </w:tcPr>
          <w:p>
            <w:pPr>
              <w:spacing w:after="40" w:before="0" w:line="259" w:lineRule="auto"/>
            </w:pPr>
            <w:r>
              <w:rPr>
                <w:rFonts w:ascii="Calibri" w:hAnsi="Calibri"/>
                <w:b/>
                <w:i w:val="0"/>
                <w:color w:val="212121"/>
                <w:sz w:val="19"/>
              </w:rPr>
              <w:t>Mouth breathing and 'allergic (adenoid) facies'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Chronic obstruction in children produces open-mouth posture, a long face and dental changes.</w:t>
            </w:r>
          </w:p>
        </w:tc>
      </w:tr>
      <w:tr>
        <w:trPr>
          <w:cantSplit/>
        </w:trPr>
        <w:tc>
          <w:tcPr>
            <w:tcW w:type="dxa" w:w="3456"/>
            <w:vAlign w:val="top"/>
          </w:tcPr>
          <w:p>
            <w:pPr>
              <w:spacing w:after="40" w:before="0" w:line="259" w:lineRule="auto"/>
            </w:pPr>
            <w:r>
              <w:rPr>
                <w:rFonts w:ascii="Calibri" w:hAnsi="Calibri"/>
                <w:b/>
                <w:i w:val="0"/>
                <w:color w:val="212121"/>
                <w:sz w:val="19"/>
              </w:rPr>
              <w:t>Nasal polyps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Pale, grey, glistening mobile masses seen on rhinoscopy/endoscopy in longstanding disease.</w:t>
            </w:r>
          </w:p>
        </w:tc>
      </w:tr>
      <w:tr>
        <w:trPr>
          <w:cantSplit/>
        </w:trPr>
        <w:tc>
          <w:tcPr>
            <w:tcW w:type="dxa" w:w="3456"/>
            <w:vAlign w:val="top"/>
          </w:tcPr>
          <w:p>
            <w:pPr>
              <w:spacing w:after="40" w:before="0" w:line="259" w:lineRule="auto"/>
            </w:pPr>
            <w:r>
              <w:rPr>
                <w:rFonts w:ascii="Calibri" w:hAnsi="Calibri"/>
                <w:b/>
                <w:i w:val="0"/>
                <w:color w:val="212121"/>
                <w:sz w:val="19"/>
              </w:rPr>
              <w:t>Middle-ear effusion (dull, retracted eardrum)</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Otitis media with effusion from eustachian-tube dysfunction, especially in children.</w:t>
            </w:r>
          </w:p>
        </w:tc>
      </w:tr>
      <w:tr>
        <w:trPr>
          <w:cantSplit/>
        </w:trPr>
        <w:tc>
          <w:tcPr>
            <w:tcW w:type="dxa" w:w="3456"/>
            <w:vAlign w:val="top"/>
          </w:tcPr>
          <w:p>
            <w:pPr>
              <w:spacing w:after="40" w:before="0" w:line="259" w:lineRule="auto"/>
            </w:pPr>
            <w:r>
              <w:rPr>
                <w:rFonts w:ascii="Calibri" w:hAnsi="Calibri"/>
                <w:b/>
                <w:i w:val="0"/>
                <w:color w:val="212121"/>
                <w:sz w:val="19"/>
              </w:rPr>
              <w:t>High-arched palate / dental malocclusion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Long-term mouth breathing in growing children alters facial and dental development.</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nasal obstruction and mouth breathing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disturbance, snoring and daytime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or lost sense of smell (hyposmia)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Turbinate hypertrophy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epistaxis from rubbing/dryness</w:t>
            </w:r>
          </w:p>
        </w:tc>
        <w:tc>
          <w:tcPr>
            <w:tcW w:type="dxa" w:w="2980"/>
            <w:vAlign w:val="top"/>
          </w:tcPr>
          <w:p>
            <w:pPr>
              <w:spacing w:after="40" w:before="0" w:line="259" w:lineRule="auto"/>
            </w:pPr>
            <w:r>
              <w:rPr>
                <w:rFonts w:ascii="Calibri" w:hAnsi="Calibri"/>
                <w:b w:val="0"/>
                <w:i w:val="0"/>
                <w:color w:val="212121"/>
                <w:sz w:val="19"/>
              </w:rPr>
              <w:t>Direct consequences of persistent allergic mucosal inflammation and obstruction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rhinosinusitis and nasal polyposis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Otitis media with effusion (especially in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Coexisting/poorly controlled asthma (united airway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Allergic conjunctivitis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Adenoid and tonsillar hypertrophy</w:t>
            </w:r>
          </w:p>
        </w:tc>
        <w:tc>
          <w:tcPr>
            <w:tcW w:type="dxa" w:w="2980"/>
            <w:vAlign w:val="top"/>
          </w:tcPr>
          <w:p>
            <w:pPr>
              <w:spacing w:after="40" w:before="0" w:line="259" w:lineRule="auto"/>
            </w:pPr>
            <w:r>
              <w:rPr>
                <w:rFonts w:ascii="Calibri" w:hAnsi="Calibri"/>
                <w:b w:val="0"/>
                <w:i w:val="0"/>
                <w:color w:val="212121"/>
                <w:sz w:val="19"/>
              </w:rPr>
              <w:t>Spread of allergic inflammation and obstruction to contiguous airway, sinus and middle-ear structures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Obstructive sleep apnoea and sleep-disordered breathing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asthma exacerbations and impaired lung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hearing impairment and speech/learning delay (from persistent 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Adenoid facies and dental malocclusion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school/work productivity and reduced quality of life</w:t>
            </w:r>
          </w:p>
        </w:tc>
        <w:tc>
          <w:tcPr>
            <w:tcW w:type="dxa" w:w="2980"/>
            <w:vAlign w:val="top"/>
          </w:tcPr>
          <w:p>
            <w:pPr>
              <w:spacing w:after="40" w:before="0" w:line="259" w:lineRule="auto"/>
            </w:pPr>
            <w:r>
              <w:rPr>
                <w:rFonts w:ascii="Calibri" w:hAnsi="Calibri"/>
                <w:b w:val="0"/>
                <w:i w:val="0"/>
                <w:color w:val="212121"/>
                <w:sz w:val="19"/>
              </w:rPr>
              <w:t>Irreversible or disabling long-term outcomes of longstanding, poorly controlled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Asthma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United airway disease; allergic rhinitis and asthma share one airway and each worsens the other. In the Indian CARAS survey 65.2% of asthma patients had coexisting allergic rhinitis, and about 38% of rhinitis patients have asthma.</w:t>
            </w:r>
          </w:p>
          <w:p>
            <w:pPr>
              <w:spacing w:after="40" w:before="0" w:line="259" w:lineRule="auto"/>
            </w:pPr>
            <w:r>
              <w:rPr>
                <w:rFonts w:ascii="Calibri" w:hAnsi="Calibri"/>
                <w:b/>
                <w:i w:val="0"/>
                <w:color w:val="212121"/>
                <w:sz w:val="19"/>
              </w:rPr>
              <w:t>~38% of AR patients; 65.2% of asthmatics have AR</w:t>
            </w:r>
          </w:p>
        </w:tc>
      </w:tr>
      <w:tr>
        <w:trPr>
          <w:cantSplit/>
        </w:trPr>
        <w:tc>
          <w:tcPr>
            <w:tcW w:type="dxa" w:w="2232"/>
            <w:vAlign w:val="top"/>
          </w:tcPr>
          <w:p>
            <w:pPr>
              <w:spacing w:after="40" w:before="0" w:line="259" w:lineRule="auto"/>
            </w:pPr>
            <w:r>
              <w:rPr>
                <w:rFonts w:ascii="Calibri" w:hAnsi="Calibri"/>
                <w:b/>
                <w:i w:val="0"/>
                <w:color w:val="212121"/>
                <w:sz w:val="19"/>
              </w:rPr>
              <w:t>Allergic conjunctivitis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Very frequently coexists as allergic rhinoconjunctivitis, adding itchy, watery, red eyes to nasal symptoms.</w:t>
            </w:r>
          </w:p>
        </w:tc>
      </w:tr>
      <w:tr>
        <w:trPr>
          <w:cantSplit/>
        </w:trPr>
        <w:tc>
          <w:tcPr>
            <w:tcW w:type="dxa" w:w="2232"/>
            <w:vAlign w:val="top"/>
          </w:tcPr>
          <w:p>
            <w:pPr>
              <w:spacing w:after="40" w:before="0" w:line="259" w:lineRule="auto"/>
            </w:pPr>
            <w:r>
              <w:rPr>
                <w:rFonts w:ascii="Calibri" w:hAnsi="Calibri"/>
                <w:b/>
                <w:i w:val="0"/>
                <w:color w:val="212121"/>
                <w:sz w:val="19"/>
              </w:rPr>
              <w:t>Atopic dermatitis (eczema)</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Part of the atopic march; infantile eczema often precedes allergic rhinitis and asthma. Childhood rhinitis carried a 2.6-fold higher risk with coexisting eczema in GAN India.</w:t>
            </w:r>
          </w:p>
        </w:tc>
      </w:tr>
      <w:tr>
        <w:trPr>
          <w:cantSplit/>
        </w:trPr>
        <w:tc>
          <w:tcPr>
            <w:tcW w:type="dxa" w:w="2232"/>
            <w:vAlign w:val="top"/>
          </w:tcPr>
          <w:p>
            <w:pPr>
              <w:spacing w:after="40" w:before="0" w:line="259" w:lineRule="auto"/>
            </w:pPr>
            <w:r>
              <w:rPr>
                <w:rFonts w:ascii="Calibri" w:hAnsi="Calibri"/>
                <w:b/>
                <w:i w:val="0"/>
                <w:color w:val="212121"/>
                <w:sz w:val="19"/>
              </w:rPr>
              <w:t>Chronic rhinosinusitis / nasal polyps</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Persistent mucosal oedema obstructs sinus drainage, predisposing to chronic sinusitis and polyposis.</w:t>
            </w:r>
          </w:p>
        </w:tc>
      </w:tr>
      <w:tr>
        <w:trPr>
          <w:cantSplit/>
        </w:trPr>
        <w:tc>
          <w:tcPr>
            <w:tcW w:type="dxa" w:w="2232"/>
            <w:vAlign w:val="top"/>
          </w:tcPr>
          <w:p>
            <w:pPr>
              <w:spacing w:after="40" w:before="0" w:line="259" w:lineRule="auto"/>
            </w:pPr>
            <w:r>
              <w:rPr>
                <w:rFonts w:ascii="Calibri" w:hAnsi="Calibri"/>
                <w:b/>
                <w:i w:val="0"/>
                <w:color w:val="212121"/>
                <w:sz w:val="19"/>
              </w:rPr>
              <w:t>Otitis media with effusion</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Eustachian-tube dysfunction from nasal/nasopharyngeal inflammation causes middle-ear effusion, a leading cause of childhood hearing loss.</w:t>
            </w:r>
          </w:p>
        </w:tc>
      </w:tr>
      <w:tr>
        <w:trPr>
          <w:cantSplit/>
        </w:trPr>
        <w:tc>
          <w:tcPr>
            <w:tcW w:type="dxa" w:w="2232"/>
            <w:vAlign w:val="top"/>
          </w:tcPr>
          <w:p>
            <w:pPr>
              <w:spacing w:after="40" w:before="0" w:line="259" w:lineRule="auto"/>
            </w:pPr>
            <w:r>
              <w:rPr>
                <w:rFonts w:ascii="Calibri" w:hAnsi="Calibri"/>
                <w:b/>
                <w:i w:val="0"/>
                <w:color w:val="212121"/>
                <w:sz w:val="19"/>
              </w:rPr>
              <w:t>Obstructive sleep apnoea / sleep-disordered breathing</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Nasal obstruction and adenoid hypertrophy contribute to snoring and OSA in children and adults.</w:t>
            </w:r>
          </w:p>
        </w:tc>
      </w:tr>
      <w:tr>
        <w:trPr>
          <w:cantSplit/>
        </w:trPr>
        <w:tc>
          <w:tcPr>
            <w:tcW w:type="dxa" w:w="2232"/>
            <w:vAlign w:val="top"/>
          </w:tcPr>
          <w:p>
            <w:pPr>
              <w:spacing w:after="40" w:before="0" w:line="259" w:lineRule="auto"/>
            </w:pPr>
            <w:r>
              <w:rPr>
                <w:rFonts w:ascii="Calibri" w:hAnsi="Calibri"/>
                <w:b/>
                <w:i w:val="0"/>
                <w:color w:val="212121"/>
                <w:sz w:val="19"/>
              </w:rPr>
              <w:t>Adenoid hypertrophy</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Chronic upper-airway allergic inflammation enlarges the adenoids, worsening obstruction and OME in children.</w:t>
            </w:r>
          </w:p>
        </w:tc>
      </w:tr>
      <w:tr>
        <w:trPr>
          <w:cantSplit/>
        </w:trPr>
        <w:tc>
          <w:tcPr>
            <w:tcW w:type="dxa" w:w="2232"/>
            <w:vAlign w:val="top"/>
          </w:tcPr>
          <w:p>
            <w:pPr>
              <w:spacing w:after="40" w:before="0" w:line="259" w:lineRule="auto"/>
            </w:pPr>
            <w:r>
              <w:rPr>
                <w:rFonts w:ascii="Calibri" w:hAnsi="Calibri"/>
                <w:b/>
                <w:i w:val="0"/>
                <w:color w:val="212121"/>
                <w:sz w:val="19"/>
              </w:rPr>
              <w:t>Food allergy</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Shares the atopic diathesis; may appear earlier in the allergic march and coexist with rhinitis.</w:t>
            </w:r>
          </w:p>
        </w:tc>
      </w:tr>
      <w:tr>
        <w:trPr>
          <w:cantSplit/>
        </w:trPr>
        <w:tc>
          <w:tcPr>
            <w:tcW w:type="dxa" w:w="2232"/>
            <w:vAlign w:val="top"/>
          </w:tcPr>
          <w:p>
            <w:pPr>
              <w:spacing w:after="40" w:before="0" w:line="259" w:lineRule="auto"/>
            </w:pPr>
            <w:r>
              <w:rPr>
                <w:rFonts w:ascii="Calibri" w:hAnsi="Calibri"/>
                <w:b/>
                <w:i w:val="0"/>
                <w:color w:val="212121"/>
                <w:sz w:val="19"/>
              </w:rPr>
              <w:t>Oral allergy (pollen-food) syndrome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Pollen-sensitised patients may develop oral itching to cross-reacting raw fruits and vegetables.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Identify and avoid personal triggers: encase mattresses and pillows in dust-mite-proof covers, hot-wash bedding (&gt;= 55 C) weekly, reduce indoor humidity below 50% and remove visible mould.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On high-pollen or high-pollution days, keep windows shut, limit outdoor activity, wear a mask outdoors and shower/change clothes after coming indoors.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Minimise indoor allergens: avoid carpets and heavy soft furnishings in bedrooms, control cockroaches, and keep furred pets out of the bedroom (ideally out of the home) if sensitised.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daily saline nasal irrigation to flush allergens and mucus, and learn correct intranasal-spray technique for prescribed steroids/antihistamines.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the allergic march and united-airway link - watch for cough/wheeze suggesting asthma and treat rhinitis to help asthma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allergic rhinitis is chronic: use preventer treatment consistently rather than only during flares, and seek review if symptoms disturb sleep, school or work.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 and parents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and 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Dust-mite/pollen-sensitive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Urban residents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physically active - regular exercise transiently decongests the nose and supports healthy weight, which benefits coexisting asthma.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indoor or early-morning/after-rain exercise during high-pollen or high-pollution periods to limit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nasal saline or prescribed pre-treatment before exercise if activity provokes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gradual weight reduction if overweight, as obesity is linked to more rhinitis and poorer asthma control.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and 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coexisting asthma</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Favour a fruit- and vegetable-rich diet with antioxidants and omega-3 sources, which is associated with fewer and milder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fast food and ultra-processed items, which are linked with more severe rhinoconjunctivitis in 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breastfeeding of infants where possible, as it is modestly protective against early allergic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specific foods only if a genuine, tested food allergy or clear oral-allergy trigger is identified - do not impose unnecessary restrictions.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and families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oral allergy syndrome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nasal congestion (intranasal steroid, saline) to restore normal sleep, since blockage disturbs sleep in most perennial sufferers.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Elevate the head of the bed to reduce night-time nasal venous congestion.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bedroom allergen-controlled: dust-mite-proof bedding, no pets, good ventilation and low humidity.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manage snoring or obstructive sleep apnoea, especially in children with adenoid hypertrophy.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disturbed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snoring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Perennial rhinitis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Make the home and car completely smoke-free to protect children, in whom passive smoke raises rhinitis risk and severity.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adolescent and adult patients to stop active smoking, which independently worsens nasal allergy.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biomass and incense smoke and other strong indoor irritants that aggravate the nasal mucosa.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smoke avoidance with allergen control for the best symptom reduction.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exposed to indoor smoke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which can acutely worsen nasal congestion and rhinorrhoea through vasodilation.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aware that wine and beer contain histamine and sulphites that may trigger symptoms in sensitive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or avoid alcohol in the evening if it worsens night-time nasal blockage and sleep.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alcohol-triggered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nocturnal congestion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stress-management techniques (relaxation, breathing exercises, yoga) as psychological stress can worsen perceived symptom severity.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anxiety, low mood and irritability that chronic symptoms and poor sleep can cause, particularly in children and 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consistent treatment and routines to improve both symptom control and wellbeing.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support if rhinitis is significantly affecting school, work or quality of life.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high symptom burden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poor sleep and low mood</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37780584/" TargetMode="External"/><Relationship Id="rId10" Type="http://schemas.openxmlformats.org/officeDocument/2006/relationships/hyperlink" Target="https://www.dovepress.com/an-indian-cross-sectional-study-to-evaluate-in-clinic-allergic-rhiniti-peer-reviewed-fulltext-article-JAA" TargetMode="External"/><Relationship Id="rId11" Type="http://schemas.openxmlformats.org/officeDocument/2006/relationships/hyperlink" Target="https://academicmed.org/Uploads/Volume5Issue5/279.%20%5B1717.%20JAMP_Mohamed%20Ali_QR%5D%201408-1413.pdf" TargetMode="External"/><Relationship Id="rId12" Type="http://schemas.openxmlformats.org/officeDocument/2006/relationships/hyperlink" Target="https://pubmed.ncbi.nlm.nih.gov/33941708/" TargetMode="External"/><Relationship Id="rId13" Type="http://schemas.openxmlformats.org/officeDocument/2006/relationships/hyperlink" Target="https://ejo.springeropen.com/articles/10.1186/s43163-024-00741-y" TargetMode="External"/><Relationship Id="rId14" Type="http://schemas.openxmlformats.org/officeDocument/2006/relationships/hyperlink" Target="https://journals.plos.org/plosmedicine/article?id=10.1371%2Fjournal.pmed.1001611" TargetMode="External"/><Relationship Id="rId15" Type="http://schemas.openxmlformats.org/officeDocument/2006/relationships/hyperlink" Target="https://pmc.ncbi.nlm.nih.gov/articles/PMC10118164/" TargetMode="External"/><Relationship Id="rId16" Type="http://schemas.openxmlformats.org/officeDocument/2006/relationships/hyperlink" Target="https://www.ijorl.com/index.php/ijorl/article/view/185" TargetMode="External"/><Relationship Id="rId17" Type="http://schemas.openxmlformats.org/officeDocument/2006/relationships/hyperlink" Target="https://pubmed.ncbi.nlm.nih.gov/314642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