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Dental Caries</w:t>
      </w:r>
    </w:p>
    <w:p>
      <w:pPr>
        <w:spacing w:before="0" w:after="160"/>
      </w:pPr>
      <w:r>
        <w:rPr>
          <w:rFonts w:ascii="Calibri" w:hAnsi="Calibri"/>
          <w:b/>
          <w:i w:val="0"/>
          <w:color w:val="212121"/>
          <w:sz w:val="22"/>
        </w:rPr>
        <w:t xml:space="preserve">AKA </w:t>
      </w:r>
      <w:r>
        <w:rPr>
          <w:rFonts w:ascii="Calibri" w:hAnsi="Calibri"/>
          <w:b w:val="0"/>
          <w:i w:val="0"/>
          <w:color w:val="212121"/>
          <w:sz w:val="22"/>
        </w:rPr>
        <w:t>i.e., Tooth decay, Dental cavities, Cavities, Tooth cavity, Caries; includes Early Childhood Caries (nursing / bottle caries) and Root (cemental) caries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Dental caries (tooth decay) is a chronic, multifactorial, biofilm- and sugar-driven disease in which acids produced by cariogenic bacteria - chiefly Streptococcus mutans and Lactobacillus species - fermenting dietary free sugars progressively demineralize the mineralized tissues of the tooth. It begins as a subsurface enamel lesion (a chalky white-spot lesion) and, if net demineralization continues to outweigh remineralization, advances to cavitation of enamel and dentine and ultimately to pulpal involvement. Caries may affect the crown (coronal caries - pit-and-fissure and smooth-surface lesions) or, when roots become exposed with ageing or gum recession, the root surface. It is one of the most prevalent chronic diseases worldwide and is largely preventable.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Dental caries is among the most common health conditions in India. A national systematic review and meta-analysis estimated an overall prevalence of about 54% of the population, rising steeply with age: roughly 49% of 5- and 12-year-olds, about 60% of 15-year-olds, close to 78% of adults aged 35-44 years, and about 84% of older adults aged 65-74 years. Early childhood caries affects an estimated 49.6% of Indian pre-school children, and root-surface caries affects about 27.6% of older adults. The burden is high across every region - heaviest in western and northern India - and, although caries is largely preventable, a large share of lesions are left untreated.</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Dental caries is diagnosed clinically by a trained dental professional using visual-tactile examination on clean, dry, well-lit teeth, supported by radiographs and standardized indices; lesions are staged from early (non-cavitated) to advanced (cavitated):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Visual signs: chalky white-spot lesions (early demineralization), brown or black discoloration, loss of surface translucency, and frank cavitation.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Tactile signs: a soft, sticky or leathery surface and a gentle catch of a blunt probe (sharp probing of white spots is avoided as it can damage still-remineralizable enamel).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Radiographic detection: bitewing radiographs reveal interproximal, occlusal and secondary (recurrent) lesions that are not visible to the naked eye.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ICDAS (International Caries Detection and Assessment System) codes lesions from 0 (sound) to 6 (extensive cavitation), capturing early lesions before cavitation.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WHO DMFT/deft index records Decayed, Missing and Filled Teeth (permanent teeth = DMFT; primary teeth = deft) at the cavitation threshold for epidemiological measurement.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Adjuncts such as laser fluorescence (DIAGNOdent) and fibre-optic transillumination help detect occlusal and interproximal lesions.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Root caries is diagnosed as a soft, discoloured, often cavitated lesion on an exposed root surface, usually near the gum margin in older adults.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Dental caries can be classified by the tooth surface affected, by dentition and age group, by rate of progression, and by its relationship to existing restorations:</w:t>
      </w:r>
    </w:p>
    <w:p>
      <w:pPr>
        <w:spacing w:before="0" w:after="80"/>
      </w:pPr>
      <w:r>
        <w:rPr>
          <w:rFonts w:ascii="Calibri" w:hAnsi="Calibri"/>
          <w:b w:val="0"/>
          <w:i w:val="0"/>
          <w:color w:val="212121"/>
          <w:sz w:val="21"/>
        </w:rPr>
        <w:t>(1) By anatomical site: pit-and-fissure caries (occlusal grooves of molars and premolars), smooth-surface caries (interproximal and cervical enamel), and root-surface (cemental) caries on exposed roots.</w:t>
      </w:r>
    </w:p>
    <w:p>
      <w:pPr>
        <w:spacing w:before="0" w:after="80"/>
      </w:pPr>
      <w:r>
        <w:rPr>
          <w:rFonts w:ascii="Calibri" w:hAnsi="Calibri"/>
          <w:b w:val="0"/>
          <w:i w:val="0"/>
          <w:color w:val="212121"/>
          <w:sz w:val="21"/>
        </w:rPr>
        <w:t>(2) By dentition and age: Early Childhood Caries (ECC) and severe ECC in the primary dentition of children under 6 years (including nursing / bottle caries); caries of the mixed and permanent dentition in children and adolescents; and root caries predominating in the elderly.</w:t>
      </w:r>
    </w:p>
    <w:p>
      <w:pPr>
        <w:spacing w:before="0" w:after="80"/>
      </w:pPr>
      <w:r>
        <w:rPr>
          <w:rFonts w:ascii="Calibri" w:hAnsi="Calibri"/>
          <w:b w:val="0"/>
          <w:i w:val="0"/>
          <w:color w:val="212121"/>
          <w:sz w:val="21"/>
        </w:rPr>
        <w:t>(3) By activity and rate: acute or rampant caries (rapid, widespread, typical of xerostomia or heavy sugar exposure), chronic slowly progressing caries, and arrested (remineralized, inactive) caries.</w:t>
      </w:r>
    </w:p>
    <w:p>
      <w:pPr>
        <w:spacing w:before="0" w:after="80"/>
      </w:pPr>
      <w:r>
        <w:rPr>
          <w:rFonts w:ascii="Calibri" w:hAnsi="Calibri"/>
          <w:b w:val="0"/>
          <w:i w:val="0"/>
          <w:color w:val="212121"/>
          <w:sz w:val="21"/>
        </w:rPr>
        <w:t>(4) By relationship to restorations: primary caries on previously sound surfaces and secondary (recurrent) caries at the margins of existing fillings or crowns.</w:t>
      </w:r>
    </w:p>
    <w:p>
      <w:pPr>
        <w:spacing w:before="0" w:after="80"/>
      </w:pPr>
      <w:r>
        <w:rPr>
          <w:rFonts w:ascii="Calibri" w:hAnsi="Calibri"/>
          <w:b w:val="0"/>
          <w:i w:val="0"/>
          <w:color w:val="212121"/>
          <w:sz w:val="21"/>
        </w:rPr>
        <w:t>(5) By severity (ICDAS / WHO): initial non-cavitated (white or brown spot) lesions, moderate lesions extending into dentine, and extensive cavitated lesions with possible pulpal involvement.</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Cariogenic biofilm (dental plaque): Acidogenic bacteria, chiefly Streptococcus mutans and Lactobacillus species, colonize the tooth surface and ferment sugars to acid; S. mutans is frequently transmitted from mother to infant via saliva.</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Fermentable dietary sugars: Frequent intake of free sugars (sucrose, glucose, fructose) and sugar-sweetened beverages supplies substrate for acid production; the frequency of exposure matters as much as the total amount.</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Susceptible tooth surface and host factors: Enamel developmental defects, deep pits and fissures, tooth crowding and inadequate fluoride exposure lower the threshold for demineralization.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Reduced saliva (impaired protection): Saliva buffers acid, clears sugars and supplies calcium, phosphate and fluoride; low salivary flow (from drugs, ageing, Sjogren syndrome or head-and-neck radiotherapy) sharply increases risk.</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Time and frequency: Each sugar exposure drops plaque pH below the critical level (about 5.5) for 20-40 minutes; repeated frequent exposures tip the balance from remineralization to net demineralization.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Inadequate fluoride and oral hygiene: Insufficient fluoride and poor plaque removal allow lesions to initiate and progress unchecked.</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Children (early childhood, 1-5 years)</w:t>
            </w:r>
          </w:p>
        </w:tc>
        <w:tc>
          <w:tcPr>
            <w:tcW w:type="dxa" w:w="4276"/>
            <w:vAlign w:val="top"/>
          </w:tcPr>
          <w:p>
            <w:pPr>
              <w:spacing w:after="60" w:line="259" w:lineRule="auto"/>
            </w:pPr>
            <w:r>
              <w:rPr>
                <w:rFonts w:ascii="Calibri" w:hAnsi="Calibri"/>
                <w:b w:val="0"/>
                <w:i w:val="0"/>
                <w:color w:val="212121"/>
                <w:sz w:val="19"/>
              </w:rPr>
              <w:t>The primary dentition has thinner, less mineralized enamel that demineralizes faster, and young children depend on feeding practices and caregivers for oral hygiene. Nocturnal bottle or on-demand feeding and early Streptococcus mutans transmission from the mother make this a high-risk window.</w:t>
            </w:r>
          </w:p>
          <w:p>
            <w:pPr>
              <w:spacing w:after="40" w:before="60" w:line="259" w:lineRule="auto"/>
            </w:pPr>
            <w:r>
              <w:rPr>
                <w:rFonts w:ascii="Calibri" w:hAnsi="Calibri"/>
                <w:b w:val="0"/>
                <w:i w:val="0"/>
                <w:color w:val="212121"/>
                <w:sz w:val="19"/>
              </w:rPr>
              <w:t>Early childhood caries affects an estimated 49.6% of Indian pre-school children, and no Indian state reports a prevalence below 40%.</w:t>
            </w:r>
          </w:p>
          <w:p>
            <w:pPr>
              <w:spacing w:after="40" w:line="252" w:lineRule="auto"/>
            </w:pPr>
            <w:hyperlink r:id="rId9">
              <w:r>
                <w:rPr>
                  <w:rFonts w:ascii="Calibri" w:hAnsi="Calibri" w:cs="Calibri"/>
                  <w:sz w:val="18"/>
                  <w:color w:val="1155CC"/>
                  <w:u w:val="single"/>
                </w:rPr>
                <w:t xml:space="preserve">link.springer.com — early childhood caries prevalence in India (2019)</w:t>
              </w:r>
            </w:hyperlink>
          </w:p>
          <w:p>
            <w:pPr>
              <w:spacing w:before="60" w:after="40"/>
            </w:pPr>
            <w:r>
              <w:rPr>
                <w:rFonts w:ascii="Calibri" w:hAnsi="Calibri"/>
                <w:b w:val="0"/>
                <w:i w:val="0"/>
                <w:color w:val="5A5A5A"/>
                <w:sz w:val="18"/>
              </w:rPr>
              <w:t>#earlychildhoodcaries  #ECC  #nursingcaries  #primaryteeth  #Streptococcusmutans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Caries experience accumulates over a lifetime because the DMFT index is irreversible - decayed, missing and filled teeth only add up with age - and adult diets, snacking and gum recession expose more surfaces to acid attack.</w:t>
            </w:r>
          </w:p>
          <w:p>
            <w:pPr>
              <w:spacing w:after="40" w:before="60" w:line="259" w:lineRule="auto"/>
            </w:pPr>
            <w:r>
              <w:rPr>
                <w:rFonts w:ascii="Calibri" w:hAnsi="Calibri"/>
                <w:b w:val="0"/>
                <w:i w:val="0"/>
                <w:color w:val="212121"/>
                <w:sz w:val="19"/>
              </w:rPr>
              <w:t>Overall national caries prevalence is around 54%, rising to about 62% in adults over 18 years; in pooled WHO-age-group surveys caries experience reaches roughly 78% at 35-44 years.</w:t>
            </w:r>
          </w:p>
          <w:p>
            <w:pPr>
              <w:spacing w:after="40" w:line="252" w:lineRule="auto"/>
            </w:pPr>
            <w:hyperlink r:id="rId10">
              <w:r>
                <w:rPr>
                  <w:rFonts w:ascii="Calibri" w:hAnsi="Calibri" w:cs="Calibri"/>
                  <w:sz w:val="18"/>
                  <w:color w:val="1155CC"/>
                  <w:u w:val="single"/>
                </w:rPr>
                <w:t xml:space="preserve">pmc.ncbi.nlm.nih.gov — dental caries prevalence in India (54.16%)</w:t>
              </w:r>
            </w:hyperlink>
          </w:p>
          <w:p>
            <w:pPr>
              <w:spacing w:before="60" w:after="40"/>
            </w:pPr>
            <w:r>
              <w:rPr>
                <w:rFonts w:ascii="Calibri" w:hAnsi="Calibri"/>
                <w:b w:val="0"/>
                <w:i w:val="0"/>
                <w:color w:val="5A5A5A"/>
                <w:sz w:val="18"/>
              </w:rPr>
              <w:t>#toothdecay  #DMFT  #adultcaries  #snacking  #gumrecession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(65-74 years)</w:t>
            </w:r>
          </w:p>
        </w:tc>
        <w:tc>
          <w:tcPr>
            <w:tcW w:type="dxa" w:w="4276"/>
            <w:vAlign w:val="top"/>
          </w:tcPr>
          <w:p>
            <w:pPr>
              <w:spacing w:after="60" w:line="259" w:lineRule="auto"/>
            </w:pPr>
            <w:r>
              <w:rPr>
                <w:rFonts w:ascii="Calibri" w:hAnsi="Calibri"/>
                <w:b w:val="0"/>
                <w:i w:val="0"/>
                <w:color w:val="212121"/>
                <w:sz w:val="19"/>
              </w:rPr>
              <w:t>Longer cumulative exposure, gum recession exposing root surfaces (which have no protective enamel), reduced dexterity, dry mouth from multiple medications and denture-related plaque make older adults especially vulnerable to coronal and root caries.</w:t>
            </w:r>
          </w:p>
          <w:p>
            <w:pPr>
              <w:spacing w:after="40" w:before="60" w:line="259" w:lineRule="auto"/>
            </w:pPr>
            <w:r>
              <w:rPr>
                <w:rFonts w:ascii="Calibri" w:hAnsi="Calibri"/>
                <w:b w:val="0"/>
                <w:i w:val="0"/>
                <w:color w:val="212121"/>
                <w:sz w:val="19"/>
              </w:rPr>
              <w:t>Root-surface caries affects roughly 27.6% of older adults in India; overall caries experience in this age band is very high (about 84% at 65-74 years in pooled national surveys).</w:t>
            </w:r>
          </w:p>
          <w:p>
            <w:pPr>
              <w:spacing w:after="40" w:line="252" w:lineRule="auto"/>
            </w:pPr>
            <w:hyperlink r:id="rId11">
              <w:r>
                <w:rPr>
                  <w:rFonts w:ascii="Calibri" w:hAnsi="Calibri" w:cs="Calibri"/>
                  <w:sz w:val="18"/>
                  <w:color w:val="1155CC"/>
                  <w:u w:val="single"/>
                </w:rPr>
                <w:t xml:space="preserve">nature.com — root caries prevalence in India (2023)</w:t>
              </w:r>
            </w:hyperlink>
          </w:p>
          <w:p>
            <w:pPr>
              <w:spacing w:before="60" w:after="40"/>
            </w:pPr>
            <w:r>
              <w:rPr>
                <w:rFonts w:ascii="Calibri" w:hAnsi="Calibri"/>
                <w:b w:val="0"/>
                <w:i w:val="0"/>
                <w:color w:val="5A5A5A"/>
                <w:sz w:val="18"/>
              </w:rPr>
              <w:t>#rootcaries  #elderly  #xerostomia  #gumrecession  #polypharmacy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Females</w:t>
            </w:r>
          </w:p>
        </w:tc>
        <w:tc>
          <w:tcPr>
            <w:tcW w:type="dxa" w:w="4276"/>
            <w:vAlign w:val="top"/>
          </w:tcPr>
          <w:p>
            <w:pPr>
              <w:spacing w:after="60" w:line="259" w:lineRule="auto"/>
            </w:pPr>
            <w:r>
              <w:rPr>
                <w:rFonts w:ascii="Calibri" w:hAnsi="Calibri"/>
                <w:b w:val="0"/>
                <w:i w:val="0"/>
                <w:color w:val="212121"/>
                <w:sz w:val="19"/>
              </w:rPr>
              <w:t>Some Indian studies record marginally higher caries in females, attributed to earlier tooth eruption (longer exposure of teeth to the oral environment), snacking patterns, and pregnancy-related changes in saliva and diet; the difference is small and diet-driven rather than biological destiny.</w:t>
            </w:r>
          </w:p>
          <w:p>
            <w:pPr>
              <w:spacing w:after="40" w:before="60" w:line="259" w:lineRule="auto"/>
            </w:pPr>
            <w:r>
              <w:rPr>
                <w:rFonts w:ascii="Calibri" w:hAnsi="Calibri"/>
                <w:b w:val="0"/>
                <w:i w:val="0"/>
                <w:color w:val="212121"/>
                <w:sz w:val="19"/>
              </w:rPr>
              <w:t>Sex differences in caries are modest and inconsistent across studies; diet, hygiene and fluoride exposure are far stronger determinants than sex.</w:t>
            </w:r>
          </w:p>
          <w:p>
            <w:pPr>
              <w:spacing w:before="60" w:after="40"/>
            </w:pPr>
            <w:r>
              <w:rPr>
                <w:rFonts w:ascii="Calibri" w:hAnsi="Calibri"/>
                <w:b w:val="0"/>
                <w:i w:val="0"/>
                <w:color w:val="5A5A5A"/>
                <w:sz w:val="18"/>
              </w:rPr>
              <w:t>#femalecaries  #eruptiontiming  #pregnancy  #dietdriven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 rural (untreated decay) and affluent urban children (high sugar access)</w:t>
            </w:r>
          </w:p>
        </w:tc>
        <w:tc>
          <w:tcPr>
            <w:tcW w:type="dxa" w:w="4276"/>
            <w:vAlign w:val="top"/>
          </w:tcPr>
          <w:p>
            <w:pPr>
              <w:spacing w:after="60" w:line="259" w:lineRule="auto"/>
            </w:pPr>
            <w:r>
              <w:rPr>
                <w:rFonts w:ascii="Calibri" w:hAnsi="Calibri"/>
                <w:b w:val="0"/>
                <w:i w:val="0"/>
                <w:color w:val="212121"/>
                <w:sz w:val="19"/>
              </w:rPr>
              <w:t>Caries shows a double social gradient in India: lower-income and rural groups have more untreated decay due to limited access to dental care and fluoride, while affluent urban children face high exposure to sugary snacks, bakery items and packaged drinks. Both ends of the spectrum are affected through different pathways.</w:t>
            </w:r>
          </w:p>
          <w:p>
            <w:pPr>
              <w:spacing w:after="40" w:before="60" w:line="259" w:lineRule="auto"/>
            </w:pPr>
            <w:r>
              <w:rPr>
                <w:rFonts w:ascii="Calibri" w:hAnsi="Calibri"/>
                <w:b w:val="0"/>
                <w:i w:val="0"/>
                <w:color w:val="212121"/>
                <w:sz w:val="19"/>
              </w:rPr>
              <w:t>A large majority of carious lesions in India remain untreated, reflecting gaps in access and preventive care rather than absence of disease.</w:t>
            </w:r>
          </w:p>
          <w:p>
            <w:pPr>
              <w:spacing w:before="60" w:after="40"/>
            </w:pPr>
            <w:r>
              <w:rPr>
                <w:rFonts w:ascii="Calibri" w:hAnsi="Calibri"/>
                <w:b w:val="0"/>
                <w:i w:val="0"/>
                <w:color w:val="5A5A5A"/>
                <w:sz w:val="18"/>
              </w:rPr>
              <w:t>#socialgradient  #untreatedcaries  #accesstocare  #urbansugar  #ruraldivide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Western and Northern India</w:t>
            </w:r>
          </w:p>
        </w:tc>
        <w:tc>
          <w:tcPr>
            <w:tcW w:type="dxa" w:w="4276"/>
            <w:vAlign w:val="top"/>
          </w:tcPr>
          <w:p>
            <w:pPr>
              <w:spacing w:after="60" w:line="259" w:lineRule="auto"/>
            </w:pPr>
            <w:r>
              <w:rPr>
                <w:rFonts w:ascii="Calibri" w:hAnsi="Calibri"/>
                <w:b w:val="0"/>
                <w:i w:val="0"/>
                <w:color w:val="212121"/>
                <w:sz w:val="19"/>
              </w:rPr>
              <w:t>Regional diet, water-fluoride levels and care access shape the burden; western and northern states report some of the highest caries prevalence and DMFT scores in national pooled data.</w:t>
            </w:r>
          </w:p>
          <w:p>
            <w:pPr>
              <w:spacing w:after="40" w:before="60" w:line="259" w:lineRule="auto"/>
            </w:pPr>
            <w:r>
              <w:rPr>
                <w:rFonts w:ascii="Calibri" w:hAnsi="Calibri"/>
                <w:b w:val="0"/>
                <w:i w:val="0"/>
                <w:color w:val="212121"/>
                <w:sz w:val="19"/>
              </w:rPr>
              <w:t>In pooled WHO-age-group data, northern India recorded high adolescent caries (about 76% at 15 years) and western India the highest 12-year DMFT (4.70).</w:t>
            </w:r>
          </w:p>
          <w:p>
            <w:pPr>
              <w:spacing w:after="40" w:line="252" w:lineRule="auto"/>
            </w:pPr>
            <w:hyperlink r:id="rId12">
              <w:r>
                <w:rPr>
                  <w:rFonts w:ascii="Calibri" w:hAnsi="Calibri" w:cs="Calibri"/>
                  <w:sz w:val="18"/>
                  <w:color w:val="1155CC"/>
                  <w:u w:val="single"/>
                </w:rPr>
                <w:t xml:space="preserve">jcdr.net — caries in India by WHO index age groups (2018)</w:t>
              </w:r>
            </w:hyperlink>
          </w:p>
          <w:p>
            <w:pPr>
              <w:spacing w:before="60" w:after="40"/>
            </w:pPr>
            <w:r>
              <w:rPr>
                <w:rFonts w:ascii="Calibri" w:hAnsi="Calibri"/>
                <w:b w:val="0"/>
                <w:i w:val="0"/>
                <w:color w:val="5A5A5A"/>
                <w:sz w:val="18"/>
              </w:rPr>
              <w:t>#regionalvariation  #westIndia  #northIndia  #DMFT  #dietpattern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Water fluoride</w:t>
            </w:r>
          </w:p>
        </w:tc>
        <w:tc>
          <w:tcPr>
            <w:tcW w:type="dxa" w:w="2160"/>
            <w:vAlign w:val="top"/>
          </w:tcPr>
          <w:p>
            <w:pPr>
              <w:spacing w:after="40" w:before="0" w:line="259" w:lineRule="auto"/>
            </w:pPr>
            <w:r>
              <w:rPr>
                <w:rFonts w:ascii="Calibri" w:hAnsi="Calibri"/>
                <w:b w:val="0"/>
                <w:i w:val="0"/>
                <w:color w:val="212121"/>
                <w:sz w:val="19"/>
              </w:rPr>
              <w:t>Communities on low-fluoride (and, conversely, high-fluoride) water</w:t>
            </w:r>
          </w:p>
        </w:tc>
        <w:tc>
          <w:tcPr>
            <w:tcW w:type="dxa" w:w="4276"/>
            <w:vAlign w:val="top"/>
          </w:tcPr>
          <w:p>
            <w:pPr>
              <w:spacing w:after="60" w:line="259" w:lineRule="auto"/>
            </w:pPr>
            <w:r>
              <w:rPr>
                <w:rFonts w:ascii="Calibri" w:hAnsi="Calibri"/>
                <w:b w:val="0"/>
                <w:i w:val="0"/>
                <w:color w:val="212121"/>
                <w:sz w:val="19"/>
              </w:rPr>
              <w:t>Optimally fluoridated water protects against caries, so fluoride-deficient areas see more decay; paradoxically, parts of India lie in endemic-fluorosis belts where excess natural fluoride mottles enamel. Both under- and over-exposure are relevant to Indian oral health.</w:t>
            </w:r>
          </w:p>
          <w:p>
            <w:pPr>
              <w:spacing w:after="40" w:before="60" w:line="259" w:lineRule="auto"/>
            </w:pPr>
            <w:r>
              <w:rPr>
                <w:rFonts w:ascii="Calibri" w:hAnsi="Calibri"/>
                <w:b w:val="0"/>
                <w:i w:val="0"/>
                <w:color w:val="212121"/>
                <w:sz w:val="19"/>
              </w:rPr>
              <w:t>WHO sets a guideline limit of about 1.5 mg/L for fluoride in drinking water; caries protection is greatest around the lower optimal range, while chronically high intake causes dental fluorosis.</w:t>
            </w:r>
          </w:p>
          <w:p>
            <w:pPr>
              <w:spacing w:before="60" w:after="40"/>
            </w:pPr>
            <w:r>
              <w:rPr>
                <w:rFonts w:ascii="Calibri" w:hAnsi="Calibri"/>
                <w:b w:val="0"/>
                <w:i w:val="0"/>
                <w:color w:val="5A5A5A"/>
                <w:sz w:val="18"/>
              </w:rPr>
              <w:t>#waterfluoride  #fluorosis  #endemicbelt  #optimalfluoride  #prevention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Oral hygiene</w:t>
            </w:r>
          </w:p>
        </w:tc>
        <w:tc>
          <w:tcPr>
            <w:tcW w:type="dxa" w:w="2160"/>
            <w:vAlign w:val="top"/>
          </w:tcPr>
          <w:p>
            <w:pPr>
              <w:spacing w:after="40" w:before="0" w:line="259" w:lineRule="auto"/>
            </w:pPr>
            <w:r>
              <w:rPr>
                <w:rFonts w:ascii="Calibri" w:hAnsi="Calibri"/>
                <w:b w:val="0"/>
                <w:i w:val="0"/>
                <w:color w:val="212121"/>
                <w:sz w:val="19"/>
              </w:rPr>
              <w:t>Infrequent or non-fluoride brushers</w:t>
            </w:r>
          </w:p>
        </w:tc>
        <w:tc>
          <w:tcPr>
            <w:tcW w:type="dxa" w:w="4276"/>
            <w:vAlign w:val="top"/>
          </w:tcPr>
          <w:p>
            <w:pPr>
              <w:spacing w:after="60" w:line="259" w:lineRule="auto"/>
            </w:pPr>
            <w:r>
              <w:rPr>
                <w:rFonts w:ascii="Calibri" w:hAnsi="Calibri"/>
                <w:b w:val="0"/>
                <w:i w:val="0"/>
                <w:color w:val="212121"/>
                <w:sz w:val="19"/>
              </w:rPr>
              <w:t>Effective plaque removal and, above all, twice-daily brushing with fluoride toothpaste are the cornerstone of prevention; skipping brushing, brushing only once a day, or using non-fluoride toothpaste allows cariogenic biofilm and acid to persist.</w:t>
            </w:r>
          </w:p>
          <w:p>
            <w:pPr>
              <w:spacing w:after="40" w:before="60" w:line="259" w:lineRule="auto"/>
            </w:pPr>
            <w:r>
              <w:rPr>
                <w:rFonts w:ascii="Calibri" w:hAnsi="Calibri"/>
                <w:b w:val="0"/>
                <w:i w:val="0"/>
                <w:color w:val="212121"/>
                <w:sz w:val="19"/>
              </w:rPr>
              <w:t>Fluoride toothpaste (1000-1500 ppm) reliably reduces caries increments versus non-fluoride paste, and the benefit increases with fluoride concentration up to about 1500 ppm.</w:t>
            </w:r>
          </w:p>
          <w:p>
            <w:pPr>
              <w:spacing w:after="40" w:line="252" w:lineRule="auto"/>
            </w:pPr>
            <w:hyperlink r:id="rId13">
              <w:r>
                <w:rPr>
                  <w:rFonts w:ascii="Calibri" w:hAnsi="Calibri" w:cs="Calibri"/>
                  <w:sz w:val="18"/>
                  <w:color w:val="1155CC"/>
                  <w:u w:val="single"/>
                </w:rPr>
                <w:t xml:space="preserve">cochrane.org — fluoride toothpaste for preventing caries (Walsh 2019)</w:t>
              </w:r>
            </w:hyperlink>
          </w:p>
          <w:p>
            <w:pPr>
              <w:spacing w:before="60" w:after="40"/>
            </w:pPr>
            <w:r>
              <w:rPr>
                <w:rFonts w:ascii="Calibri" w:hAnsi="Calibri"/>
                <w:b w:val="0"/>
                <w:i w:val="0"/>
                <w:color w:val="5A5A5A"/>
                <w:sz w:val="18"/>
              </w:rPr>
              <w:t>#oralhygiene  #fluoridetoothpaste  #plaquecontrol  #brushtwicedaily  #spitdontrinse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 / tobacco</w:t>
            </w:r>
          </w:p>
        </w:tc>
        <w:tc>
          <w:tcPr>
            <w:tcW w:type="dxa" w:w="2160"/>
            <w:vAlign w:val="top"/>
          </w:tcPr>
          <w:p>
            <w:pPr>
              <w:spacing w:after="40" w:before="0" w:line="259" w:lineRule="auto"/>
            </w:pPr>
            <w:r>
              <w:rPr>
                <w:rFonts w:ascii="Calibri" w:hAnsi="Calibri"/>
                <w:b w:val="0"/>
                <w:i w:val="0"/>
                <w:color w:val="212121"/>
                <w:sz w:val="19"/>
              </w:rPr>
              <w:t>Smoking and smokeless tobacco users</w:t>
            </w:r>
          </w:p>
        </w:tc>
        <w:tc>
          <w:tcPr>
            <w:tcW w:type="dxa" w:w="4276"/>
            <w:vAlign w:val="top"/>
          </w:tcPr>
          <w:p>
            <w:pPr>
              <w:spacing w:after="60" w:line="259" w:lineRule="auto"/>
            </w:pPr>
            <w:r>
              <w:rPr>
                <w:rFonts w:ascii="Calibri" w:hAnsi="Calibri"/>
                <w:b w:val="0"/>
                <w:i w:val="0"/>
                <w:color w:val="212121"/>
                <w:sz w:val="19"/>
              </w:rPr>
              <w:t>Tobacco use is associated with higher caries experience and, through gum recession, with root caries; smokeless tobacco products (khaini, gutka, betel-quid) common in India are often sweetened and retained against the teeth for long periods.</w:t>
            </w:r>
          </w:p>
          <w:p>
            <w:pPr>
              <w:spacing w:after="40" w:before="60" w:line="259" w:lineRule="auto"/>
            </w:pPr>
            <w:r>
              <w:rPr>
                <w:rFonts w:ascii="Calibri" w:hAnsi="Calibri"/>
                <w:b w:val="0"/>
                <w:i w:val="0"/>
                <w:color w:val="212121"/>
                <w:sz w:val="19"/>
              </w:rPr>
              <w:t>A meta-analysis found tobacco smokers had a higher mean DMFT than non-smokers (mean difference about 1.20 teeth, 95% CI 0.40-2.00).</w:t>
            </w:r>
          </w:p>
          <w:p>
            <w:pPr>
              <w:spacing w:after="40" w:line="252" w:lineRule="auto"/>
            </w:pPr>
            <w:hyperlink r:id="rId14">
              <w:r>
                <w:rPr>
                  <w:rFonts w:ascii="Calibri" w:hAnsi="Calibri" w:cs="Calibri"/>
                  <w:sz w:val="18"/>
                  <w:color w:val="1155CC"/>
                  <w:u w:val="single"/>
                </w:rPr>
                <w:t xml:space="preserve">tobaccoinduceddiseases.org — tobacco smoking and dental caries (2019)</w:t>
              </w:r>
            </w:hyperlink>
          </w:p>
          <w:p>
            <w:pPr>
              <w:spacing w:before="60" w:after="40"/>
            </w:pPr>
            <w:r>
              <w:rPr>
                <w:rFonts w:ascii="Calibri" w:hAnsi="Calibri"/>
                <w:b w:val="0"/>
                <w:i w:val="0"/>
                <w:color w:val="5A5A5A"/>
                <w:sz w:val="18"/>
              </w:rPr>
              <w:t>#tobacco  #smokeless  #gutka  #rootcaries  #gumrecession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 / heavy drinkers</w:t>
            </w:r>
          </w:p>
        </w:tc>
        <w:tc>
          <w:tcPr>
            <w:tcW w:type="dxa" w:w="4276"/>
            <w:vAlign w:val="top"/>
          </w:tcPr>
          <w:p>
            <w:pPr>
              <w:spacing w:after="60" w:line="259" w:lineRule="auto"/>
            </w:pPr>
            <w:r>
              <w:rPr>
                <w:rFonts w:ascii="Calibri" w:hAnsi="Calibri"/>
                <w:b w:val="0"/>
                <w:i w:val="0"/>
                <w:color w:val="212121"/>
                <w:sz w:val="19"/>
              </w:rPr>
              <w:t>Many alcoholic drinks combine sugar and acid, and alcohol contributes to dry mouth, reducing the saliva that normally clears sugars and buffers acid; heavy drinkers also tend to neglect oral hygiene.</w:t>
            </w:r>
          </w:p>
          <w:p>
            <w:pPr>
              <w:spacing w:after="40" w:before="60" w:line="259" w:lineRule="auto"/>
            </w:pPr>
            <w:r>
              <w:rPr>
                <w:rFonts w:ascii="Calibri" w:hAnsi="Calibri"/>
                <w:b w:val="0"/>
                <w:i w:val="0"/>
                <w:color w:val="212121"/>
                <w:sz w:val="19"/>
              </w:rPr>
              <w:t>Sugary and acidic alcoholic drinks plus alcohol-related xerostomia and hygiene neglect raise caries risk, though alcohol is a weaker driver than dietary sugar frequency.</w:t>
            </w:r>
          </w:p>
          <w:p>
            <w:pPr>
              <w:spacing w:before="60" w:after="40"/>
            </w:pPr>
            <w:r>
              <w:rPr>
                <w:rFonts w:ascii="Calibri" w:hAnsi="Calibri"/>
                <w:b w:val="0"/>
                <w:i w:val="0"/>
                <w:color w:val="5A5A5A"/>
                <w:sz w:val="18"/>
              </w:rPr>
              <w:t>#alcohol  #sugarymixers  #drymouth  #erosion  #hygieneneglect</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 free-sugar diets and frequent snacking</w:t>
            </w:r>
          </w:p>
        </w:tc>
        <w:tc>
          <w:tcPr>
            <w:tcW w:type="dxa" w:w="4276"/>
            <w:vAlign w:val="top"/>
          </w:tcPr>
          <w:p>
            <w:pPr>
              <w:spacing w:after="60" w:line="259" w:lineRule="auto"/>
            </w:pPr>
            <w:r>
              <w:rPr>
                <w:rFonts w:ascii="Calibri" w:hAnsi="Calibri"/>
                <w:b w:val="0"/>
                <w:i w:val="0"/>
                <w:color w:val="212121"/>
                <w:sz w:val="19"/>
              </w:rPr>
              <w:t>Free sugars are the essential dietary cause of caries; it is the frequency of sugar exposures - grazing on sweets, biscuits, sugary tea and sticky snacks - more than the single amount that repeatedly drops plaque pH and drives demineralization.</w:t>
            </w:r>
          </w:p>
          <w:p>
            <w:pPr>
              <w:spacing w:after="40" w:before="60" w:line="259" w:lineRule="auto"/>
            </w:pPr>
            <w:r>
              <w:rPr>
                <w:rFonts w:ascii="Calibri" w:hAnsi="Calibri"/>
                <w:b w:val="0"/>
                <w:i w:val="0"/>
                <w:color w:val="212121"/>
                <w:sz w:val="19"/>
              </w:rPr>
              <w:t>WHO recommends keeping free sugars below 10% of total energy intake, and ideally below 5%, specifically to reduce dental caries across the life course.</w:t>
            </w:r>
          </w:p>
          <w:p>
            <w:pPr>
              <w:spacing w:after="40" w:line="252" w:lineRule="auto"/>
            </w:pPr>
            <w:hyperlink r:id="rId15">
              <w:r>
                <w:rPr>
                  <w:rFonts w:ascii="Calibri" w:hAnsi="Calibri" w:cs="Calibri"/>
                  <w:sz w:val="18"/>
                  <w:color w:val="1155CC"/>
                  <w:u w:val="single"/>
                </w:rPr>
                <w:t xml:space="preserve">who / ncbi bookshelf — free sugars intake guideline (2015)</w:t>
              </w:r>
            </w:hyperlink>
          </w:p>
          <w:p>
            <w:pPr>
              <w:spacing w:before="60" w:after="40"/>
            </w:pPr>
            <w:r>
              <w:rPr>
                <w:rFonts w:ascii="Calibri" w:hAnsi="Calibri"/>
                <w:b w:val="0"/>
                <w:i w:val="0"/>
                <w:color w:val="5A5A5A"/>
                <w:sz w:val="18"/>
              </w:rPr>
              <w:t>#freesugars  #snackingfrequency  #stephancurve  #stickysweets  #WHO10percent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Sugar-sweetened beverages</w:t>
            </w:r>
          </w:p>
        </w:tc>
        <w:tc>
          <w:tcPr>
            <w:tcW w:type="dxa" w:w="2160"/>
            <w:vAlign w:val="top"/>
          </w:tcPr>
          <w:p>
            <w:pPr>
              <w:spacing w:after="40" w:before="0" w:line="259" w:lineRule="auto"/>
            </w:pPr>
            <w:r>
              <w:rPr>
                <w:rFonts w:ascii="Calibri" w:hAnsi="Calibri"/>
                <w:b w:val="0"/>
                <w:i w:val="0"/>
                <w:color w:val="212121"/>
                <w:sz w:val="19"/>
              </w:rPr>
              <w:t>Regular soft-drink and sweetened-drink consumers</w:t>
            </w:r>
          </w:p>
        </w:tc>
        <w:tc>
          <w:tcPr>
            <w:tcW w:type="dxa" w:w="4276"/>
            <w:vAlign w:val="top"/>
          </w:tcPr>
          <w:p>
            <w:pPr>
              <w:spacing w:after="60" w:line="259" w:lineRule="auto"/>
            </w:pPr>
            <w:r>
              <w:rPr>
                <w:rFonts w:ascii="Calibri" w:hAnsi="Calibri"/>
                <w:b w:val="0"/>
                <w:i w:val="0"/>
                <w:color w:val="212121"/>
                <w:sz w:val="19"/>
              </w:rPr>
              <w:t>Carbonated soft drinks, packaged juices, energy and sports drinks deliver both fermentable sugar and acid, and are often sipped slowly, prolonging the acid attack on enamel.</w:t>
            </w:r>
          </w:p>
          <w:p>
            <w:pPr>
              <w:spacing w:after="40" w:before="60" w:line="259" w:lineRule="auto"/>
            </w:pPr>
            <w:r>
              <w:rPr>
                <w:rFonts w:ascii="Calibri" w:hAnsi="Calibri"/>
                <w:b w:val="0"/>
                <w:i w:val="0"/>
                <w:color w:val="212121"/>
                <w:sz w:val="19"/>
              </w:rPr>
              <w:t>Moderate-to-high sugar-sweetened beverage consumption is associated with about 1.7 times higher odds of dental caries (pooled OR 1.72, 95% CI 1.41-2.09).</w:t>
            </w:r>
          </w:p>
          <w:p>
            <w:pPr>
              <w:spacing w:after="40" w:line="252" w:lineRule="auto"/>
            </w:pPr>
            <w:hyperlink r:id="rId16">
              <w:r>
                <w:rPr>
                  <w:rFonts w:ascii="Calibri" w:hAnsi="Calibri" w:cs="Calibri"/>
                  <w:sz w:val="18"/>
                  <w:color w:val="1155CC"/>
                  <w:u w:val="single"/>
                </w:rPr>
                <w:t xml:space="preserve">academic.oup.com — sugar-sweetened beverages and caries (2021)</w:t>
              </w:r>
            </w:hyperlink>
          </w:p>
          <w:p>
            <w:pPr>
              <w:spacing w:before="60" w:after="40"/>
            </w:pPr>
            <w:r>
              <w:rPr>
                <w:rFonts w:ascii="Calibri" w:hAnsi="Calibri"/>
                <w:b w:val="0"/>
                <w:i w:val="0"/>
                <w:color w:val="5A5A5A"/>
                <w:sz w:val="18"/>
              </w:rPr>
              <w:t>#SSB  #softdrinks  #packagedjuice  #energydrinks  #acidattack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Infant feeding practice</w:t>
            </w:r>
          </w:p>
        </w:tc>
        <w:tc>
          <w:tcPr>
            <w:tcW w:type="dxa" w:w="2160"/>
            <w:vAlign w:val="top"/>
          </w:tcPr>
          <w:p>
            <w:pPr>
              <w:spacing w:after="40" w:before="0" w:line="259" w:lineRule="auto"/>
            </w:pPr>
            <w:r>
              <w:rPr>
                <w:rFonts w:ascii="Calibri" w:hAnsi="Calibri"/>
                <w:b w:val="0"/>
                <w:i w:val="0"/>
                <w:color w:val="212121"/>
                <w:sz w:val="19"/>
              </w:rPr>
              <w:t>Nocturnal bottle / on-demand night breastfeeding</w:t>
            </w:r>
          </w:p>
        </w:tc>
        <w:tc>
          <w:tcPr>
            <w:tcW w:type="dxa" w:w="4276"/>
            <w:vAlign w:val="top"/>
          </w:tcPr>
          <w:p>
            <w:pPr>
              <w:spacing w:after="60" w:line="259" w:lineRule="auto"/>
            </w:pPr>
            <w:r>
              <w:rPr>
                <w:rFonts w:ascii="Calibri" w:hAnsi="Calibri"/>
                <w:b w:val="0"/>
                <w:i w:val="0"/>
                <w:color w:val="212121"/>
                <w:sz w:val="19"/>
              </w:rPr>
              <w:t>Feeding a baby to sleep with a bottle of milk, formula or sweet drink, or frequent night-time breastfeeding after teeth erupt, bathes the upper front teeth in fermentable sugar while protective salivary flow is at its lowest - the classic mechanism of nursing / bottle caries.</w:t>
            </w:r>
          </w:p>
          <w:p>
            <w:pPr>
              <w:spacing w:after="40" w:before="60" w:line="259" w:lineRule="auto"/>
            </w:pPr>
            <w:r>
              <w:rPr>
                <w:rFonts w:ascii="Calibri" w:hAnsi="Calibri"/>
                <w:b w:val="0"/>
                <w:i w:val="0"/>
                <w:color w:val="212121"/>
                <w:sz w:val="19"/>
              </w:rPr>
              <w:t>Nocturnal breastfeeding is associated with more than double the risk of early childhood caries (pooled RR 2.35, 95% CI 1.42-3.89).</w:t>
            </w:r>
          </w:p>
          <w:p>
            <w:pPr>
              <w:spacing w:after="40" w:line="252" w:lineRule="auto"/>
            </w:pPr>
            <w:hyperlink r:id="rId17">
              <w:r>
                <w:rPr>
                  <w:rFonts w:ascii="Calibri" w:hAnsi="Calibri" w:cs="Calibri"/>
                  <w:sz w:val="18"/>
                  <w:color w:val="1155CC"/>
                  <w:u w:val="single"/>
                </w:rPr>
                <w:t xml:space="preserve">mdpi.com/nutrients — breastfeeding and early childhood caries (2024)</w:t>
              </w:r>
            </w:hyperlink>
          </w:p>
          <w:p>
            <w:pPr>
              <w:spacing w:before="60" w:after="40"/>
            </w:pPr>
            <w:r>
              <w:rPr>
                <w:rFonts w:ascii="Calibri" w:hAnsi="Calibri"/>
                <w:b w:val="0"/>
                <w:i w:val="0"/>
                <w:color w:val="5A5A5A"/>
                <w:sz w:val="18"/>
              </w:rPr>
              <w:t>#nursingcaries  #bottlecaries  #nightfeeding  #ECC  #toddlers</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Host susceptibility</w:t>
            </w:r>
          </w:p>
        </w:tc>
        <w:tc>
          <w:tcPr>
            <w:tcW w:type="dxa" w:w="2160"/>
            <w:vAlign w:val="top"/>
          </w:tcPr>
          <w:p>
            <w:pPr>
              <w:spacing w:after="40" w:before="0" w:line="259" w:lineRule="auto"/>
            </w:pPr>
            <w:r>
              <w:rPr>
                <w:rFonts w:ascii="Calibri" w:hAnsi="Calibri"/>
                <w:b w:val="0"/>
                <w:i w:val="0"/>
                <w:color w:val="212121"/>
                <w:sz w:val="19"/>
              </w:rPr>
              <w:t>Enamel developmental defects and early bacterial transmission</w:t>
            </w:r>
          </w:p>
        </w:tc>
        <w:tc>
          <w:tcPr>
            <w:tcW w:type="dxa" w:w="4276"/>
            <w:vAlign w:val="top"/>
          </w:tcPr>
          <w:p>
            <w:pPr>
              <w:spacing w:after="60" w:line="259" w:lineRule="auto"/>
            </w:pPr>
            <w:r>
              <w:rPr>
                <w:rFonts w:ascii="Calibri" w:hAnsi="Calibri"/>
                <w:b w:val="0"/>
                <w:i w:val="0"/>
                <w:color w:val="212121"/>
                <w:sz w:val="19"/>
              </w:rPr>
              <w:t>Inherited or developmental enamel defects (hypoplasia, molar-incisor hypomineralization) leave weaker, more porous enamel, and early acquisition of Streptococcus mutans from the mother seeds the cariogenic biofilm - together lowering the threshold for decay in a susceptible child.</w:t>
            </w:r>
          </w:p>
          <w:p>
            <w:pPr>
              <w:spacing w:after="40" w:before="60" w:line="259" w:lineRule="auto"/>
            </w:pPr>
            <w:r>
              <w:rPr>
                <w:rFonts w:ascii="Calibri" w:hAnsi="Calibri"/>
                <w:b w:val="0"/>
                <w:i w:val="0"/>
                <w:color w:val="212121"/>
                <w:sz w:val="19"/>
              </w:rPr>
              <w:t>Mothers are a primary source of Streptococcus mutans transmission to infants through saliva and shared utensils, seeding the cariogenic biofilm before caries begins.</w:t>
            </w:r>
          </w:p>
          <w:p>
            <w:pPr>
              <w:spacing w:after="40" w:line="252" w:lineRule="auto"/>
            </w:pPr>
            <w:hyperlink r:id="rId18">
              <w:r>
                <w:rPr>
                  <w:rFonts w:ascii="Calibri" w:hAnsi="Calibri" w:cs="Calibri"/>
                  <w:sz w:val="18"/>
                  <w:color w:val="1155CC"/>
                  <w:u w:val="single"/>
                </w:rPr>
                <w:t xml:space="preserve">ncbi.nlm.nih.gov — Early Childhood Caries (StatPearls)</w:t>
              </w:r>
            </w:hyperlink>
          </w:p>
          <w:p>
            <w:pPr>
              <w:spacing w:before="60" w:after="40"/>
            </w:pPr>
            <w:r>
              <w:rPr>
                <w:rFonts w:ascii="Calibri" w:hAnsi="Calibri"/>
                <w:b w:val="0"/>
                <w:i w:val="0"/>
                <w:color w:val="5A5A5A"/>
                <w:sz w:val="18"/>
              </w:rPr>
              <w:t>#enameldefects  #MIH  #hypoplasia  #verticaltransmission  #biofilm</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type 1 or type 2 diabetes</w:t>
            </w:r>
          </w:p>
        </w:tc>
        <w:tc>
          <w:tcPr>
            <w:tcW w:type="dxa" w:w="4276"/>
            <w:vAlign w:val="top"/>
          </w:tcPr>
          <w:p>
            <w:pPr>
              <w:spacing w:after="60" w:line="259" w:lineRule="auto"/>
            </w:pPr>
            <w:r>
              <w:rPr>
                <w:rFonts w:ascii="Calibri" w:hAnsi="Calibri"/>
                <w:b w:val="0"/>
                <w:i w:val="0"/>
                <w:color w:val="212121"/>
                <w:sz w:val="19"/>
              </w:rPr>
              <w:t>Poorly controlled diabetes raises salivary glucose and reduces salivary flow, favouring cariogenic bacteria; diabetics also have more gum disease and recession, exposing roots to decay.</w:t>
            </w:r>
          </w:p>
          <w:p>
            <w:pPr>
              <w:spacing w:after="40" w:before="60" w:line="259" w:lineRule="auto"/>
            </w:pPr>
            <w:r>
              <w:rPr>
                <w:rFonts w:ascii="Calibri" w:hAnsi="Calibri"/>
                <w:b w:val="0"/>
                <w:i w:val="0"/>
                <w:color w:val="212121"/>
                <w:sz w:val="19"/>
              </w:rPr>
              <w:t>People with type 2 diabetes show higher caries experience than non-diabetics (mean DMFT about 17.7 vs 15.9) and substantially more tooth loss.</w:t>
            </w:r>
          </w:p>
          <w:p>
            <w:pPr>
              <w:spacing w:after="40" w:line="252" w:lineRule="auto"/>
            </w:pPr>
            <w:hyperlink r:id="rId19">
              <w:r>
                <w:rPr>
                  <w:rFonts w:ascii="Calibri" w:hAnsi="Calibri" w:cs="Calibri"/>
                  <w:sz w:val="18"/>
                  <w:color w:val="1155CC"/>
                  <w:u w:val="single"/>
                </w:rPr>
                <w:t xml:space="preserve">pmc.ncbi.nlm.nih.gov — dental caries in type 2 diabetes (2025)</w:t>
              </w:r>
            </w:hyperlink>
          </w:p>
          <w:p>
            <w:pPr>
              <w:spacing w:before="60" w:after="40"/>
            </w:pPr>
            <w:r>
              <w:rPr>
                <w:rFonts w:ascii="Calibri" w:hAnsi="Calibri"/>
                <w:b w:val="0"/>
                <w:i w:val="0"/>
                <w:color w:val="5A5A5A"/>
                <w:sz w:val="18"/>
              </w:rPr>
              <w:t>#diabetes  #salivaryglucose  #xerostomia  #toothloss  #DMFT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Xerostomia (dry mouth)</w:t>
            </w:r>
          </w:p>
        </w:tc>
        <w:tc>
          <w:tcPr>
            <w:tcW w:type="dxa" w:w="2160"/>
            <w:vAlign w:val="top"/>
          </w:tcPr>
          <w:p>
            <w:pPr>
              <w:spacing w:after="40" w:before="0" w:line="259" w:lineRule="auto"/>
            </w:pPr>
            <w:r>
              <w:rPr>
                <w:rFonts w:ascii="Calibri" w:hAnsi="Calibri"/>
                <w:b w:val="0"/>
                <w:i w:val="0"/>
                <w:color w:val="212121"/>
                <w:sz w:val="19"/>
              </w:rPr>
              <w:t>Sjogren syndrome, polypharmacy, post-radiotherapy patients</w:t>
            </w:r>
          </w:p>
        </w:tc>
        <w:tc>
          <w:tcPr>
            <w:tcW w:type="dxa" w:w="4276"/>
            <w:vAlign w:val="top"/>
          </w:tcPr>
          <w:p>
            <w:pPr>
              <w:spacing w:after="60" w:line="259" w:lineRule="auto"/>
            </w:pPr>
            <w:r>
              <w:rPr>
                <w:rFonts w:ascii="Calibri" w:hAnsi="Calibri"/>
                <w:b w:val="0"/>
                <w:i w:val="0"/>
                <w:color w:val="212121"/>
                <w:sz w:val="19"/>
              </w:rPr>
              <w:t>Saliva is the mouth's natural defence - buffering acid, clearing sugar and remineralizing enamel. When flow is lost through Sjogren syndrome, many common medications (antidepressants, antihistamines, diuretics, antihypertensives) or head-and-neck radiotherapy, rampant and root caries can develop rapidly.</w:t>
            </w:r>
          </w:p>
          <w:p>
            <w:pPr>
              <w:spacing w:after="40" w:before="60" w:line="259" w:lineRule="auto"/>
            </w:pPr>
            <w:r>
              <w:rPr>
                <w:rFonts w:ascii="Calibri" w:hAnsi="Calibri"/>
                <w:b w:val="0"/>
                <w:i w:val="0"/>
                <w:color w:val="212121"/>
                <w:sz w:val="19"/>
              </w:rPr>
              <w:t>Reduced salivary flow removes the mouth's main protective buffering and clearance, a key driver of rapid, rampant and root-surface caries, especially in medicated older adults.</w:t>
            </w:r>
          </w:p>
          <w:p>
            <w:pPr>
              <w:spacing w:before="60" w:after="40"/>
            </w:pPr>
            <w:r>
              <w:rPr>
                <w:rFonts w:ascii="Calibri" w:hAnsi="Calibri"/>
                <w:b w:val="0"/>
                <w:i w:val="0"/>
                <w:color w:val="5A5A5A"/>
                <w:sz w:val="18"/>
              </w:rPr>
              <w:t>#xerostomia  #drymouth  #Sjogren  #radiotherapy  #rampantcaries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Gastro-oesophageal reflux</w:t>
            </w:r>
          </w:p>
        </w:tc>
        <w:tc>
          <w:tcPr>
            <w:tcW w:type="dxa" w:w="2160"/>
            <w:vAlign w:val="top"/>
          </w:tcPr>
          <w:p>
            <w:pPr>
              <w:spacing w:after="40" w:before="0" w:line="259" w:lineRule="auto"/>
            </w:pPr>
            <w:r>
              <w:rPr>
                <w:rFonts w:ascii="Calibri" w:hAnsi="Calibri"/>
                <w:b w:val="0"/>
                <w:i w:val="0"/>
                <w:color w:val="212121"/>
                <w:sz w:val="19"/>
              </w:rPr>
              <w:t>GERD and recurrent-vomiting / eating-disorder patients</w:t>
            </w:r>
          </w:p>
        </w:tc>
        <w:tc>
          <w:tcPr>
            <w:tcW w:type="dxa" w:w="4276"/>
            <w:vAlign w:val="top"/>
          </w:tcPr>
          <w:p>
            <w:pPr>
              <w:spacing w:after="60" w:line="259" w:lineRule="auto"/>
            </w:pPr>
            <w:r>
              <w:rPr>
                <w:rFonts w:ascii="Calibri" w:hAnsi="Calibri"/>
                <w:b w:val="0"/>
                <w:i w:val="0"/>
                <w:color w:val="212121"/>
                <w:sz w:val="19"/>
              </w:rPr>
              <w:t>Repeated exposure of teeth to gastric acid (from reflux, or self-induced vomiting in bulimia) erodes and softens enamel, lowering its resistance and accelerating cavitation when combined with a cariogenic diet.</w:t>
            </w:r>
          </w:p>
          <w:p>
            <w:pPr>
              <w:spacing w:after="40" w:before="60" w:line="259" w:lineRule="auto"/>
            </w:pPr>
            <w:r>
              <w:rPr>
                <w:rFonts w:ascii="Calibri" w:hAnsi="Calibri"/>
                <w:b w:val="0"/>
                <w:i w:val="0"/>
                <w:color w:val="212121"/>
                <w:sz w:val="19"/>
              </w:rPr>
              <w:t>Chronic acid exposure from reflux or vomiting erodes enamel and compounds the risk of decay; affected patients should avoid brushing immediately after acid exposure.</w:t>
            </w:r>
          </w:p>
          <w:p>
            <w:pPr>
              <w:spacing w:before="60" w:after="40"/>
            </w:pPr>
            <w:r>
              <w:rPr>
                <w:rFonts w:ascii="Calibri" w:hAnsi="Calibri"/>
                <w:b w:val="0"/>
                <w:i w:val="0"/>
                <w:color w:val="5A5A5A"/>
                <w:sz w:val="18"/>
              </w:rPr>
              <w:t>#GERD  #aciderosion  #bulimia  #enamelloss  #toothwear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Disability / dependency</w:t>
            </w:r>
          </w:p>
        </w:tc>
        <w:tc>
          <w:tcPr>
            <w:tcW w:type="dxa" w:w="2160"/>
            <w:vAlign w:val="top"/>
          </w:tcPr>
          <w:p>
            <w:pPr>
              <w:spacing w:after="40" w:before="0" w:line="259" w:lineRule="auto"/>
            </w:pPr>
            <w:r>
              <w:rPr>
                <w:rFonts w:ascii="Calibri" w:hAnsi="Calibri"/>
                <w:b w:val="0"/>
                <w:i w:val="0"/>
                <w:color w:val="212121"/>
                <w:sz w:val="19"/>
              </w:rPr>
              <w:t>Physical or intellectual disability and institutionalized patients</w:t>
            </w:r>
          </w:p>
        </w:tc>
        <w:tc>
          <w:tcPr>
            <w:tcW w:type="dxa" w:w="4276"/>
            <w:vAlign w:val="top"/>
          </w:tcPr>
          <w:p>
            <w:pPr>
              <w:spacing w:after="60" w:line="259" w:lineRule="auto"/>
            </w:pPr>
            <w:r>
              <w:rPr>
                <w:rFonts w:ascii="Calibri" w:hAnsi="Calibri"/>
                <w:b w:val="0"/>
                <w:i w:val="0"/>
                <w:color w:val="212121"/>
                <w:sz w:val="19"/>
              </w:rPr>
              <w:t>Impaired manual dexterity, dependence on caregivers, soft or sweetened diets, sedating or xerostomic medications and difficulty accessing dental care combine to raise caries risk in people with disabilities and in institutional settings.</w:t>
            </w:r>
          </w:p>
          <w:p>
            <w:pPr>
              <w:spacing w:after="40" w:before="60" w:line="259" w:lineRule="auto"/>
            </w:pPr>
            <w:r>
              <w:rPr>
                <w:rFonts w:ascii="Calibri" w:hAnsi="Calibri"/>
                <w:b w:val="0"/>
                <w:i w:val="0"/>
                <w:color w:val="212121"/>
                <w:sz w:val="19"/>
              </w:rPr>
              <w:t>Dependence on caregivers for daily oral hygiene, sweetened medicines and limited access to dental care make caries more common and more often untreated in this group.</w:t>
            </w:r>
          </w:p>
          <w:p>
            <w:pPr>
              <w:spacing w:before="60" w:after="40"/>
            </w:pPr>
            <w:r>
              <w:rPr>
                <w:rFonts w:ascii="Calibri" w:hAnsi="Calibri"/>
                <w:b w:val="0"/>
                <w:i w:val="0"/>
                <w:color w:val="5A5A5A"/>
                <w:sz w:val="18"/>
              </w:rPr>
              <w:t>#specialneeds  #caregiverdependence  #institutionalcare  #sweetmedicines  #accessgap</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has little direct effect on caries; any link is indirect through frequent consumption of sugary sports and energy drinks during exercise.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Free sugars are the essential dietary cause of caries; frequent sugar and sugar-sweetened-beverage exposures repeatedly drop plaque pH below 5.5 and drive net demineralization. WHO advises free sugars below 10% (ideally below 5%) of energy for caries control.</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Salivary flow falls to its lowest during sleep, so night-time sugar exposure - a bedtime bottle, sweet drink or on-demand night breastfeeding - is strongly linked to nursing / early childhood caries.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Tobacco smoking and smokeless tobacco are associated with higher caries and root-caries experience (mean DMFT difference about 1.2 teeth) and with gum recession that exposes root surfaces.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Sugary, acidic alcoholic drinks plus alcohol-related dry mouth and hygiene neglect add modestly to caries risk, but alcohol is a weaker driver than dietary sugar.</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Stress and low mood can promote sugary comfort-snacking and neglected brushing, and many psychotropic medications cause dry mouth, indirectly raising caries risk.</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Drinking-water and toothpaste fluoride are central to prevention; adequate hydration also supports salivary flow. Optimal water fluoride lowers caries, while excess causes dental fluorosis in India's endemic belts.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itself is not cariogenic, but sweetened tea, coffee and cola drinks that carry it deliver sugar and acid; unsweetened, these beverages carry little caries risk.</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Twice-daily brushing with fluoride toothpaste plus interdental cleaning is the cornerstone of caries prevention; fluoride toothpaste at 1000-1500 ppm reliably reduces caries increments.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Frequent between-meal sugary snacking and sipping, sticky retentive foods, sugary medicines and xerostomia-inducing drugs act as recurrent provoking exposures that tip the balance toward decay.</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Free sugars (% of total energy)</w:t>
            </w:r>
          </w:p>
        </w:tc>
        <w:tc>
          <w:tcPr>
            <w:tcW w:type="dxa" w:w="1655"/>
            <w:vAlign w:val="top"/>
          </w:tcPr>
          <w:p>
            <w:pPr>
              <w:spacing w:after="40" w:before="0" w:line="259" w:lineRule="auto"/>
            </w:pPr>
            <w:r>
              <w:rPr>
                <w:rFonts w:ascii="Calibri" w:hAnsi="Calibri"/>
                <w:b w:val="0"/>
                <w:i w:val="0"/>
                <w:color w:val="212121"/>
                <w:sz w:val="19"/>
              </w:rPr>
              <w:t>Children and adults</w:t>
            </w:r>
          </w:p>
        </w:tc>
        <w:tc>
          <w:tcPr>
            <w:tcW w:type="dxa" w:w="1512"/>
            <w:vAlign w:val="top"/>
          </w:tcPr>
          <w:p>
            <w:pPr>
              <w:spacing w:after="40" w:before="0" w:line="259" w:lineRule="auto"/>
            </w:pPr>
            <w:r>
              <w:rPr>
                <w:rFonts w:ascii="Calibri" w:hAnsi="Calibri"/>
                <w:b w:val="0"/>
                <w:i w:val="0"/>
                <w:color w:val="212121"/>
                <w:sz w:val="19"/>
              </w:rPr>
              <w:t>&lt; 10% (ideally &lt; 5%)</w:t>
            </w:r>
          </w:p>
        </w:tc>
        <w:tc>
          <w:tcPr>
            <w:tcW w:type="dxa" w:w="1512"/>
            <w:vAlign w:val="top"/>
          </w:tcPr>
          <w:p>
            <w:pPr>
              <w:spacing w:after="40" w:before="0" w:line="259" w:lineRule="auto"/>
            </w:pPr>
            <w:r>
              <w:rPr>
                <w:rFonts w:ascii="Calibri" w:hAnsi="Calibri"/>
                <w:b w:val="0"/>
                <w:i w:val="0"/>
                <w:color w:val="212121"/>
                <w:sz w:val="19"/>
              </w:rPr>
              <w:t>&gt; 10% of energy</w:t>
            </w:r>
          </w:p>
        </w:tc>
        <w:tc>
          <w:tcPr>
            <w:tcW w:type="dxa" w:w="1468"/>
            <w:vAlign w:val="top"/>
          </w:tcPr>
          <w:p>
            <w:pPr>
              <w:spacing w:after="60" w:line="259" w:lineRule="auto"/>
            </w:pPr>
            <w:r>
              <w:rPr>
                <w:rFonts w:ascii="Calibri" w:hAnsi="Calibri"/>
                <w:b w:val="0"/>
                <w:i w:val="0"/>
                <w:color w:val="212121"/>
                <w:sz w:val="19"/>
              </w:rPr>
              <w:t>WHO threshold set specifically to reduce dental caries</w:t>
            </w:r>
          </w:p>
          <w:p>
            <w:pPr>
              <w:spacing w:after="40" w:line="252" w:lineRule="auto"/>
            </w:pPr>
            <w:hyperlink r:id="rId15">
              <w:r>
                <w:rPr>
                  <w:rFonts w:ascii="Calibri" w:hAnsi="Calibri" w:cs="Calibri"/>
                  <w:sz w:val="18"/>
                  <w:color w:val="1155CC"/>
                  <w:u w:val="single"/>
                </w:rPr>
                <w:t xml:space="preserve">https://www.ncbi.nlm.nih.gov/books/NBK285525/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Frequency of sugar exposures (times/day)</w:t>
            </w:r>
          </w:p>
        </w:tc>
        <w:tc>
          <w:tcPr>
            <w:tcW w:type="dxa" w:w="1655"/>
            <w:vAlign w:val="top"/>
          </w:tcPr>
          <w:p>
            <w:pPr>
              <w:spacing w:after="40" w:before="0" w:line="259" w:lineRule="auto"/>
            </w:pPr>
            <w:r>
              <w:rPr>
                <w:rFonts w:ascii="Calibri" w:hAnsi="Calibri"/>
                <w:b w:val="0"/>
                <w:i w:val="0"/>
                <w:color w:val="212121"/>
                <w:sz w:val="19"/>
              </w:rPr>
              <w:t>All ages</w:t>
            </w:r>
          </w:p>
        </w:tc>
        <w:tc>
          <w:tcPr>
            <w:tcW w:type="dxa" w:w="1512"/>
            <w:vAlign w:val="top"/>
          </w:tcPr>
          <w:p>
            <w:pPr>
              <w:spacing w:after="40" w:before="0" w:line="259" w:lineRule="auto"/>
            </w:pPr>
            <w:r>
              <w:rPr>
                <w:rFonts w:ascii="Calibri" w:hAnsi="Calibri"/>
                <w:b w:val="0"/>
                <w:i w:val="0"/>
                <w:color w:val="212121"/>
                <w:sz w:val="19"/>
              </w:rPr>
              <w:t>&lt;= 3-4 including meals</w:t>
            </w:r>
          </w:p>
        </w:tc>
        <w:tc>
          <w:tcPr>
            <w:tcW w:type="dxa" w:w="1512"/>
            <w:vAlign w:val="top"/>
          </w:tcPr>
          <w:p>
            <w:pPr>
              <w:spacing w:after="40" w:before="0" w:line="259" w:lineRule="auto"/>
            </w:pPr>
            <w:r>
              <w:rPr>
                <w:rFonts w:ascii="Calibri" w:hAnsi="Calibri"/>
                <w:b w:val="0"/>
                <w:i w:val="0"/>
                <w:color w:val="212121"/>
                <w:sz w:val="19"/>
              </w:rPr>
              <w:t>&gt; 4-6 between-meal exposures</w:t>
            </w:r>
          </w:p>
        </w:tc>
        <w:tc>
          <w:tcPr>
            <w:tcW w:type="dxa" w:w="1468"/>
            <w:vAlign w:val="top"/>
          </w:tcPr>
          <w:p>
            <w:pPr>
              <w:spacing w:after="40" w:before="0" w:line="259" w:lineRule="auto"/>
            </w:pPr>
            <w:r>
              <w:rPr>
                <w:rFonts w:ascii="Calibri" w:hAnsi="Calibri"/>
                <w:b w:val="0"/>
                <w:i w:val="0"/>
                <w:color w:val="212121"/>
                <w:sz w:val="19"/>
              </w:rPr>
              <w:t>Each exposure lowers plaque pH for about 20-40 minutes (Stephan curve)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Sugar-sweetened beverage intake</w:t>
            </w:r>
          </w:p>
        </w:tc>
        <w:tc>
          <w:tcPr>
            <w:tcW w:type="dxa" w:w="1655"/>
            <w:vAlign w:val="top"/>
          </w:tcPr>
          <w:p>
            <w:pPr>
              <w:spacing w:after="40" w:before="0" w:line="259" w:lineRule="auto"/>
            </w:pPr>
            <w:r>
              <w:rPr>
                <w:rFonts w:ascii="Calibri" w:hAnsi="Calibri"/>
                <w:b w:val="0"/>
                <w:i w:val="0"/>
                <w:color w:val="212121"/>
                <w:sz w:val="19"/>
              </w:rPr>
              <w:t>Children, adolescents, adults</w:t>
            </w:r>
          </w:p>
        </w:tc>
        <w:tc>
          <w:tcPr>
            <w:tcW w:type="dxa" w:w="1512"/>
            <w:vAlign w:val="top"/>
          </w:tcPr>
          <w:p>
            <w:pPr>
              <w:spacing w:after="40" w:before="0" w:line="259" w:lineRule="auto"/>
            </w:pPr>
            <w:r>
              <w:rPr>
                <w:rFonts w:ascii="Calibri" w:hAnsi="Calibri"/>
                <w:b w:val="0"/>
                <w:i w:val="0"/>
                <w:color w:val="212121"/>
                <w:sz w:val="19"/>
              </w:rPr>
              <w:t>0 servings/day</w:t>
            </w:r>
          </w:p>
        </w:tc>
        <w:tc>
          <w:tcPr>
            <w:tcW w:type="dxa" w:w="1512"/>
            <w:vAlign w:val="top"/>
          </w:tcPr>
          <w:p>
            <w:pPr>
              <w:spacing w:after="40" w:before="0" w:line="259" w:lineRule="auto"/>
            </w:pPr>
            <w:r>
              <w:rPr>
                <w:rFonts w:ascii="Calibri" w:hAnsi="Calibri"/>
                <w:b w:val="0"/>
                <w:i w:val="0"/>
                <w:color w:val="212121"/>
                <w:sz w:val="19"/>
              </w:rPr>
              <w:t>&gt;= 1 serving/day</w:t>
            </w:r>
          </w:p>
        </w:tc>
        <w:tc>
          <w:tcPr>
            <w:tcW w:type="dxa" w:w="1468"/>
            <w:vAlign w:val="top"/>
          </w:tcPr>
          <w:p>
            <w:pPr>
              <w:spacing w:after="60" w:line="259" w:lineRule="auto"/>
            </w:pPr>
            <w:r>
              <w:rPr>
                <w:rFonts w:ascii="Calibri" w:hAnsi="Calibri"/>
                <w:b w:val="0"/>
                <w:i w:val="0"/>
                <w:color w:val="212121"/>
                <w:sz w:val="19"/>
              </w:rPr>
              <w:t>Regular intake raises caries odds by about 70%</w:t>
            </w:r>
          </w:p>
          <w:p>
            <w:pPr>
              <w:spacing w:after="40" w:line="252" w:lineRule="auto"/>
            </w:pPr>
            <w:hyperlink r:id="rId16">
              <w:r>
                <w:rPr>
                  <w:rFonts w:ascii="Calibri" w:hAnsi="Calibri" w:cs="Calibri"/>
                  <w:sz w:val="18"/>
                  <w:color w:val="1155CC"/>
                  <w:u w:val="single"/>
                </w:rPr>
                <w:t xml:space="preserve">https://academic.oup.com/eurpub/article/31/1/122/5896049</w:t>
              </w:r>
            </w:hyperlink>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Toothbrushing frequency</w:t>
            </w:r>
          </w:p>
        </w:tc>
        <w:tc>
          <w:tcPr>
            <w:tcW w:type="dxa" w:w="1655"/>
            <w:vAlign w:val="top"/>
          </w:tcPr>
          <w:p>
            <w:pPr>
              <w:spacing w:after="40" w:before="0" w:line="259" w:lineRule="auto"/>
            </w:pPr>
            <w:r>
              <w:rPr>
                <w:rFonts w:ascii="Calibri" w:hAnsi="Calibri"/>
                <w:b w:val="0"/>
                <w:i w:val="0"/>
                <w:color w:val="212121"/>
                <w:sz w:val="19"/>
              </w:rPr>
              <w:t>All ages</w:t>
            </w:r>
          </w:p>
        </w:tc>
        <w:tc>
          <w:tcPr>
            <w:tcW w:type="dxa" w:w="1512"/>
            <w:vAlign w:val="top"/>
          </w:tcPr>
          <w:p>
            <w:pPr>
              <w:spacing w:after="40" w:before="0" w:line="259" w:lineRule="auto"/>
            </w:pPr>
            <w:r>
              <w:rPr>
                <w:rFonts w:ascii="Calibri" w:hAnsi="Calibri"/>
                <w:b w:val="0"/>
                <w:i w:val="0"/>
                <w:color w:val="212121"/>
                <w:sz w:val="19"/>
              </w:rPr>
              <w:t>Twice daily with fluoride toothpaste</w:t>
            </w:r>
          </w:p>
        </w:tc>
        <w:tc>
          <w:tcPr>
            <w:tcW w:type="dxa" w:w="1512"/>
            <w:vAlign w:val="top"/>
          </w:tcPr>
          <w:p>
            <w:pPr>
              <w:spacing w:after="40" w:before="0" w:line="259" w:lineRule="auto"/>
            </w:pPr>
            <w:r>
              <w:rPr>
                <w:rFonts w:ascii="Calibri" w:hAnsi="Calibri"/>
                <w:b w:val="0"/>
                <w:i w:val="0"/>
                <w:color w:val="212121"/>
                <w:sz w:val="19"/>
              </w:rPr>
              <w:t>&lt; once daily or non-fluoride paste</w:t>
            </w:r>
          </w:p>
        </w:tc>
        <w:tc>
          <w:tcPr>
            <w:tcW w:type="dxa" w:w="1468"/>
            <w:vAlign w:val="top"/>
          </w:tcPr>
          <w:p>
            <w:pPr>
              <w:spacing w:after="60" w:line="259" w:lineRule="auto"/>
            </w:pPr>
            <w:r>
              <w:rPr>
                <w:rFonts w:ascii="Calibri" w:hAnsi="Calibri"/>
                <w:b w:val="0"/>
                <w:i w:val="0"/>
                <w:color w:val="212121"/>
                <w:sz w:val="19"/>
              </w:rPr>
              <w:t>Spit, do not rinse, to retain fluoride on teeth</w:t>
            </w:r>
          </w:p>
          <w:p>
            <w:pPr>
              <w:spacing w:after="40" w:line="252" w:lineRule="auto"/>
            </w:pPr>
            <w:hyperlink r:id="rId13">
              <w:r>
                <w:rPr>
                  <w:rFonts w:ascii="Calibri" w:hAnsi="Calibri" w:cs="Calibri"/>
                  <w:sz w:val="18"/>
                  <w:color w:val="1155CC"/>
                  <w:u w:val="single"/>
                </w:rPr>
                <w:t xml:space="preserve">https://www.cochrane.org/evidence/CD007868_fluoride-toothpastes-different-strengths-preventing-tooth-decay</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Fluoride toothpaste concentration</w:t>
            </w:r>
          </w:p>
        </w:tc>
        <w:tc>
          <w:tcPr>
            <w:tcW w:type="dxa" w:w="1655"/>
            <w:vAlign w:val="top"/>
          </w:tcPr>
          <w:p>
            <w:pPr>
              <w:spacing w:after="40" w:before="0" w:line="259" w:lineRule="auto"/>
            </w:pPr>
            <w:r>
              <w:rPr>
                <w:rFonts w:ascii="Calibri" w:hAnsi="Calibri"/>
                <w:b w:val="0"/>
                <w:i w:val="0"/>
                <w:color w:val="212121"/>
                <w:sz w:val="19"/>
              </w:rPr>
              <w:t>Adults and children (age-adjusted)</w:t>
            </w:r>
          </w:p>
        </w:tc>
        <w:tc>
          <w:tcPr>
            <w:tcW w:type="dxa" w:w="1512"/>
            <w:vAlign w:val="top"/>
          </w:tcPr>
          <w:p>
            <w:pPr>
              <w:spacing w:after="40" w:before="0" w:line="259" w:lineRule="auto"/>
            </w:pPr>
            <w:r>
              <w:rPr>
                <w:rFonts w:ascii="Calibri" w:hAnsi="Calibri"/>
                <w:b w:val="0"/>
                <w:i w:val="0"/>
                <w:color w:val="212121"/>
                <w:sz w:val="19"/>
              </w:rPr>
              <w:t>1000-1500 ppm fluoride</w:t>
            </w:r>
          </w:p>
        </w:tc>
        <w:tc>
          <w:tcPr>
            <w:tcW w:type="dxa" w:w="1512"/>
            <w:vAlign w:val="top"/>
          </w:tcPr>
          <w:p>
            <w:pPr>
              <w:spacing w:after="40" w:before="0" w:line="259" w:lineRule="auto"/>
            </w:pPr>
            <w:r>
              <w:rPr>
                <w:rFonts w:ascii="Calibri" w:hAnsi="Calibri"/>
                <w:b w:val="0"/>
                <w:i w:val="0"/>
                <w:color w:val="212121"/>
                <w:sz w:val="19"/>
              </w:rPr>
              <w:t>&lt; 1000 ppm</w:t>
            </w:r>
          </w:p>
        </w:tc>
        <w:tc>
          <w:tcPr>
            <w:tcW w:type="dxa" w:w="1468"/>
            <w:vAlign w:val="top"/>
          </w:tcPr>
          <w:p>
            <w:pPr>
              <w:spacing w:after="60" w:line="259" w:lineRule="auto"/>
            </w:pPr>
            <w:r>
              <w:rPr>
                <w:rFonts w:ascii="Calibri" w:hAnsi="Calibri"/>
                <w:b w:val="0"/>
                <w:i w:val="0"/>
                <w:color w:val="212121"/>
                <w:sz w:val="19"/>
              </w:rPr>
              <w:t>Caries reduction is concentration-dependent above ~1000 ppm; balance fluorosis risk in young children</w:t>
            </w:r>
          </w:p>
          <w:p>
            <w:pPr>
              <w:spacing w:after="40" w:line="252" w:lineRule="auto"/>
            </w:pPr>
            <w:hyperlink r:id="rId13">
              <w:r>
                <w:rPr>
                  <w:rFonts w:ascii="Calibri" w:hAnsi="Calibri" w:cs="Calibri"/>
                  <w:sz w:val="18"/>
                  <w:color w:val="1155CC"/>
                  <w:u w:val="single"/>
                </w:rPr>
                <w:t xml:space="preserve">https://www.cochrane.org/evidence/CD007868_fluoride-toothpastes-different-strengths-preventing-tooth-decay</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Drinking-water fluoride</w:t>
            </w:r>
          </w:p>
        </w:tc>
        <w:tc>
          <w:tcPr>
            <w:tcW w:type="dxa" w:w="1655"/>
            <w:vAlign w:val="top"/>
          </w:tcPr>
          <w:p>
            <w:pPr>
              <w:spacing w:after="40" w:before="0" w:line="259" w:lineRule="auto"/>
            </w:pPr>
            <w:r>
              <w:rPr>
                <w:rFonts w:ascii="Calibri" w:hAnsi="Calibri"/>
                <w:b w:val="0"/>
                <w:i w:val="0"/>
                <w:color w:val="212121"/>
                <w:sz w:val="19"/>
              </w:rPr>
              <w:t>Communities</w:t>
            </w:r>
          </w:p>
        </w:tc>
        <w:tc>
          <w:tcPr>
            <w:tcW w:type="dxa" w:w="1512"/>
            <w:vAlign w:val="top"/>
          </w:tcPr>
          <w:p>
            <w:pPr>
              <w:spacing w:after="40" w:before="0" w:line="259" w:lineRule="auto"/>
            </w:pPr>
            <w:r>
              <w:rPr>
                <w:rFonts w:ascii="Calibri" w:hAnsi="Calibri"/>
                <w:b w:val="0"/>
                <w:i w:val="0"/>
                <w:color w:val="212121"/>
                <w:sz w:val="19"/>
              </w:rPr>
              <w:t>~0.5-1.0 mg/L (optimal)</w:t>
            </w:r>
          </w:p>
        </w:tc>
        <w:tc>
          <w:tcPr>
            <w:tcW w:type="dxa" w:w="1512"/>
            <w:vAlign w:val="top"/>
          </w:tcPr>
          <w:p>
            <w:pPr>
              <w:spacing w:after="40" w:before="0" w:line="259" w:lineRule="auto"/>
            </w:pPr>
            <w:r>
              <w:rPr>
                <w:rFonts w:ascii="Calibri" w:hAnsi="Calibri"/>
                <w:b w:val="0"/>
                <w:i w:val="0"/>
                <w:color w:val="212121"/>
                <w:sz w:val="19"/>
              </w:rPr>
              <w:t>&lt; 0.5 mg/L (caries) or &gt; 1.5 mg/L (fluorosis)</w:t>
            </w:r>
          </w:p>
        </w:tc>
        <w:tc>
          <w:tcPr>
            <w:tcW w:type="dxa" w:w="1468"/>
            <w:vAlign w:val="top"/>
          </w:tcPr>
          <w:p>
            <w:pPr>
              <w:spacing w:after="40" w:before="0" w:line="259" w:lineRule="auto"/>
            </w:pPr>
            <w:r>
              <w:rPr>
                <w:rFonts w:ascii="Calibri" w:hAnsi="Calibri"/>
                <w:b w:val="0"/>
                <w:i w:val="0"/>
                <w:color w:val="212121"/>
                <w:sz w:val="19"/>
              </w:rPr>
              <w:t>India has both fluoride-deficient and endemic-fluorosis regions</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Tobacco use (smoked and smokeless)</w:t>
            </w:r>
          </w:p>
        </w:tc>
        <w:tc>
          <w:tcPr>
            <w:tcW w:type="dxa" w:w="1655"/>
            <w:vAlign w:val="top"/>
          </w:tcPr>
          <w:p>
            <w:pPr>
              <w:spacing w:after="40" w:before="0" w:line="259" w:lineRule="auto"/>
            </w:pPr>
            <w:r>
              <w:rPr>
                <w:rFonts w:ascii="Calibri" w:hAnsi="Calibri"/>
                <w:b w:val="0"/>
                <w:i w:val="0"/>
                <w:color w:val="212121"/>
                <w:sz w:val="19"/>
              </w:rPr>
              <w:t>Adolescents, adults, elderly</w:t>
            </w:r>
          </w:p>
        </w:tc>
        <w:tc>
          <w:tcPr>
            <w:tcW w:type="dxa" w:w="1512"/>
            <w:vAlign w:val="top"/>
          </w:tcPr>
          <w:p>
            <w:pPr>
              <w:spacing w:after="40" w:before="0" w:line="259" w:lineRule="auto"/>
            </w:pPr>
            <w:r>
              <w:rPr>
                <w:rFonts w:ascii="Calibri" w:hAnsi="Calibri"/>
                <w:b w:val="0"/>
                <w:i w:val="0"/>
                <w:color w:val="212121"/>
                <w:sz w:val="19"/>
              </w:rPr>
              <w:t>None</w:t>
            </w:r>
          </w:p>
        </w:tc>
        <w:tc>
          <w:tcPr>
            <w:tcW w:type="dxa" w:w="1512"/>
            <w:vAlign w:val="top"/>
          </w:tcPr>
          <w:p>
            <w:pPr>
              <w:spacing w:after="40" w:before="0" w:line="259" w:lineRule="auto"/>
            </w:pPr>
            <w:r>
              <w:rPr>
                <w:rFonts w:ascii="Calibri" w:hAnsi="Calibri"/>
                <w:b w:val="0"/>
                <w:i w:val="0"/>
                <w:color w:val="212121"/>
                <w:sz w:val="19"/>
              </w:rPr>
              <w:t>Any daily use</w:t>
            </w:r>
          </w:p>
        </w:tc>
        <w:tc>
          <w:tcPr>
            <w:tcW w:type="dxa" w:w="1468"/>
            <w:vAlign w:val="top"/>
          </w:tcPr>
          <w:p>
            <w:pPr>
              <w:spacing w:after="60" w:line="259" w:lineRule="auto"/>
            </w:pPr>
            <w:r>
              <w:rPr>
                <w:rFonts w:ascii="Calibri" w:hAnsi="Calibri"/>
                <w:b w:val="0"/>
                <w:i w:val="0"/>
                <w:color w:val="212121"/>
                <w:sz w:val="19"/>
              </w:rPr>
              <w:t>Users show higher DMFT and more root caries</w:t>
            </w:r>
          </w:p>
          <w:p>
            <w:pPr>
              <w:spacing w:after="40" w:line="252" w:lineRule="auto"/>
            </w:pPr>
            <w:hyperlink r:id="rId14">
              <w:r>
                <w:rPr>
                  <w:rFonts w:ascii="Calibri" w:hAnsi="Calibri" w:cs="Calibri"/>
                  <w:sz w:val="18"/>
                  <w:color w:val="1155CC"/>
                  <w:u w:val="single"/>
                </w:rPr>
                <w:t xml:space="preserve">https://www.tobaccoinduceddiseases.org/Correlation-between-tobacco-smoking-and-dental-caries-A-nsystematic-review-and-meta,106117,0,2.html</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Night-time sugary feeding</w:t>
            </w:r>
          </w:p>
        </w:tc>
        <w:tc>
          <w:tcPr>
            <w:tcW w:type="dxa" w:w="1655"/>
            <w:vAlign w:val="top"/>
          </w:tcPr>
          <w:p>
            <w:pPr>
              <w:spacing w:after="40" w:before="0" w:line="259" w:lineRule="auto"/>
            </w:pPr>
            <w:r>
              <w:rPr>
                <w:rFonts w:ascii="Calibri" w:hAnsi="Calibri"/>
                <w:b w:val="0"/>
                <w:i w:val="0"/>
                <w:color w:val="212121"/>
                <w:sz w:val="19"/>
              </w:rPr>
              <w:t>Infants and toddlers</w:t>
            </w:r>
          </w:p>
        </w:tc>
        <w:tc>
          <w:tcPr>
            <w:tcW w:type="dxa" w:w="1512"/>
            <w:vAlign w:val="top"/>
          </w:tcPr>
          <w:p>
            <w:pPr>
              <w:spacing w:after="40" w:before="0" w:line="259" w:lineRule="auto"/>
            </w:pPr>
            <w:r>
              <w:rPr>
                <w:rFonts w:ascii="Calibri" w:hAnsi="Calibri"/>
                <w:b w:val="0"/>
                <w:i w:val="0"/>
                <w:color w:val="212121"/>
                <w:sz w:val="19"/>
              </w:rPr>
              <w:t>None after teeth erupt</w:t>
            </w:r>
          </w:p>
        </w:tc>
        <w:tc>
          <w:tcPr>
            <w:tcW w:type="dxa" w:w="1512"/>
            <w:vAlign w:val="top"/>
          </w:tcPr>
          <w:p>
            <w:pPr>
              <w:spacing w:after="40" w:before="0" w:line="259" w:lineRule="auto"/>
            </w:pPr>
            <w:r>
              <w:rPr>
                <w:rFonts w:ascii="Calibri" w:hAnsi="Calibri"/>
                <w:b w:val="0"/>
                <w:i w:val="0"/>
                <w:color w:val="212121"/>
                <w:sz w:val="19"/>
              </w:rPr>
              <w:t>Bedtime bottle or frequent night feeding</w:t>
            </w:r>
          </w:p>
        </w:tc>
        <w:tc>
          <w:tcPr>
            <w:tcW w:type="dxa" w:w="1468"/>
            <w:vAlign w:val="top"/>
          </w:tcPr>
          <w:p>
            <w:pPr>
              <w:spacing w:after="60" w:line="259" w:lineRule="auto"/>
            </w:pPr>
            <w:r>
              <w:rPr>
                <w:rFonts w:ascii="Calibri" w:hAnsi="Calibri"/>
                <w:b w:val="0"/>
                <w:i w:val="0"/>
                <w:color w:val="212121"/>
                <w:sz w:val="19"/>
              </w:rPr>
              <w:t>Nocturnal feeding roughly doubles ECC risk</w:t>
            </w:r>
          </w:p>
          <w:p>
            <w:pPr>
              <w:spacing w:after="40" w:line="252" w:lineRule="auto"/>
            </w:pPr>
            <w:hyperlink r:id="rId17">
              <w:r>
                <w:rPr>
                  <w:rFonts w:ascii="Calibri" w:hAnsi="Calibri" w:cs="Calibri"/>
                  <w:sz w:val="18"/>
                  <w:color w:val="1155CC"/>
                  <w:u w:val="single"/>
                </w:rPr>
                <w:t xml:space="preserve">https://www.mdpi.com/2072-6643/16/9/1355</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Unstimulated salivary flow rate</w:t>
            </w:r>
          </w:p>
        </w:tc>
        <w:tc>
          <w:tcPr>
            <w:tcW w:type="dxa" w:w="1655"/>
            <w:vAlign w:val="top"/>
          </w:tcPr>
          <w:p>
            <w:pPr>
              <w:spacing w:after="40" w:before="0" w:line="259" w:lineRule="auto"/>
            </w:pPr>
            <w:r>
              <w:rPr>
                <w:rFonts w:ascii="Calibri" w:hAnsi="Calibri"/>
                <w:b w:val="0"/>
                <w:i w:val="0"/>
                <w:color w:val="212121"/>
                <w:sz w:val="19"/>
              </w:rPr>
              <w:t>Elderly, medicated, xerostomia</w:t>
            </w:r>
          </w:p>
        </w:tc>
        <w:tc>
          <w:tcPr>
            <w:tcW w:type="dxa" w:w="1512"/>
            <w:vAlign w:val="top"/>
          </w:tcPr>
          <w:p>
            <w:pPr>
              <w:spacing w:after="40" w:before="0" w:line="259" w:lineRule="auto"/>
            </w:pPr>
            <w:r>
              <w:rPr>
                <w:rFonts w:ascii="Calibri" w:hAnsi="Calibri"/>
                <w:b w:val="0"/>
                <w:i w:val="0"/>
                <w:color w:val="212121"/>
                <w:sz w:val="19"/>
              </w:rPr>
              <w:t>&gt;= 0.3 mL/min</w:t>
            </w:r>
          </w:p>
        </w:tc>
        <w:tc>
          <w:tcPr>
            <w:tcW w:type="dxa" w:w="1512"/>
            <w:vAlign w:val="top"/>
          </w:tcPr>
          <w:p>
            <w:pPr>
              <w:spacing w:after="40" w:before="0" w:line="259" w:lineRule="auto"/>
            </w:pPr>
            <w:r>
              <w:rPr>
                <w:rFonts w:ascii="Calibri" w:hAnsi="Calibri"/>
                <w:b w:val="0"/>
                <w:i w:val="0"/>
                <w:color w:val="212121"/>
                <w:sz w:val="19"/>
              </w:rPr>
              <w:t>&lt; 0.1 mL/min (hyposalivation)</w:t>
            </w:r>
          </w:p>
        </w:tc>
        <w:tc>
          <w:tcPr>
            <w:tcW w:type="dxa" w:w="1468"/>
            <w:vAlign w:val="top"/>
          </w:tcPr>
          <w:p>
            <w:pPr>
              <w:spacing w:after="40" w:before="0" w:line="259" w:lineRule="auto"/>
            </w:pPr>
            <w:r>
              <w:rPr>
                <w:rFonts w:ascii="Calibri" w:hAnsi="Calibri"/>
                <w:b w:val="0"/>
                <w:i w:val="0"/>
                <w:color w:val="212121"/>
                <w:sz w:val="19"/>
              </w:rPr>
              <w:t>Low saliva accelerates rampant and root caries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Epidemiological index</w:t>
            </w:r>
          </w:p>
        </w:tc>
        <w:tc>
          <w:tcPr>
            <w:tcW w:type="dxa" w:w="1036"/>
            <w:vAlign w:val="top"/>
          </w:tcPr>
          <w:p>
            <w:pPr>
              <w:spacing w:after="40" w:before="0" w:line="259" w:lineRule="auto"/>
            </w:pPr>
            <w:r>
              <w:rPr>
                <w:rFonts w:ascii="Calibri" w:hAnsi="Calibri"/>
                <w:b w:val="0"/>
                <w:i w:val="0"/>
                <w:color w:val="212121"/>
                <w:sz w:val="16"/>
              </w:rPr>
              <w:t>DMFT / deft index</w:t>
            </w:r>
          </w:p>
        </w:tc>
        <w:tc>
          <w:tcPr>
            <w:tcW w:type="dxa" w:w="892"/>
            <w:vAlign w:val="top"/>
          </w:tcPr>
          <w:p>
            <w:pPr>
              <w:spacing w:after="40" w:before="0" w:line="259" w:lineRule="auto"/>
            </w:pPr>
            <w:r>
              <w:rPr>
                <w:rFonts w:ascii="Calibri" w:hAnsi="Calibri"/>
                <w:b w:val="0"/>
                <w:i w:val="0"/>
                <w:color w:val="212121"/>
                <w:sz w:val="16"/>
              </w:rPr>
              <w:t>WHO caries index</w:t>
            </w:r>
          </w:p>
        </w:tc>
        <w:tc>
          <w:tcPr>
            <w:tcW w:type="dxa" w:w="950"/>
            <w:vAlign w:val="top"/>
          </w:tcPr>
          <w:p>
            <w:pPr>
              <w:spacing w:after="40" w:before="0" w:line="259" w:lineRule="auto"/>
            </w:pPr>
            <w:r>
              <w:rPr>
                <w:rFonts w:ascii="Calibri" w:hAnsi="Calibri"/>
                <w:b w:val="0"/>
                <w:i w:val="0"/>
                <w:color w:val="212121"/>
                <w:sz w:val="16"/>
              </w:rPr>
              <w:t>DMFT/deft = 0</w:t>
            </w:r>
          </w:p>
        </w:tc>
        <w:tc>
          <w:tcPr>
            <w:tcW w:type="dxa" w:w="950"/>
            <w:vAlign w:val="top"/>
          </w:tcPr>
          <w:p>
            <w:pPr>
              <w:spacing w:after="40" w:before="0" w:line="259" w:lineRule="auto"/>
            </w:pPr>
            <w:r>
              <w:rPr>
                <w:rFonts w:ascii="Calibri" w:hAnsi="Calibri"/>
                <w:b w:val="0"/>
                <w:i w:val="0"/>
                <w:color w:val="212121"/>
                <w:sz w:val="16"/>
              </w:rPr>
              <w:t>&gt;= 1 (any D component)</w:t>
            </w:r>
          </w:p>
        </w:tc>
        <w:tc>
          <w:tcPr>
            <w:tcW w:type="dxa" w:w="1036"/>
            <w:vAlign w:val="top"/>
          </w:tcPr>
          <w:p>
            <w:pPr>
              <w:spacing w:after="40" w:before="0" w:line="259" w:lineRule="auto"/>
            </w:pPr>
            <w:r>
              <w:rPr>
                <w:rFonts w:ascii="Calibri" w:hAnsi="Calibri"/>
                <w:b w:val="0"/>
                <w:i w:val="0"/>
                <w:color w:val="212121"/>
                <w:sz w:val="16"/>
              </w:rPr>
              <w:t>Cumulative caries experience; D = active untreated decay</w:t>
            </w:r>
          </w:p>
        </w:tc>
        <w:tc>
          <w:tcPr>
            <w:tcW w:type="dxa" w:w="1036"/>
            <w:vAlign w:val="top"/>
          </w:tcPr>
          <w:p>
            <w:pPr>
              <w:spacing w:after="40" w:before="0" w:line="259" w:lineRule="auto"/>
            </w:pPr>
            <w:r>
              <w:rPr>
                <w:rFonts w:ascii="Calibri" w:hAnsi="Calibri"/>
                <w:b w:val="0"/>
                <w:i w:val="0"/>
                <w:color w:val="212121"/>
                <w:sz w:val="16"/>
              </w:rPr>
              <w:t>Children (deft), adolescents and adults (DMFT)</w:t>
            </w:r>
          </w:p>
        </w:tc>
        <w:tc>
          <w:tcPr>
            <w:tcW w:type="dxa" w:w="720"/>
            <w:vAlign w:val="top"/>
          </w:tcPr>
          <w:p>
            <w:pPr>
              <w:spacing w:after="40" w:before="0" w:line="259" w:lineRule="auto"/>
            </w:pPr>
            <w:r>
              <w:rPr>
                <w:rFonts w:ascii="Calibri" w:hAnsi="Calibri"/>
                <w:b w:val="0"/>
                <w:i w:val="0"/>
                <w:color w:val="212121"/>
                <w:sz w:val="16"/>
              </w:rPr>
              <w:t>Food; Hygiene</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WHO records cavitated (D3) lesions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Clinical scoring</w:t>
            </w:r>
          </w:p>
        </w:tc>
        <w:tc>
          <w:tcPr>
            <w:tcW w:type="dxa" w:w="1036"/>
            <w:vAlign w:val="top"/>
          </w:tcPr>
          <w:p>
            <w:pPr>
              <w:spacing w:after="40" w:before="0" w:line="259" w:lineRule="auto"/>
            </w:pPr>
            <w:r>
              <w:rPr>
                <w:rFonts w:ascii="Calibri" w:hAnsi="Calibri"/>
                <w:b w:val="0"/>
                <w:i w:val="0"/>
                <w:color w:val="212121"/>
                <w:sz w:val="16"/>
              </w:rPr>
              <w:t>ICDAS code (0-6)</w:t>
            </w:r>
          </w:p>
        </w:tc>
        <w:tc>
          <w:tcPr>
            <w:tcW w:type="dxa" w:w="892"/>
            <w:vAlign w:val="top"/>
          </w:tcPr>
          <w:p>
            <w:pPr>
              <w:spacing w:after="40" w:before="0" w:line="259" w:lineRule="auto"/>
            </w:pPr>
            <w:r>
              <w:rPr>
                <w:rFonts w:ascii="Calibri" w:hAnsi="Calibri"/>
                <w:b w:val="0"/>
                <w:i w:val="0"/>
                <w:color w:val="212121"/>
                <w:sz w:val="16"/>
              </w:rPr>
              <w:t>Visual caries detection</w:t>
            </w:r>
          </w:p>
        </w:tc>
        <w:tc>
          <w:tcPr>
            <w:tcW w:type="dxa" w:w="950"/>
            <w:vAlign w:val="top"/>
          </w:tcPr>
          <w:p>
            <w:pPr>
              <w:spacing w:after="40" w:before="0" w:line="259" w:lineRule="auto"/>
            </w:pPr>
            <w:r>
              <w:rPr>
                <w:rFonts w:ascii="Calibri" w:hAnsi="Calibri"/>
                <w:b w:val="0"/>
                <w:i w:val="0"/>
                <w:color w:val="212121"/>
                <w:sz w:val="16"/>
              </w:rPr>
              <w:t>ICDAS 0 (sound)</w:t>
            </w:r>
          </w:p>
        </w:tc>
        <w:tc>
          <w:tcPr>
            <w:tcW w:type="dxa" w:w="950"/>
            <w:vAlign w:val="top"/>
          </w:tcPr>
          <w:p>
            <w:pPr>
              <w:spacing w:after="40" w:before="0" w:line="259" w:lineRule="auto"/>
            </w:pPr>
            <w:r>
              <w:rPr>
                <w:rFonts w:ascii="Calibri" w:hAnsi="Calibri"/>
                <w:b w:val="0"/>
                <w:i w:val="0"/>
                <w:color w:val="212121"/>
                <w:sz w:val="16"/>
              </w:rPr>
              <w:t>ICDAS 1-6</w:t>
            </w:r>
          </w:p>
        </w:tc>
        <w:tc>
          <w:tcPr>
            <w:tcW w:type="dxa" w:w="1036"/>
            <w:vAlign w:val="top"/>
          </w:tcPr>
          <w:p>
            <w:pPr>
              <w:spacing w:after="40" w:before="0" w:line="259" w:lineRule="auto"/>
            </w:pPr>
            <w:r>
              <w:rPr>
                <w:rFonts w:ascii="Calibri" w:hAnsi="Calibri"/>
                <w:b w:val="0"/>
                <w:i w:val="0"/>
                <w:color w:val="212121"/>
                <w:sz w:val="16"/>
              </w:rPr>
              <w:t>Grades from white-spot (1-2) through cavitation (5-6)</w:t>
            </w:r>
          </w:p>
        </w:tc>
        <w:tc>
          <w:tcPr>
            <w:tcW w:type="dxa" w:w="1036"/>
            <w:vAlign w:val="top"/>
          </w:tcPr>
          <w:p>
            <w:pPr>
              <w:spacing w:after="40" w:before="0" w:line="259" w:lineRule="auto"/>
            </w:pPr>
            <w:r>
              <w:rPr>
                <w:rFonts w:ascii="Calibri" w:hAnsi="Calibri"/>
                <w:b w:val="0"/>
                <w:i w:val="0"/>
                <w:color w:val="212121"/>
                <w:sz w:val="16"/>
              </w:rPr>
              <w:t>Early lesions, clinical and research use</w:t>
            </w:r>
          </w:p>
        </w:tc>
        <w:tc>
          <w:tcPr>
            <w:tcW w:type="dxa" w:w="720"/>
            <w:vAlign w:val="top"/>
          </w:tcPr>
          <w:p>
            <w:pPr>
              <w:spacing w:after="40" w:before="0" w:line="259" w:lineRule="auto"/>
            </w:pPr>
            <w:r>
              <w:rPr>
                <w:rFonts w:ascii="Calibri" w:hAnsi="Calibri"/>
                <w:b w:val="0"/>
                <w:i w:val="0"/>
                <w:color w:val="212121"/>
                <w:sz w:val="16"/>
              </w:rPr>
              <w:t>Food; 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Detects non-cavitated lesions earlier than DMFT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Bitewing radiograph</w:t>
            </w:r>
          </w:p>
        </w:tc>
        <w:tc>
          <w:tcPr>
            <w:tcW w:type="dxa" w:w="892"/>
            <w:vAlign w:val="top"/>
          </w:tcPr>
          <w:p>
            <w:pPr>
              <w:spacing w:after="40" w:before="0" w:line="259" w:lineRule="auto"/>
            </w:pPr>
            <w:r>
              <w:rPr>
                <w:rFonts w:ascii="Calibri" w:hAnsi="Calibri"/>
                <w:b w:val="0"/>
                <w:i w:val="0"/>
                <w:color w:val="212121"/>
                <w:sz w:val="16"/>
              </w:rPr>
              <w:t>Radiographic caries detection</w:t>
            </w:r>
          </w:p>
        </w:tc>
        <w:tc>
          <w:tcPr>
            <w:tcW w:type="dxa" w:w="950"/>
            <w:vAlign w:val="top"/>
          </w:tcPr>
          <w:p>
            <w:pPr>
              <w:spacing w:after="40" w:before="0" w:line="259" w:lineRule="auto"/>
            </w:pPr>
            <w:r>
              <w:rPr>
                <w:rFonts w:ascii="Calibri" w:hAnsi="Calibri"/>
                <w:b w:val="0"/>
                <w:i w:val="0"/>
                <w:color w:val="212121"/>
                <w:sz w:val="16"/>
              </w:rPr>
              <w:t>No radiolucency</w:t>
            </w:r>
          </w:p>
        </w:tc>
        <w:tc>
          <w:tcPr>
            <w:tcW w:type="dxa" w:w="950"/>
            <w:vAlign w:val="top"/>
          </w:tcPr>
          <w:p>
            <w:pPr>
              <w:spacing w:after="40" w:before="0" w:line="259" w:lineRule="auto"/>
            </w:pPr>
            <w:r>
              <w:rPr>
                <w:rFonts w:ascii="Calibri" w:hAnsi="Calibri"/>
                <w:b w:val="0"/>
                <w:i w:val="0"/>
                <w:color w:val="212121"/>
                <w:sz w:val="16"/>
              </w:rPr>
              <w:t>Interproximal/occlusal radiolucency</w:t>
            </w:r>
          </w:p>
        </w:tc>
        <w:tc>
          <w:tcPr>
            <w:tcW w:type="dxa" w:w="1036"/>
            <w:vAlign w:val="top"/>
          </w:tcPr>
          <w:p>
            <w:pPr>
              <w:spacing w:after="40" w:before="0" w:line="259" w:lineRule="auto"/>
            </w:pPr>
            <w:r>
              <w:rPr>
                <w:rFonts w:ascii="Calibri" w:hAnsi="Calibri"/>
                <w:b w:val="0"/>
                <w:i w:val="0"/>
                <w:color w:val="212121"/>
                <w:sz w:val="16"/>
              </w:rPr>
              <w:t>Reveals hidden interproximal and secondary caries</w:t>
            </w:r>
          </w:p>
        </w:tc>
        <w:tc>
          <w:tcPr>
            <w:tcW w:type="dxa" w:w="1036"/>
            <w:vAlign w:val="top"/>
          </w:tcPr>
          <w:p>
            <w:pPr>
              <w:spacing w:after="40" w:before="0" w:line="259" w:lineRule="auto"/>
            </w:pPr>
            <w:r>
              <w:rPr>
                <w:rFonts w:ascii="Calibri" w:hAnsi="Calibri"/>
                <w:b w:val="0"/>
                <w:i w:val="0"/>
                <w:color w:val="212121"/>
                <w:sz w:val="16"/>
              </w:rPr>
              <w:t>Adults, proximal and recurrent lesions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Complements visual-tactile exam</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Optical</w:t>
            </w:r>
          </w:p>
        </w:tc>
        <w:tc>
          <w:tcPr>
            <w:tcW w:type="dxa" w:w="1036"/>
            <w:vAlign w:val="top"/>
          </w:tcPr>
          <w:p>
            <w:pPr>
              <w:spacing w:after="40" w:before="0" w:line="259" w:lineRule="auto"/>
            </w:pPr>
            <w:r>
              <w:rPr>
                <w:rFonts w:ascii="Calibri" w:hAnsi="Calibri"/>
                <w:b w:val="0"/>
                <w:i w:val="0"/>
                <w:color w:val="212121"/>
                <w:sz w:val="16"/>
              </w:rPr>
              <w:t>Laser fluorescence (DIAGNOdent)</w:t>
            </w:r>
          </w:p>
        </w:tc>
        <w:tc>
          <w:tcPr>
            <w:tcW w:type="dxa" w:w="892"/>
            <w:vAlign w:val="top"/>
          </w:tcPr>
          <w:p>
            <w:pPr>
              <w:spacing w:after="40" w:before="0" w:line="259" w:lineRule="auto"/>
            </w:pPr>
            <w:r>
              <w:rPr>
                <w:rFonts w:ascii="Calibri" w:hAnsi="Calibri"/>
                <w:b w:val="0"/>
                <w:i w:val="0"/>
                <w:color w:val="212121"/>
                <w:sz w:val="16"/>
              </w:rPr>
              <w:t>Adjunct caries detection</w:t>
            </w:r>
          </w:p>
        </w:tc>
        <w:tc>
          <w:tcPr>
            <w:tcW w:type="dxa" w:w="950"/>
            <w:vAlign w:val="top"/>
          </w:tcPr>
          <w:p>
            <w:pPr>
              <w:spacing w:after="40" w:before="0" w:line="259" w:lineRule="auto"/>
            </w:pPr>
            <w:r>
              <w:rPr>
                <w:rFonts w:ascii="Calibri" w:hAnsi="Calibri"/>
                <w:b w:val="0"/>
                <w:i w:val="0"/>
                <w:color w:val="212121"/>
                <w:sz w:val="16"/>
              </w:rPr>
              <w:t>Low reading</w:t>
            </w:r>
          </w:p>
        </w:tc>
        <w:tc>
          <w:tcPr>
            <w:tcW w:type="dxa" w:w="950"/>
            <w:vAlign w:val="top"/>
          </w:tcPr>
          <w:p>
            <w:pPr>
              <w:spacing w:after="40" w:before="0" w:line="259" w:lineRule="auto"/>
            </w:pPr>
            <w:r>
              <w:rPr>
                <w:rFonts w:ascii="Calibri" w:hAnsi="Calibri"/>
                <w:b w:val="0"/>
                <w:i w:val="0"/>
                <w:color w:val="212121"/>
                <w:sz w:val="16"/>
              </w:rPr>
              <w:t>Elevated reading</w:t>
            </w:r>
          </w:p>
        </w:tc>
        <w:tc>
          <w:tcPr>
            <w:tcW w:type="dxa" w:w="1036"/>
            <w:vAlign w:val="top"/>
          </w:tcPr>
          <w:p>
            <w:pPr>
              <w:spacing w:after="40" w:before="0" w:line="259" w:lineRule="auto"/>
            </w:pPr>
            <w:r>
              <w:rPr>
                <w:rFonts w:ascii="Calibri" w:hAnsi="Calibri"/>
                <w:b w:val="0"/>
                <w:i w:val="0"/>
                <w:color w:val="212121"/>
                <w:sz w:val="16"/>
              </w:rPr>
              <w:t>Quantifies mineral loss, mainly in fissures</w:t>
            </w:r>
          </w:p>
        </w:tc>
        <w:tc>
          <w:tcPr>
            <w:tcW w:type="dxa" w:w="1036"/>
            <w:vAlign w:val="top"/>
          </w:tcPr>
          <w:p>
            <w:pPr>
              <w:spacing w:after="40" w:before="0" w:line="259" w:lineRule="auto"/>
            </w:pPr>
            <w:r>
              <w:rPr>
                <w:rFonts w:ascii="Calibri" w:hAnsi="Calibri"/>
                <w:b w:val="0"/>
                <w:i w:val="0"/>
                <w:color w:val="212121"/>
                <w:sz w:val="16"/>
              </w:rPr>
              <w:t>Occlusal / fissure caries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Readings affected by stain and calculus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(saliva)</w:t>
            </w:r>
          </w:p>
        </w:tc>
        <w:tc>
          <w:tcPr>
            <w:tcW w:type="dxa" w:w="1036"/>
            <w:vAlign w:val="top"/>
          </w:tcPr>
          <w:p>
            <w:pPr>
              <w:spacing w:after="40" w:before="0" w:line="259" w:lineRule="auto"/>
            </w:pPr>
            <w:r>
              <w:rPr>
                <w:rFonts w:ascii="Calibri" w:hAnsi="Calibri"/>
                <w:b w:val="0"/>
                <w:i w:val="0"/>
                <w:color w:val="212121"/>
                <w:sz w:val="16"/>
              </w:rPr>
              <w:t>Unstimulated salivary flow rate</w:t>
            </w:r>
          </w:p>
        </w:tc>
        <w:tc>
          <w:tcPr>
            <w:tcW w:type="dxa" w:w="892"/>
            <w:vAlign w:val="top"/>
          </w:tcPr>
          <w:p>
            <w:pPr>
              <w:spacing w:after="40" w:before="0" w:line="259" w:lineRule="auto"/>
            </w:pPr>
            <w:r>
              <w:rPr>
                <w:rFonts w:ascii="Calibri" w:hAnsi="Calibri"/>
                <w:b w:val="0"/>
                <w:i w:val="0"/>
                <w:color w:val="212121"/>
                <w:sz w:val="16"/>
              </w:rPr>
              <w:t>Salivary function test</w:t>
            </w:r>
          </w:p>
        </w:tc>
        <w:tc>
          <w:tcPr>
            <w:tcW w:type="dxa" w:w="950"/>
            <w:vAlign w:val="top"/>
          </w:tcPr>
          <w:p>
            <w:pPr>
              <w:spacing w:after="40" w:before="0" w:line="259" w:lineRule="auto"/>
            </w:pPr>
            <w:r>
              <w:rPr>
                <w:rFonts w:ascii="Calibri" w:hAnsi="Calibri"/>
                <w:b w:val="0"/>
                <w:i w:val="0"/>
                <w:color w:val="212121"/>
                <w:sz w:val="16"/>
              </w:rPr>
              <w:t>&gt;= 0.3 mL/min</w:t>
            </w:r>
          </w:p>
        </w:tc>
        <w:tc>
          <w:tcPr>
            <w:tcW w:type="dxa" w:w="950"/>
            <w:vAlign w:val="top"/>
          </w:tcPr>
          <w:p>
            <w:pPr>
              <w:spacing w:after="40" w:before="0" w:line="259" w:lineRule="auto"/>
            </w:pPr>
            <w:r>
              <w:rPr>
                <w:rFonts w:ascii="Calibri" w:hAnsi="Calibri"/>
                <w:b w:val="0"/>
                <w:i w:val="0"/>
                <w:color w:val="212121"/>
                <w:sz w:val="16"/>
              </w:rPr>
              <w:t>&lt; 0.1 mL/min</w:t>
            </w:r>
          </w:p>
        </w:tc>
        <w:tc>
          <w:tcPr>
            <w:tcW w:type="dxa" w:w="1036"/>
            <w:vAlign w:val="top"/>
          </w:tcPr>
          <w:p>
            <w:pPr>
              <w:spacing w:after="40" w:before="0" w:line="259" w:lineRule="auto"/>
            </w:pPr>
            <w:r>
              <w:rPr>
                <w:rFonts w:ascii="Calibri" w:hAnsi="Calibri"/>
                <w:b w:val="0"/>
                <w:i w:val="0"/>
                <w:color w:val="212121"/>
                <w:sz w:val="16"/>
              </w:rPr>
              <w:t>Hyposalivation markedly raises caries risk</w:t>
            </w:r>
          </w:p>
        </w:tc>
        <w:tc>
          <w:tcPr>
            <w:tcW w:type="dxa" w:w="1036"/>
            <w:vAlign w:val="top"/>
          </w:tcPr>
          <w:p>
            <w:pPr>
              <w:spacing w:after="40" w:before="0" w:line="259" w:lineRule="auto"/>
            </w:pPr>
            <w:r>
              <w:rPr>
                <w:rFonts w:ascii="Calibri" w:hAnsi="Calibri"/>
                <w:b w:val="0"/>
                <w:i w:val="0"/>
                <w:color w:val="212121"/>
                <w:sz w:val="16"/>
              </w:rPr>
              <w:t>Elderly, Sjogren, medicated, post-radiotherapy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Risk assessment</w:t>
            </w:r>
          </w:p>
        </w:tc>
        <w:tc>
          <w:tcPr>
            <w:tcW w:type="dxa" w:w="720"/>
            <w:vAlign w:val="top"/>
          </w:tcPr>
          <w:p>
            <w:pPr>
              <w:spacing w:after="40" w:before="0" w:line="259" w:lineRule="auto"/>
            </w:pPr>
            <w:r>
              <w:rPr>
                <w:rFonts w:ascii="Calibri" w:hAnsi="Calibri"/>
                <w:b w:val="0"/>
                <w:i w:val="0"/>
                <w:color w:val="212121"/>
                <w:sz w:val="16"/>
              </w:rPr>
              <w:t>Whole unstimulated saliva collection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(saliva)</w:t>
            </w:r>
          </w:p>
        </w:tc>
        <w:tc>
          <w:tcPr>
            <w:tcW w:type="dxa" w:w="1036"/>
            <w:vAlign w:val="top"/>
          </w:tcPr>
          <w:p>
            <w:pPr>
              <w:spacing w:after="40" w:before="0" w:line="259" w:lineRule="auto"/>
            </w:pPr>
            <w:r>
              <w:rPr>
                <w:rFonts w:ascii="Calibri" w:hAnsi="Calibri"/>
                <w:b w:val="0"/>
                <w:i w:val="0"/>
                <w:color w:val="212121"/>
                <w:sz w:val="16"/>
              </w:rPr>
              <w:t>Salivary pH and buffering capacity</w:t>
            </w:r>
          </w:p>
        </w:tc>
        <w:tc>
          <w:tcPr>
            <w:tcW w:type="dxa" w:w="892"/>
            <w:vAlign w:val="top"/>
          </w:tcPr>
          <w:p>
            <w:pPr>
              <w:spacing w:after="40" w:before="0" w:line="259" w:lineRule="auto"/>
            </w:pPr>
            <w:r>
              <w:rPr>
                <w:rFonts w:ascii="Calibri" w:hAnsi="Calibri"/>
                <w:b w:val="0"/>
                <w:i w:val="0"/>
                <w:color w:val="212121"/>
                <w:sz w:val="16"/>
              </w:rPr>
              <w:t>Caries-risk test</w:t>
            </w:r>
          </w:p>
        </w:tc>
        <w:tc>
          <w:tcPr>
            <w:tcW w:type="dxa" w:w="950"/>
            <w:vAlign w:val="top"/>
          </w:tcPr>
          <w:p>
            <w:pPr>
              <w:spacing w:after="40" w:before="0" w:line="259" w:lineRule="auto"/>
            </w:pPr>
            <w:r>
              <w:rPr>
                <w:rFonts w:ascii="Calibri" w:hAnsi="Calibri"/>
                <w:b w:val="0"/>
                <w:i w:val="0"/>
                <w:color w:val="212121"/>
                <w:sz w:val="16"/>
              </w:rPr>
              <w:t>Resting pH ~6.7-7.3; adequate buffering</w:t>
            </w:r>
          </w:p>
        </w:tc>
        <w:tc>
          <w:tcPr>
            <w:tcW w:type="dxa" w:w="950"/>
            <w:vAlign w:val="top"/>
          </w:tcPr>
          <w:p>
            <w:pPr>
              <w:spacing w:after="40" w:before="0" w:line="259" w:lineRule="auto"/>
            </w:pPr>
            <w:r>
              <w:rPr>
                <w:rFonts w:ascii="Calibri" w:hAnsi="Calibri"/>
                <w:b w:val="0"/>
                <w:i w:val="0"/>
                <w:color w:val="212121"/>
                <w:sz w:val="16"/>
              </w:rPr>
              <w:t>Low pH; poor buffering</w:t>
            </w:r>
          </w:p>
        </w:tc>
        <w:tc>
          <w:tcPr>
            <w:tcW w:type="dxa" w:w="1036"/>
            <w:vAlign w:val="top"/>
          </w:tcPr>
          <w:p>
            <w:pPr>
              <w:spacing w:after="40" w:before="0" w:line="259" w:lineRule="auto"/>
            </w:pPr>
            <w:r>
              <w:rPr>
                <w:rFonts w:ascii="Calibri" w:hAnsi="Calibri"/>
                <w:b w:val="0"/>
                <w:i w:val="0"/>
                <w:color w:val="212121"/>
                <w:sz w:val="16"/>
              </w:rPr>
              <w:t>Poor buffering favours demineralization</w:t>
            </w:r>
          </w:p>
        </w:tc>
        <w:tc>
          <w:tcPr>
            <w:tcW w:type="dxa" w:w="1036"/>
            <w:vAlign w:val="top"/>
          </w:tcPr>
          <w:p>
            <w:pPr>
              <w:spacing w:after="40" w:before="0" w:line="259" w:lineRule="auto"/>
            </w:pPr>
            <w:r>
              <w:rPr>
                <w:rFonts w:ascii="Calibri" w:hAnsi="Calibri"/>
                <w:b w:val="0"/>
                <w:i w:val="0"/>
                <w:color w:val="212121"/>
                <w:sz w:val="16"/>
              </w:rPr>
              <w:t>High-risk, rampant caries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Risk assessment</w:t>
            </w:r>
          </w:p>
        </w:tc>
        <w:tc>
          <w:tcPr>
            <w:tcW w:type="dxa" w:w="720"/>
            <w:vAlign w:val="top"/>
          </w:tcPr>
          <w:p>
            <w:pPr>
              <w:spacing w:after="40" w:before="0" w:line="259" w:lineRule="auto"/>
            </w:pPr>
            <w:r>
              <w:rPr>
                <w:rFonts w:ascii="Calibri" w:hAnsi="Calibri"/>
                <w:b w:val="0"/>
                <w:i w:val="0"/>
                <w:color w:val="212121"/>
                <w:sz w:val="16"/>
              </w:rPr>
              <w:t>Part of CAMBRA-type risk assessment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Microbiological</w:t>
            </w:r>
          </w:p>
        </w:tc>
        <w:tc>
          <w:tcPr>
            <w:tcW w:type="dxa" w:w="1036"/>
            <w:vAlign w:val="top"/>
          </w:tcPr>
          <w:p>
            <w:pPr>
              <w:spacing w:after="40" w:before="0" w:line="259" w:lineRule="auto"/>
            </w:pPr>
            <w:r>
              <w:rPr>
                <w:rFonts w:ascii="Calibri" w:hAnsi="Calibri"/>
                <w:b w:val="0"/>
                <w:i w:val="0"/>
                <w:color w:val="212121"/>
                <w:sz w:val="16"/>
              </w:rPr>
              <w:t>S. mutans / Lactobacillus count</w:t>
            </w:r>
          </w:p>
        </w:tc>
        <w:tc>
          <w:tcPr>
            <w:tcW w:type="dxa" w:w="892"/>
            <w:vAlign w:val="top"/>
          </w:tcPr>
          <w:p>
            <w:pPr>
              <w:spacing w:after="40" w:before="0" w:line="259" w:lineRule="auto"/>
            </w:pPr>
            <w:r>
              <w:rPr>
                <w:rFonts w:ascii="Calibri" w:hAnsi="Calibri"/>
                <w:b w:val="0"/>
                <w:i w:val="0"/>
                <w:color w:val="212121"/>
                <w:sz w:val="16"/>
              </w:rPr>
              <w:t>Salivary microbial test</w:t>
            </w:r>
          </w:p>
        </w:tc>
        <w:tc>
          <w:tcPr>
            <w:tcW w:type="dxa" w:w="950"/>
            <w:vAlign w:val="top"/>
          </w:tcPr>
          <w:p>
            <w:pPr>
              <w:spacing w:after="40" w:before="0" w:line="259" w:lineRule="auto"/>
            </w:pPr>
            <w:r>
              <w:rPr>
                <w:rFonts w:ascii="Calibri" w:hAnsi="Calibri"/>
                <w:b w:val="0"/>
                <w:i w:val="0"/>
                <w:color w:val="212121"/>
                <w:sz w:val="16"/>
              </w:rPr>
              <w:t>Low counts</w:t>
            </w:r>
          </w:p>
        </w:tc>
        <w:tc>
          <w:tcPr>
            <w:tcW w:type="dxa" w:w="950"/>
            <w:vAlign w:val="top"/>
          </w:tcPr>
          <w:p>
            <w:pPr>
              <w:spacing w:after="40" w:before="0" w:line="259" w:lineRule="auto"/>
            </w:pPr>
            <w:r>
              <w:rPr>
                <w:rFonts w:ascii="Calibri" w:hAnsi="Calibri"/>
                <w:b w:val="0"/>
                <w:i w:val="0"/>
                <w:color w:val="212121"/>
                <w:sz w:val="16"/>
              </w:rPr>
              <w:t>High cariogenic counts</w:t>
            </w:r>
          </w:p>
        </w:tc>
        <w:tc>
          <w:tcPr>
            <w:tcW w:type="dxa" w:w="1036"/>
            <w:vAlign w:val="top"/>
          </w:tcPr>
          <w:p>
            <w:pPr>
              <w:spacing w:after="40" w:before="0" w:line="259" w:lineRule="auto"/>
            </w:pPr>
            <w:r>
              <w:rPr>
                <w:rFonts w:ascii="Calibri" w:hAnsi="Calibri"/>
                <w:b w:val="0"/>
                <w:i w:val="0"/>
                <w:color w:val="212121"/>
                <w:sz w:val="16"/>
              </w:rPr>
              <w:t>High load reflects an active cariogenic biofilm</w:t>
            </w:r>
          </w:p>
        </w:tc>
        <w:tc>
          <w:tcPr>
            <w:tcW w:type="dxa" w:w="1036"/>
            <w:vAlign w:val="top"/>
          </w:tcPr>
          <w:p>
            <w:pPr>
              <w:spacing w:after="40" w:before="0" w:line="259" w:lineRule="auto"/>
            </w:pPr>
            <w:r>
              <w:rPr>
                <w:rFonts w:ascii="Calibri" w:hAnsi="Calibri"/>
                <w:b w:val="0"/>
                <w:i w:val="0"/>
                <w:color w:val="212121"/>
                <w:sz w:val="16"/>
              </w:rPr>
              <w:t>High-risk children, rampant caries</w:t>
            </w:r>
          </w:p>
        </w:tc>
        <w:tc>
          <w:tcPr>
            <w:tcW w:type="dxa" w:w="720"/>
            <w:vAlign w:val="top"/>
          </w:tcPr>
          <w:p>
            <w:pPr>
              <w:spacing w:after="40" w:before="0" w:line="259" w:lineRule="auto"/>
            </w:pPr>
            <w:r>
              <w:rPr>
                <w:rFonts w:ascii="Calibri" w:hAnsi="Calibri"/>
                <w:b w:val="0"/>
                <w:i w:val="0"/>
                <w:color w:val="212121"/>
                <w:sz w:val="16"/>
              </w:rPr>
              <w:t>Food; Hygiene</w:t>
            </w:r>
          </w:p>
        </w:tc>
        <w:tc>
          <w:tcPr>
            <w:tcW w:type="dxa" w:w="720"/>
            <w:vAlign w:val="top"/>
          </w:tcPr>
          <w:p>
            <w:pPr>
              <w:spacing w:after="40" w:before="0" w:line="259" w:lineRule="auto"/>
            </w:pPr>
            <w:r>
              <w:rPr>
                <w:rFonts w:ascii="Calibri" w:hAnsi="Calibri"/>
                <w:b w:val="0"/>
                <w:i w:val="0"/>
                <w:color w:val="212121"/>
                <w:sz w:val="16"/>
              </w:rPr>
              <w:t>Risk assessment</w:t>
            </w:r>
          </w:p>
        </w:tc>
        <w:tc>
          <w:tcPr>
            <w:tcW w:type="dxa" w:w="720"/>
            <w:vAlign w:val="top"/>
          </w:tcPr>
          <w:p>
            <w:pPr>
              <w:spacing w:after="40" w:before="0" w:line="259" w:lineRule="auto"/>
            </w:pPr>
            <w:r>
              <w:rPr>
                <w:rFonts w:ascii="Calibri" w:hAnsi="Calibri"/>
                <w:b w:val="0"/>
                <w:i w:val="0"/>
                <w:color w:val="212121"/>
                <w:sz w:val="16"/>
              </w:rPr>
              <w:t>Chairside strip tests available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Dietary history</w:t>
            </w:r>
          </w:p>
        </w:tc>
        <w:tc>
          <w:tcPr>
            <w:tcW w:type="dxa" w:w="979"/>
            <w:vAlign w:val="top"/>
          </w:tcPr>
          <w:p>
            <w:pPr>
              <w:spacing w:after="40" w:before="0" w:line="259" w:lineRule="auto"/>
            </w:pPr>
            <w:r>
              <w:rPr>
                <w:rFonts w:ascii="Calibri" w:hAnsi="Calibri"/>
                <w:b w:val="0"/>
                <w:i w:val="0"/>
                <w:color w:val="212121"/>
                <w:sz w:val="16"/>
              </w:rPr>
              <w:t>Frequency of free-sugar and SSB intake</w:t>
            </w:r>
          </w:p>
        </w:tc>
        <w:tc>
          <w:tcPr>
            <w:tcW w:type="dxa" w:w="950"/>
            <w:vAlign w:val="top"/>
          </w:tcPr>
          <w:p>
            <w:pPr>
              <w:spacing w:after="40" w:before="0" w:line="259" w:lineRule="auto"/>
            </w:pPr>
            <w:r>
              <w:rPr>
                <w:rFonts w:ascii="Calibri" w:hAnsi="Calibri"/>
                <w:b w:val="0"/>
                <w:i w:val="0"/>
                <w:color w:val="212121"/>
                <w:sz w:val="16"/>
              </w:rPr>
              <w:t>Sugars confined to meals</w:t>
            </w:r>
          </w:p>
        </w:tc>
        <w:tc>
          <w:tcPr>
            <w:tcW w:type="dxa" w:w="950"/>
            <w:vAlign w:val="top"/>
          </w:tcPr>
          <w:p>
            <w:pPr>
              <w:spacing w:after="40" w:before="0" w:line="259" w:lineRule="auto"/>
            </w:pPr>
            <w:r>
              <w:rPr>
                <w:rFonts w:ascii="Calibri" w:hAnsi="Calibri"/>
                <w:b w:val="0"/>
                <w:i w:val="0"/>
                <w:color w:val="212121"/>
                <w:sz w:val="16"/>
              </w:rPr>
              <w:t>Frequent between-meal sugars, sipping SSB</w:t>
            </w:r>
          </w:p>
        </w:tc>
        <w:tc>
          <w:tcPr>
            <w:tcW w:type="dxa" w:w="1036"/>
            <w:vAlign w:val="top"/>
          </w:tcPr>
          <w:p>
            <w:pPr>
              <w:spacing w:after="40" w:before="0" w:line="259" w:lineRule="auto"/>
            </w:pPr>
            <w:r>
              <w:rPr>
                <w:rFonts w:ascii="Calibri" w:hAnsi="Calibri"/>
                <w:b w:val="0"/>
                <w:i w:val="0"/>
                <w:color w:val="212121"/>
                <w:sz w:val="16"/>
              </w:rPr>
              <w:t>Primary modifiable driver of caries</w:t>
            </w:r>
          </w:p>
        </w:tc>
        <w:tc>
          <w:tcPr>
            <w:tcW w:type="dxa" w:w="1036"/>
            <w:vAlign w:val="top"/>
          </w:tcPr>
          <w:p>
            <w:pPr>
              <w:spacing w:after="40" w:before="0" w:line="259" w:lineRule="auto"/>
            </w:pPr>
            <w:r>
              <w:rPr>
                <w:rFonts w:ascii="Calibri" w:hAnsi="Calibri"/>
                <w:b w:val="0"/>
                <w:i w:val="0"/>
                <w:color w:val="212121"/>
                <w:sz w:val="16"/>
              </w:rPr>
              <w:t>All patients, children, SSB consumers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Guides dietary counselling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Oral hygiene history</w:t>
            </w:r>
          </w:p>
        </w:tc>
        <w:tc>
          <w:tcPr>
            <w:tcW w:type="dxa" w:w="979"/>
            <w:vAlign w:val="top"/>
          </w:tcPr>
          <w:p>
            <w:pPr>
              <w:spacing w:after="40" w:before="0" w:line="259" w:lineRule="auto"/>
            </w:pPr>
            <w:r>
              <w:rPr>
                <w:rFonts w:ascii="Calibri" w:hAnsi="Calibri"/>
                <w:b w:val="0"/>
                <w:i w:val="0"/>
                <w:color w:val="212121"/>
                <w:sz w:val="16"/>
              </w:rPr>
              <w:t>Brushing frequency, fluoride toothpaste, interdental cleaning</w:t>
            </w:r>
          </w:p>
        </w:tc>
        <w:tc>
          <w:tcPr>
            <w:tcW w:type="dxa" w:w="950"/>
            <w:vAlign w:val="top"/>
          </w:tcPr>
          <w:p>
            <w:pPr>
              <w:spacing w:after="40" w:before="0" w:line="259" w:lineRule="auto"/>
            </w:pPr>
            <w:r>
              <w:rPr>
                <w:rFonts w:ascii="Calibri" w:hAnsi="Calibri"/>
                <w:b w:val="0"/>
                <w:i w:val="0"/>
                <w:color w:val="212121"/>
                <w:sz w:val="16"/>
              </w:rPr>
              <w:t>Twice-daily fluoride brushing</w:t>
            </w:r>
          </w:p>
        </w:tc>
        <w:tc>
          <w:tcPr>
            <w:tcW w:type="dxa" w:w="950"/>
            <w:vAlign w:val="top"/>
          </w:tcPr>
          <w:p>
            <w:pPr>
              <w:spacing w:after="40" w:before="0" w:line="259" w:lineRule="auto"/>
            </w:pPr>
            <w:r>
              <w:rPr>
                <w:rFonts w:ascii="Calibri" w:hAnsi="Calibri"/>
                <w:b w:val="0"/>
                <w:i w:val="0"/>
                <w:color w:val="212121"/>
                <w:sz w:val="16"/>
              </w:rPr>
              <w:t>Infrequent / non-fluoride, no interdental cleaning</w:t>
            </w:r>
          </w:p>
        </w:tc>
        <w:tc>
          <w:tcPr>
            <w:tcW w:type="dxa" w:w="1036"/>
            <w:vAlign w:val="top"/>
          </w:tcPr>
          <w:p>
            <w:pPr>
              <w:spacing w:after="40" w:before="0" w:line="259" w:lineRule="auto"/>
            </w:pPr>
            <w:r>
              <w:rPr>
                <w:rFonts w:ascii="Calibri" w:hAnsi="Calibri"/>
                <w:b w:val="0"/>
                <w:i w:val="0"/>
                <w:color w:val="212121"/>
                <w:sz w:val="16"/>
              </w:rPr>
              <w:t>Plaque control and fluoride exposure</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Check technique and timing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Fluoride exposure history</w:t>
            </w:r>
          </w:p>
        </w:tc>
        <w:tc>
          <w:tcPr>
            <w:tcW w:type="dxa" w:w="979"/>
            <w:vAlign w:val="top"/>
          </w:tcPr>
          <w:p>
            <w:pPr>
              <w:spacing w:after="40" w:before="0" w:line="259" w:lineRule="auto"/>
            </w:pPr>
            <w:r>
              <w:rPr>
                <w:rFonts w:ascii="Calibri" w:hAnsi="Calibri"/>
                <w:b w:val="0"/>
                <w:i w:val="0"/>
                <w:color w:val="212121"/>
                <w:sz w:val="16"/>
              </w:rPr>
              <w:t>Water fluoride, toothpaste ppm, professional fluoride</w:t>
            </w:r>
          </w:p>
        </w:tc>
        <w:tc>
          <w:tcPr>
            <w:tcW w:type="dxa" w:w="950"/>
            <w:vAlign w:val="top"/>
          </w:tcPr>
          <w:p>
            <w:pPr>
              <w:spacing w:after="40" w:before="0" w:line="259" w:lineRule="auto"/>
            </w:pPr>
            <w:r>
              <w:rPr>
                <w:rFonts w:ascii="Calibri" w:hAnsi="Calibri"/>
                <w:b w:val="0"/>
                <w:i w:val="0"/>
                <w:color w:val="212121"/>
                <w:sz w:val="16"/>
              </w:rPr>
              <w:t>Optimal fluoride exposure</w:t>
            </w:r>
          </w:p>
        </w:tc>
        <w:tc>
          <w:tcPr>
            <w:tcW w:type="dxa" w:w="950"/>
            <w:vAlign w:val="top"/>
          </w:tcPr>
          <w:p>
            <w:pPr>
              <w:spacing w:after="40" w:before="0" w:line="259" w:lineRule="auto"/>
            </w:pPr>
            <w:r>
              <w:rPr>
                <w:rFonts w:ascii="Calibri" w:hAnsi="Calibri"/>
                <w:b w:val="0"/>
                <w:i w:val="0"/>
                <w:color w:val="212121"/>
                <w:sz w:val="16"/>
              </w:rPr>
              <w:t>Low fluoride, or endemic-fluorosis area</w:t>
            </w:r>
          </w:p>
        </w:tc>
        <w:tc>
          <w:tcPr>
            <w:tcW w:type="dxa" w:w="1036"/>
            <w:vAlign w:val="top"/>
          </w:tcPr>
          <w:p>
            <w:pPr>
              <w:spacing w:after="40" w:before="0" w:line="259" w:lineRule="auto"/>
            </w:pPr>
            <w:r>
              <w:rPr>
                <w:rFonts w:ascii="Calibri" w:hAnsi="Calibri"/>
                <w:b w:val="0"/>
                <w:i w:val="0"/>
                <w:color w:val="212121"/>
                <w:sz w:val="16"/>
              </w:rPr>
              <w:t>Determines protection versus fluorosis</w:t>
            </w:r>
          </w:p>
        </w:tc>
        <w:tc>
          <w:tcPr>
            <w:tcW w:type="dxa" w:w="1036"/>
            <w:vAlign w:val="top"/>
          </w:tcPr>
          <w:p>
            <w:pPr>
              <w:spacing w:after="40" w:before="0" w:line="259" w:lineRule="auto"/>
            </w:pPr>
            <w:r>
              <w:rPr>
                <w:rFonts w:ascii="Calibri" w:hAnsi="Calibri"/>
                <w:b w:val="0"/>
                <w:i w:val="0"/>
                <w:color w:val="212121"/>
                <w:sz w:val="16"/>
              </w:rPr>
              <w:t>Communities, children</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Map to local water fluoride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Infant feeding history</w:t>
            </w:r>
          </w:p>
        </w:tc>
        <w:tc>
          <w:tcPr>
            <w:tcW w:type="dxa" w:w="979"/>
            <w:vAlign w:val="top"/>
          </w:tcPr>
          <w:p>
            <w:pPr>
              <w:spacing w:after="40" w:before="0" w:line="259" w:lineRule="auto"/>
            </w:pPr>
            <w:r>
              <w:rPr>
                <w:rFonts w:ascii="Calibri" w:hAnsi="Calibri"/>
                <w:b w:val="0"/>
                <w:i w:val="0"/>
                <w:color w:val="212121"/>
                <w:sz w:val="16"/>
              </w:rPr>
              <w:t>Nocturnal bottle / on-demand night breastfeeding</w:t>
            </w:r>
          </w:p>
        </w:tc>
        <w:tc>
          <w:tcPr>
            <w:tcW w:type="dxa" w:w="950"/>
            <w:vAlign w:val="top"/>
          </w:tcPr>
          <w:p>
            <w:pPr>
              <w:spacing w:after="40" w:before="0" w:line="259" w:lineRule="auto"/>
            </w:pPr>
            <w:r>
              <w:rPr>
                <w:rFonts w:ascii="Calibri" w:hAnsi="Calibri"/>
                <w:b w:val="0"/>
                <w:i w:val="0"/>
                <w:color w:val="212121"/>
                <w:sz w:val="16"/>
              </w:rPr>
              <w:t>No sugary night bottle</w:t>
            </w:r>
          </w:p>
        </w:tc>
        <w:tc>
          <w:tcPr>
            <w:tcW w:type="dxa" w:w="950"/>
            <w:vAlign w:val="top"/>
          </w:tcPr>
          <w:p>
            <w:pPr>
              <w:spacing w:after="40" w:before="0" w:line="259" w:lineRule="auto"/>
            </w:pPr>
            <w:r>
              <w:rPr>
                <w:rFonts w:ascii="Calibri" w:hAnsi="Calibri"/>
                <w:b w:val="0"/>
                <w:i w:val="0"/>
                <w:color w:val="212121"/>
                <w:sz w:val="16"/>
              </w:rPr>
              <w:t>Bottle or breast to sleep, sweetened liquids</w:t>
            </w:r>
          </w:p>
        </w:tc>
        <w:tc>
          <w:tcPr>
            <w:tcW w:type="dxa" w:w="1036"/>
            <w:vAlign w:val="top"/>
          </w:tcPr>
          <w:p>
            <w:pPr>
              <w:spacing w:after="40" w:before="0" w:line="259" w:lineRule="auto"/>
            </w:pPr>
            <w:r>
              <w:rPr>
                <w:rFonts w:ascii="Calibri" w:hAnsi="Calibri"/>
                <w:b w:val="0"/>
                <w:i w:val="0"/>
                <w:color w:val="212121"/>
                <w:sz w:val="16"/>
              </w:rPr>
              <w:t>Key early-childhood-caries risk</w:t>
            </w:r>
          </w:p>
        </w:tc>
        <w:tc>
          <w:tcPr>
            <w:tcW w:type="dxa" w:w="1036"/>
            <w:vAlign w:val="top"/>
          </w:tcPr>
          <w:p>
            <w:pPr>
              <w:spacing w:after="40" w:before="0" w:line="259" w:lineRule="auto"/>
            </w:pPr>
            <w:r>
              <w:rPr>
                <w:rFonts w:ascii="Calibri" w:hAnsi="Calibri"/>
                <w:b w:val="0"/>
                <w:i w:val="0"/>
                <w:color w:val="212121"/>
                <w:sz w:val="16"/>
              </w:rPr>
              <w:t>Infants, toddlers, caregivers</w:t>
            </w:r>
          </w:p>
        </w:tc>
        <w:tc>
          <w:tcPr>
            <w:tcW w:type="dxa" w:w="720"/>
            <w:vAlign w:val="top"/>
          </w:tcPr>
          <w:p>
            <w:pPr>
              <w:spacing w:after="40" w:before="0" w:line="259" w:lineRule="auto"/>
            </w:pPr>
            <w:r>
              <w:rPr>
                <w:rFonts w:ascii="Calibri" w:hAnsi="Calibri"/>
                <w:b w:val="0"/>
                <w:i w:val="0"/>
                <w:color w:val="212121"/>
                <w:sz w:val="16"/>
              </w:rPr>
              <w:t>Sleep;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Central to ECC prevention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Medical and drug history</w:t>
            </w:r>
          </w:p>
        </w:tc>
        <w:tc>
          <w:tcPr>
            <w:tcW w:type="dxa" w:w="979"/>
            <w:vAlign w:val="top"/>
          </w:tcPr>
          <w:p>
            <w:pPr>
              <w:spacing w:after="40" w:before="0" w:line="259" w:lineRule="auto"/>
            </w:pPr>
            <w:r>
              <w:rPr>
                <w:rFonts w:ascii="Calibri" w:hAnsi="Calibri"/>
                <w:b w:val="0"/>
                <w:i w:val="0"/>
                <w:color w:val="212121"/>
                <w:sz w:val="16"/>
              </w:rPr>
              <w:t>Diabetes, xerostomic drugs, radiotherapy, reflux</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Identifies secondary and rampant-caries risk</w:t>
            </w:r>
          </w:p>
        </w:tc>
        <w:tc>
          <w:tcPr>
            <w:tcW w:type="dxa" w:w="1036"/>
            <w:vAlign w:val="top"/>
          </w:tcPr>
          <w:p>
            <w:pPr>
              <w:spacing w:after="40" w:before="0" w:line="259" w:lineRule="auto"/>
            </w:pPr>
            <w:r>
              <w:rPr>
                <w:rFonts w:ascii="Calibri" w:hAnsi="Calibri"/>
                <w:b w:val="0"/>
                <w:i w:val="0"/>
                <w:color w:val="212121"/>
                <w:sz w:val="16"/>
              </w:rPr>
              <w:t>Diabetics, elderly, medicated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Address the underlying cause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Visual-tactile examination</w:t>
            </w:r>
          </w:p>
        </w:tc>
        <w:tc>
          <w:tcPr>
            <w:tcW w:type="dxa" w:w="979"/>
            <w:vAlign w:val="top"/>
          </w:tcPr>
          <w:p>
            <w:pPr>
              <w:spacing w:after="40" w:before="0" w:line="259" w:lineRule="auto"/>
            </w:pPr>
            <w:r>
              <w:rPr>
                <w:rFonts w:ascii="Calibri" w:hAnsi="Calibri"/>
                <w:b w:val="0"/>
                <w:i w:val="0"/>
                <w:color w:val="212121"/>
                <w:sz w:val="16"/>
              </w:rPr>
              <w:t>White spots, discoloration, cavitation, soft dentine</w:t>
            </w:r>
          </w:p>
        </w:tc>
        <w:tc>
          <w:tcPr>
            <w:tcW w:type="dxa" w:w="950"/>
            <w:vAlign w:val="top"/>
          </w:tcPr>
          <w:p>
            <w:pPr>
              <w:spacing w:after="40" w:before="0" w:line="259" w:lineRule="auto"/>
            </w:pPr>
            <w:r>
              <w:rPr>
                <w:rFonts w:ascii="Calibri" w:hAnsi="Calibri"/>
                <w:b w:val="0"/>
                <w:i w:val="0"/>
                <w:color w:val="212121"/>
                <w:sz w:val="16"/>
              </w:rPr>
              <w:t>Sound, hard surfaces</w:t>
            </w:r>
          </w:p>
        </w:tc>
        <w:tc>
          <w:tcPr>
            <w:tcW w:type="dxa" w:w="950"/>
            <w:vAlign w:val="top"/>
          </w:tcPr>
          <w:p>
            <w:pPr>
              <w:spacing w:after="40" w:before="0" w:line="259" w:lineRule="auto"/>
            </w:pPr>
            <w:r>
              <w:rPr>
                <w:rFonts w:ascii="Calibri" w:hAnsi="Calibri"/>
                <w:b w:val="0"/>
                <w:i w:val="0"/>
                <w:color w:val="212121"/>
                <w:sz w:val="16"/>
              </w:rPr>
              <w:t>Demineralization or cavitation</w:t>
            </w:r>
          </w:p>
        </w:tc>
        <w:tc>
          <w:tcPr>
            <w:tcW w:type="dxa" w:w="1036"/>
            <w:vAlign w:val="top"/>
          </w:tcPr>
          <w:p>
            <w:pPr>
              <w:spacing w:after="40" w:before="0" w:line="259" w:lineRule="auto"/>
            </w:pPr>
            <w:r>
              <w:rPr>
                <w:rFonts w:ascii="Calibri" w:hAnsi="Calibri"/>
                <w:b w:val="0"/>
                <w:i w:val="0"/>
                <w:color w:val="212121"/>
                <w:sz w:val="16"/>
              </w:rPr>
              <w:t>Direct detection and staging of lesions</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Dry, well-lit teeth; blunt probe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Caries-risk and restorative history</w:t>
            </w:r>
          </w:p>
        </w:tc>
        <w:tc>
          <w:tcPr>
            <w:tcW w:type="dxa" w:w="979"/>
            <w:vAlign w:val="top"/>
          </w:tcPr>
          <w:p>
            <w:pPr>
              <w:spacing w:after="40" w:before="0" w:line="259" w:lineRule="auto"/>
            </w:pPr>
            <w:r>
              <w:rPr>
                <w:rFonts w:ascii="Calibri" w:hAnsi="Calibri"/>
                <w:b w:val="0"/>
                <w:i w:val="0"/>
                <w:color w:val="212121"/>
                <w:sz w:val="16"/>
              </w:rPr>
              <w:t>Past DMFT, existing restorations, secondary caries</w:t>
            </w:r>
          </w:p>
        </w:tc>
        <w:tc>
          <w:tcPr>
            <w:tcW w:type="dxa" w:w="950"/>
            <w:vAlign w:val="top"/>
          </w:tcPr>
          <w:p>
            <w:pPr>
              <w:spacing w:after="40" w:before="0" w:line="259" w:lineRule="auto"/>
            </w:pPr>
            <w:r>
              <w:rPr>
                <w:rFonts w:ascii="Calibri" w:hAnsi="Calibri"/>
                <w:b w:val="0"/>
                <w:i w:val="0"/>
                <w:color w:val="212121"/>
                <w:sz w:val="16"/>
              </w:rPr>
              <w:t>Low past experience</w:t>
            </w:r>
          </w:p>
        </w:tc>
        <w:tc>
          <w:tcPr>
            <w:tcW w:type="dxa" w:w="950"/>
            <w:vAlign w:val="top"/>
          </w:tcPr>
          <w:p>
            <w:pPr>
              <w:spacing w:after="40" w:before="0" w:line="259" w:lineRule="auto"/>
            </w:pPr>
            <w:r>
              <w:rPr>
                <w:rFonts w:ascii="Calibri" w:hAnsi="Calibri"/>
                <w:b w:val="0"/>
                <w:i w:val="0"/>
                <w:color w:val="212121"/>
                <w:sz w:val="16"/>
              </w:rPr>
              <w:t>High DMFT, failing restorations</w:t>
            </w:r>
          </w:p>
        </w:tc>
        <w:tc>
          <w:tcPr>
            <w:tcW w:type="dxa" w:w="1036"/>
            <w:vAlign w:val="top"/>
          </w:tcPr>
          <w:p>
            <w:pPr>
              <w:spacing w:after="40" w:before="0" w:line="259" w:lineRule="auto"/>
            </w:pPr>
            <w:r>
              <w:rPr>
                <w:rFonts w:ascii="Calibri" w:hAnsi="Calibri"/>
                <w:b w:val="0"/>
                <w:i w:val="0"/>
                <w:color w:val="212121"/>
                <w:sz w:val="16"/>
              </w:rPr>
              <w:t>Past caries strongly predicts future caries</w:t>
            </w:r>
          </w:p>
        </w:tc>
        <w:tc>
          <w:tcPr>
            <w:tcW w:type="dxa" w:w="1036"/>
            <w:vAlign w:val="top"/>
          </w:tcPr>
          <w:p>
            <w:pPr>
              <w:spacing w:after="40" w:before="0" w:line="259" w:lineRule="auto"/>
            </w:pPr>
            <w:r>
              <w:rPr>
                <w:rFonts w:ascii="Calibri" w:hAnsi="Calibri"/>
                <w:b w:val="0"/>
                <w:i w:val="0"/>
                <w:color w:val="212121"/>
                <w:sz w:val="16"/>
              </w:rPr>
              <w:t>Recurrent caries, high-risk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recall interval and prevention intensity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White or brown spots on the tooth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Early demineralization (white-spot lesion); usually symptomless and still reversible.</w:t>
            </w:r>
          </w:p>
        </w:tc>
      </w:tr>
      <w:tr>
        <w:trPr>
          <w:cantSplit/>
        </w:trPr>
        <w:tc>
          <w:tcPr>
            <w:tcW w:type="dxa" w:w="2304"/>
            <w:vAlign w:val="top"/>
          </w:tcPr>
          <w:p>
            <w:pPr>
              <w:spacing w:after="40" w:before="0" w:line="259" w:lineRule="auto"/>
            </w:pPr>
            <w:r>
              <w:rPr>
                <w:rFonts w:ascii="Calibri" w:hAnsi="Calibri"/>
                <w:b/>
                <w:i w:val="0"/>
                <w:color w:val="212121"/>
                <w:sz w:val="19"/>
              </w:rPr>
              <w:t>Sensitivity to sweet, hot or cold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Appears as the lesion reaches dentine; a frequent early complaint.</w:t>
            </w:r>
          </w:p>
        </w:tc>
      </w:tr>
      <w:tr>
        <w:trPr>
          <w:cantSplit/>
        </w:trPr>
        <w:tc>
          <w:tcPr>
            <w:tcW w:type="dxa" w:w="2304"/>
            <w:vAlign w:val="top"/>
          </w:tcPr>
          <w:p>
            <w:pPr>
              <w:spacing w:after="40" w:before="0" w:line="259" w:lineRule="auto"/>
            </w:pPr>
            <w:r>
              <w:rPr>
                <w:rFonts w:ascii="Calibri" w:hAnsi="Calibri"/>
                <w:b/>
                <w:i w:val="0"/>
                <w:color w:val="212121"/>
                <w:sz w:val="19"/>
              </w:rPr>
              <w:t>Toothache / localized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 provoked by food or temperature as decay approaches the pulp.</w:t>
            </w:r>
          </w:p>
        </w:tc>
      </w:tr>
      <w:tr>
        <w:trPr>
          <w:cantSplit/>
        </w:trPr>
        <w:tc>
          <w:tcPr>
            <w:tcW w:type="dxa" w:w="2304"/>
            <w:vAlign w:val="top"/>
          </w:tcPr>
          <w:p>
            <w:pPr>
              <w:spacing w:after="40" w:before="0" w:line="259" w:lineRule="auto"/>
            </w:pPr>
            <w:r>
              <w:rPr>
                <w:rFonts w:ascii="Calibri" w:hAnsi="Calibri"/>
                <w:b/>
                <w:i w:val="0"/>
                <w:color w:val="212121"/>
                <w:sz w:val="19"/>
              </w:rPr>
              <w:t>Visible pit, hole or cavity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Cavitation of enamel and dentine that the patient or dentist can see or feel.</w:t>
            </w:r>
          </w:p>
        </w:tc>
      </w:tr>
      <w:tr>
        <w:trPr>
          <w:cantSplit/>
        </w:trPr>
        <w:tc>
          <w:tcPr>
            <w:tcW w:type="dxa" w:w="2304"/>
            <w:vAlign w:val="top"/>
          </w:tcPr>
          <w:p>
            <w:pPr>
              <w:spacing w:after="40" w:before="0" w:line="259" w:lineRule="auto"/>
            </w:pPr>
            <w:r>
              <w:rPr>
                <w:rFonts w:ascii="Calibri" w:hAnsi="Calibri"/>
                <w:b/>
                <w:i w:val="0"/>
                <w:color w:val="212121"/>
                <w:sz w:val="19"/>
              </w:rPr>
              <w:t>Pain on biting or chewing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Indicates a deeper lesion or weakened, cracked tooth structure.</w:t>
            </w:r>
          </w:p>
        </w:tc>
      </w:tr>
      <w:tr>
        <w:trPr>
          <w:cantSplit/>
        </w:trPr>
        <w:tc>
          <w:tcPr>
            <w:tcW w:type="dxa" w:w="2304"/>
            <w:vAlign w:val="top"/>
          </w:tcPr>
          <w:p>
            <w:pPr>
              <w:spacing w:after="40" w:before="0" w:line="259" w:lineRule="auto"/>
            </w:pPr>
            <w:r>
              <w:rPr>
                <w:rFonts w:ascii="Calibri" w:hAnsi="Calibri"/>
                <w:b/>
                <w:i w:val="0"/>
                <w:color w:val="212121"/>
                <w:sz w:val="19"/>
              </w:rPr>
              <w:t>Food packing between teeth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Interproximal cavities trap food, causing pressure and irritation.</w:t>
            </w:r>
          </w:p>
        </w:tc>
      </w:tr>
      <w:tr>
        <w:trPr>
          <w:cantSplit/>
        </w:trPr>
        <w:tc>
          <w:tcPr>
            <w:tcW w:type="dxa" w:w="2304"/>
            <w:vAlign w:val="top"/>
          </w:tcPr>
          <w:p>
            <w:pPr>
              <w:spacing w:after="40" w:before="0" w:line="259" w:lineRule="auto"/>
            </w:pPr>
            <w:r>
              <w:rPr>
                <w:rFonts w:ascii="Calibri" w:hAnsi="Calibri"/>
                <w:b/>
                <w:i w:val="0"/>
                <w:color w:val="212121"/>
                <w:sz w:val="19"/>
              </w:rPr>
              <w:t>Bad breath or an unpleasant taste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bacterial activity and food stagnation within cavities.</w:t>
            </w:r>
          </w:p>
        </w:tc>
      </w:tr>
      <w:tr>
        <w:trPr>
          <w:cantSplit/>
        </w:trPr>
        <w:tc>
          <w:tcPr>
            <w:tcW w:type="dxa" w:w="2304"/>
            <w:vAlign w:val="top"/>
          </w:tcPr>
          <w:p>
            <w:pPr>
              <w:spacing w:after="40" w:before="0" w:line="259" w:lineRule="auto"/>
            </w:pPr>
            <w:r>
              <w:rPr>
                <w:rFonts w:ascii="Calibri" w:hAnsi="Calibri"/>
                <w:b/>
                <w:i w:val="0"/>
                <w:color w:val="212121"/>
                <w:sz w:val="19"/>
              </w:rPr>
              <w:t>Persistent, spontaneous or throbbing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irreversible pulpitis as infection reaches the pulp.</w:t>
            </w:r>
          </w:p>
        </w:tc>
      </w:tr>
      <w:tr>
        <w:trPr>
          <w:cantSplit/>
        </w:trPr>
        <w:tc>
          <w:tcPr>
            <w:tcW w:type="dxa" w:w="2304"/>
            <w:vAlign w:val="top"/>
          </w:tcPr>
          <w:p>
            <w:pPr>
              <w:spacing w:after="40" w:before="0" w:line="259" w:lineRule="auto"/>
            </w:pPr>
            <w:r>
              <w:rPr>
                <w:rFonts w:ascii="Calibri" w:hAnsi="Calibri"/>
                <w:b/>
                <w:i w:val="0"/>
                <w:color w:val="212121"/>
                <w:sz w:val="19"/>
              </w:rPr>
              <w:t>Pain that wakes the patient at night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classic feature of irreversible pulpitis.</w:t>
            </w:r>
          </w:p>
        </w:tc>
      </w:tr>
      <w:tr>
        <w:trPr>
          <w:cantSplit/>
        </w:trPr>
        <w:tc>
          <w:tcPr>
            <w:tcW w:type="dxa" w:w="2304"/>
            <w:vAlign w:val="top"/>
          </w:tcPr>
          <w:p>
            <w:pPr>
              <w:spacing w:after="40" w:before="0" w:line="259" w:lineRule="auto"/>
            </w:pPr>
            <w:r>
              <w:rPr>
                <w:rFonts w:ascii="Calibri" w:hAnsi="Calibri"/>
                <w:b/>
                <w:i w:val="0"/>
                <w:color w:val="212121"/>
                <w:sz w:val="19"/>
              </w:rPr>
              <w:t>Facial swelling or a gum boil</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Indicates a dental abscess with pus formation.</w:t>
            </w:r>
          </w:p>
        </w:tc>
      </w:tr>
      <w:tr>
        <w:trPr>
          <w:cantSplit/>
        </w:trPr>
        <w:tc>
          <w:tcPr>
            <w:tcW w:type="dxa" w:w="2304"/>
            <w:vAlign w:val="top"/>
          </w:tcPr>
          <w:p>
            <w:pPr>
              <w:spacing w:after="40" w:before="0" w:line="259" w:lineRule="auto"/>
            </w:pPr>
            <w:r>
              <w:rPr>
                <w:rFonts w:ascii="Calibri" w:hAnsi="Calibri"/>
                <w:b/>
                <w:i w:val="0"/>
                <w:color w:val="212121"/>
                <w:sz w:val="19"/>
              </w:rPr>
              <w:t>Fever and general malaise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Points to infection spreading beyond the tooth.</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White-spot lesions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Chalky, opaque enamel indicating early subsurface demineralization.</w:t>
            </w:r>
          </w:p>
        </w:tc>
      </w:tr>
      <w:tr>
        <w:trPr>
          <w:cantSplit/>
        </w:trPr>
        <w:tc>
          <w:tcPr>
            <w:tcW w:type="dxa" w:w="3456"/>
            <w:vAlign w:val="top"/>
          </w:tcPr>
          <w:p>
            <w:pPr>
              <w:spacing w:after="40" w:before="0" w:line="259" w:lineRule="auto"/>
            </w:pPr>
            <w:r>
              <w:rPr>
                <w:rFonts w:ascii="Calibri" w:hAnsi="Calibri"/>
                <w:b/>
                <w:i w:val="0"/>
                <w:color w:val="212121"/>
                <w:sz w:val="19"/>
              </w:rPr>
              <w:t>Brown or black discoloration of enamel</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Pigmented active or arrested lesions on the tooth surface.</w:t>
            </w:r>
          </w:p>
        </w:tc>
      </w:tr>
      <w:tr>
        <w:trPr>
          <w:cantSplit/>
        </w:trPr>
        <w:tc>
          <w:tcPr>
            <w:tcW w:type="dxa" w:w="3456"/>
            <w:vAlign w:val="top"/>
          </w:tcPr>
          <w:p>
            <w:pPr>
              <w:spacing w:after="40" w:before="0" w:line="259" w:lineRule="auto"/>
            </w:pPr>
            <w:r>
              <w:rPr>
                <w:rFonts w:ascii="Calibri" w:hAnsi="Calibri"/>
                <w:b/>
                <w:i w:val="0"/>
                <w:color w:val="212121"/>
                <w:sz w:val="19"/>
              </w:rPr>
              <w:t>Cavitation with soft or leathery dentine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Surface breakdown with softened tissue on gentle probing.</w:t>
            </w:r>
          </w:p>
        </w:tc>
      </w:tr>
      <w:tr>
        <w:trPr>
          <w:cantSplit/>
        </w:trPr>
        <w:tc>
          <w:tcPr>
            <w:tcW w:type="dxa" w:w="3456"/>
            <w:vAlign w:val="top"/>
          </w:tcPr>
          <w:p>
            <w:pPr>
              <w:spacing w:after="40" w:before="0" w:line="259" w:lineRule="auto"/>
            </w:pPr>
            <w:r>
              <w:rPr>
                <w:rFonts w:ascii="Calibri" w:hAnsi="Calibri"/>
                <w:b/>
                <w:i w:val="0"/>
                <w:color w:val="212121"/>
                <w:sz w:val="19"/>
              </w:rPr>
              <w:t>Interproximal radiolucency on bitewing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Radiographic hallmark of hidden between-teeth caries.</w:t>
            </w:r>
          </w:p>
        </w:tc>
      </w:tr>
      <w:tr>
        <w:trPr>
          <w:cantSplit/>
        </w:trPr>
        <w:tc>
          <w:tcPr>
            <w:tcW w:type="dxa" w:w="3456"/>
            <w:vAlign w:val="top"/>
          </w:tcPr>
          <w:p>
            <w:pPr>
              <w:spacing w:after="40" w:before="0" w:line="259" w:lineRule="auto"/>
            </w:pPr>
            <w:r>
              <w:rPr>
                <w:rFonts w:ascii="Calibri" w:hAnsi="Calibri"/>
                <w:b/>
                <w:i w:val="0"/>
                <w:color w:val="212121"/>
                <w:sz w:val="19"/>
              </w:rPr>
              <w:t>Exposed, softened root-surface lesion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Discoloured cavitated lesion near the gum margin, typical in the elderly.</w:t>
            </w:r>
          </w:p>
        </w:tc>
      </w:tr>
      <w:tr>
        <w:trPr>
          <w:cantSplit/>
        </w:trPr>
        <w:tc>
          <w:tcPr>
            <w:tcW w:type="dxa" w:w="3456"/>
            <w:vAlign w:val="top"/>
          </w:tcPr>
          <w:p>
            <w:pPr>
              <w:spacing w:after="40" w:before="0" w:line="259" w:lineRule="auto"/>
            </w:pPr>
            <w:r>
              <w:rPr>
                <w:rFonts w:ascii="Calibri" w:hAnsi="Calibri"/>
                <w:b/>
                <w:i w:val="0"/>
                <w:color w:val="212121"/>
                <w:sz w:val="19"/>
              </w:rPr>
              <w:t>Secondary caries at restoration margins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Recurrent decay around existing fillings or crowns.</w:t>
            </w:r>
          </w:p>
        </w:tc>
      </w:tr>
      <w:tr>
        <w:trPr>
          <w:cantSplit/>
        </w:trPr>
        <w:tc>
          <w:tcPr>
            <w:tcW w:type="dxa" w:w="3456"/>
            <w:vAlign w:val="top"/>
          </w:tcPr>
          <w:p>
            <w:pPr>
              <w:spacing w:after="40" w:before="0" w:line="259" w:lineRule="auto"/>
            </w:pPr>
            <w:r>
              <w:rPr>
                <w:rFonts w:ascii="Calibri" w:hAnsi="Calibri"/>
                <w:b/>
                <w:i w:val="0"/>
                <w:color w:val="212121"/>
                <w:sz w:val="19"/>
              </w:rPr>
              <w:t>Tenderness to percussion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Suggests periapical inflammation from pulpal spread.</w:t>
            </w:r>
          </w:p>
        </w:tc>
      </w:tr>
      <w:tr>
        <w:trPr>
          <w:cantSplit/>
        </w:trPr>
        <w:tc>
          <w:tcPr>
            <w:tcW w:type="dxa" w:w="3456"/>
            <w:vAlign w:val="top"/>
          </w:tcPr>
          <w:p>
            <w:pPr>
              <w:spacing w:after="40" w:before="0" w:line="259" w:lineRule="auto"/>
            </w:pPr>
            <w:r>
              <w:rPr>
                <w:rFonts w:ascii="Calibri" w:hAnsi="Calibri"/>
                <w:b/>
                <w:i w:val="0"/>
                <w:color w:val="212121"/>
                <w:sz w:val="19"/>
              </w:rPr>
              <w:t>Localized gingival swelling or sinus tract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draining abscess from an infected, necrotic tooth.</w:t>
            </w:r>
          </w:p>
        </w:tc>
      </w:tr>
      <w:tr>
        <w:trPr>
          <w:cantSplit/>
        </w:trPr>
        <w:tc>
          <w:tcPr>
            <w:tcW w:type="dxa" w:w="3456"/>
            <w:vAlign w:val="top"/>
          </w:tcPr>
          <w:p>
            <w:pPr>
              <w:spacing w:after="40" w:before="0" w:line="259" w:lineRule="auto"/>
            </w:pPr>
            <w:r>
              <w:rPr>
                <w:rFonts w:ascii="Calibri" w:hAnsi="Calibri"/>
                <w:b/>
                <w:i w:val="0"/>
                <w:color w:val="212121"/>
                <w:sz w:val="19"/>
              </w:rPr>
              <w:t>Rampant / cervical caries pattern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Widespread, rapidly progressing lesions, often with xerostomia.</w:t>
            </w:r>
          </w:p>
        </w:tc>
      </w:tr>
      <w:tr>
        <w:trPr>
          <w:cantSplit/>
        </w:trPr>
        <w:tc>
          <w:tcPr>
            <w:tcW w:type="dxa" w:w="3456"/>
            <w:vAlign w:val="top"/>
          </w:tcPr>
          <w:p>
            <w:pPr>
              <w:spacing w:after="40" w:before="0" w:line="259" w:lineRule="auto"/>
            </w:pPr>
            <w:r>
              <w:rPr>
                <w:rFonts w:ascii="Calibri" w:hAnsi="Calibri"/>
                <w:b/>
                <w:i w:val="0"/>
                <w:color w:val="212121"/>
                <w:sz w:val="19"/>
              </w:rPr>
              <w:t>Discoloured, non-vital (grey) tooth</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Indicates pulp necrosis from long-standing decay.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Reversible pulpitis (sharp sensitivity to sweet, hot and cold)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enamel and dentine destruction with cavitation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Irreversible pulpitis with spontaneous or night-time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Dentine hypersensitivity</w:t>
            </w:r>
          </w:p>
        </w:tc>
        <w:tc>
          <w:tcPr>
            <w:tcW w:type="dxa" w:w="2980"/>
            <w:vAlign w:val="top"/>
          </w:tcPr>
          <w:p>
            <w:pPr>
              <w:spacing w:after="40" w:before="0" w:line="259" w:lineRule="auto"/>
            </w:pPr>
            <w:r>
              <w:rPr>
                <w:rFonts w:ascii="Calibri" w:hAnsi="Calibri"/>
                <w:b w:val="0"/>
                <w:i w:val="0"/>
                <w:color w:val="212121"/>
                <w:sz w:val="19"/>
              </w:rPr>
              <w:t>Direct local consequences of demineralization advancing into dentine and pulp</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Pulp necrosis and periapical (apical)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Facial cellulitis and spreading soft-tissue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Tooth loss with drifting and tilting of adjacent teeth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(recurrent) caries around restorations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eating, speech, sleep and growth in children with severe ECC</w:t>
            </w:r>
          </w:p>
        </w:tc>
        <w:tc>
          <w:tcPr>
            <w:tcW w:type="dxa" w:w="2980"/>
            <w:vAlign w:val="top"/>
          </w:tcPr>
          <w:p>
            <w:pPr>
              <w:spacing w:after="40" w:before="0" w:line="259" w:lineRule="auto"/>
            </w:pPr>
            <w:r>
              <w:rPr>
                <w:rFonts w:ascii="Calibri" w:hAnsi="Calibri"/>
                <w:b w:val="0"/>
                <w:i w:val="0"/>
                <w:color w:val="212121"/>
                <w:sz w:val="19"/>
              </w:rPr>
              <w:t>Local spread of infection and functional loss from untreated caries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Ludwig angina and deep fascial space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Osteomyelitis of the jaw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Systemic bacteraemia / sepsis and risk of infective endocarditis in susceptible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Edentulism requiring dentures or implants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pain, malnutrition and reduced quality of life</w:t>
            </w:r>
          </w:p>
        </w:tc>
        <w:tc>
          <w:tcPr>
            <w:tcW w:type="dxa" w:w="2980"/>
            <w:vAlign w:val="top"/>
          </w:tcPr>
          <w:p>
            <w:pPr>
              <w:spacing w:after="40" w:before="0" w:line="259" w:lineRule="auto"/>
            </w:pPr>
            <w:r>
              <w:rPr>
                <w:rFonts w:ascii="Calibri" w:hAnsi="Calibri"/>
                <w:b w:val="0"/>
                <w:i w:val="0"/>
                <w:color w:val="212121"/>
                <w:sz w:val="19"/>
              </w:rPr>
              <w:t>Irreversible, disabling or life-threatening outcomes of long-neglected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Periodontal (gum) disease</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Shares the dental-plaque biofilm aetiology and commonly coexists; gum recession exposes root surfaces to decay.</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Hyperglycaemia raises salivary glucose and lowers salivary flow; diabetics show higher caries experience (mean DMFT about 17.7 vs 15.9) and more tooth loss.</w:t>
            </w:r>
          </w:p>
        </w:tc>
      </w:tr>
      <w:tr>
        <w:trPr>
          <w:cantSplit/>
        </w:trPr>
        <w:tc>
          <w:tcPr>
            <w:tcW w:type="dxa" w:w="2232"/>
            <w:vAlign w:val="top"/>
          </w:tcPr>
          <w:p>
            <w:pPr>
              <w:spacing w:after="40" w:before="0" w:line="259" w:lineRule="auto"/>
            </w:pPr>
            <w:r>
              <w:rPr>
                <w:rFonts w:ascii="Calibri" w:hAnsi="Calibri"/>
                <w:b/>
                <w:i w:val="0"/>
                <w:color w:val="212121"/>
                <w:sz w:val="19"/>
              </w:rPr>
              <w:t>Xerostomia / Sjogren syndrome</w:t>
            </w:r>
          </w:p>
        </w:tc>
        <w:tc>
          <w:tcPr>
            <w:tcW w:type="dxa" w:w="2520"/>
            <w:vAlign w:val="top"/>
          </w:tcPr>
          <w:p>
            <w:pPr>
              <w:spacing w:after="40" w:before="0" w:line="259" w:lineRule="auto"/>
            </w:pPr>
            <w:r>
              <w:rPr>
                <w:rFonts w:ascii="Calibri" w:hAnsi="Calibri"/>
                <w:b w:val="0"/>
                <w:i w:val="0"/>
                <w:color w:val="212121"/>
                <w:sz w:val="18"/>
              </w:rPr>
              <w:t>Treatment Interaction</w:t>
            </w:r>
          </w:p>
        </w:tc>
        <w:tc>
          <w:tcPr>
            <w:tcW w:type="dxa" w:w="4852"/>
            <w:vAlign w:val="top"/>
          </w:tcPr>
          <w:p>
            <w:pPr>
              <w:spacing w:after="40" w:before="0" w:line="259" w:lineRule="auto"/>
            </w:pPr>
            <w:r>
              <w:rPr>
                <w:rFonts w:ascii="Calibri" w:hAnsi="Calibri"/>
                <w:b w:val="0"/>
                <w:i w:val="0"/>
                <w:color w:val="212121"/>
                <w:sz w:val="19"/>
              </w:rPr>
              <w:t>Loss of protective saliva - from disease, medications or radiotherapy - is a major driver of rampant and root caries.</w:t>
            </w:r>
          </w:p>
        </w:tc>
      </w:tr>
      <w:tr>
        <w:trPr>
          <w:cantSplit/>
        </w:trPr>
        <w:tc>
          <w:tcPr>
            <w:tcW w:type="dxa" w:w="2232"/>
            <w:vAlign w:val="top"/>
          </w:tcPr>
          <w:p>
            <w:pPr>
              <w:spacing w:after="40" w:before="0" w:line="259" w:lineRule="auto"/>
            </w:pPr>
            <w:r>
              <w:rPr>
                <w:rFonts w:ascii="Calibri" w:hAnsi="Calibri"/>
                <w:b/>
                <w:i w:val="0"/>
                <w:color w:val="212121"/>
                <w:sz w:val="19"/>
              </w:rPr>
              <w:t>Gastro-oesophageal reflux disease (GERD)</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Gastric-acid erosion weakens enamel and compounds caries risk; also seen with recurrent vomiting and bulimia.</w:t>
            </w:r>
          </w:p>
        </w:tc>
      </w:tr>
      <w:tr>
        <w:trPr>
          <w:cantSplit/>
        </w:trPr>
        <w:tc>
          <w:tcPr>
            <w:tcW w:type="dxa" w:w="2232"/>
            <w:vAlign w:val="top"/>
          </w:tcPr>
          <w:p>
            <w:pPr>
              <w:spacing w:after="40" w:before="0" w:line="259" w:lineRule="auto"/>
            </w:pPr>
            <w:r>
              <w:rPr>
                <w:rFonts w:ascii="Calibri" w:hAnsi="Calibri"/>
                <w:b/>
                <w:i w:val="0"/>
                <w:color w:val="212121"/>
                <w:sz w:val="19"/>
              </w:rPr>
              <w:t>Childhood obesity / high-sugar dietary pattern</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Shared frequent free-sugar intake links childhood overweight and dental caries.</w:t>
            </w:r>
          </w:p>
        </w:tc>
      </w:tr>
      <w:tr>
        <w:trPr>
          <w:cantSplit/>
        </w:trPr>
        <w:tc>
          <w:tcPr>
            <w:tcW w:type="dxa" w:w="2232"/>
            <w:vAlign w:val="top"/>
          </w:tcPr>
          <w:p>
            <w:pPr>
              <w:spacing w:after="40" w:before="0" w:line="259" w:lineRule="auto"/>
            </w:pPr>
            <w:r>
              <w:rPr>
                <w:rFonts w:ascii="Calibri" w:hAnsi="Calibri"/>
                <w:b/>
                <w:i w:val="0"/>
                <w:color w:val="212121"/>
                <w:sz w:val="19"/>
              </w:rPr>
              <w:t>Protein-energy malnutrition / underweight in children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Severe early childhood caries impairs eating, sleep and growth, contributing to faltering nutrition.</w:t>
            </w:r>
          </w:p>
        </w:tc>
      </w:tr>
      <w:tr>
        <w:trPr>
          <w:cantSplit/>
        </w:trPr>
        <w:tc>
          <w:tcPr>
            <w:tcW w:type="dxa" w:w="2232"/>
            <w:vAlign w:val="top"/>
          </w:tcPr>
          <w:p>
            <w:pPr>
              <w:spacing w:after="40" w:before="0" w:line="259" w:lineRule="auto"/>
            </w:pPr>
            <w:r>
              <w:rPr>
                <w:rFonts w:ascii="Calibri" w:hAnsi="Calibri"/>
                <w:b/>
                <w:i w:val="0"/>
                <w:color w:val="212121"/>
                <w:sz w:val="19"/>
              </w:rPr>
              <w:t>Infective endocarditis (in at-risk cardiac patients)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Oral bacteria from carious, infected teeth can enter the bloodstream and seed susceptible heart valves.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Brush teeth twice daily with a fluoride toothpaste (1000-1500 ppm); spit but do not rinse so fluoride stays on the teeth.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free sugars below 10% of energy (ideally under 5%) and cut the frequency of sugary snacks and drinks, not just the amount.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put a baby to sleep with a bottle of milk, juice or any sweet drink, and start wiping or brushing an infant's teeth as soon as they appear.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regular dental check-ups so early white-spot lesions can be arrested with fluoride, sealants or minimally invasive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signs (white or brown spots, sensitivity to sweets) and seek timely care while decay is still reversible.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high-risk teeth, ask about professional prevention - fluoride varnish, pit-and-fissure sealants and silver diamine fluoride to arrest lesions.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root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High-sugar-diet consumers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Choose water or plain milk rather than sugary sports and energy drinks during and after exercise, as these are both sugary and acidic.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Confine any sweetened rehydration or electrolyte drinks to genuinely intense or prolonged activity.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brush immediately after acidic sports drinks; rinse with water and wait about 30 minutes.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salivary function and general health through regular activity and good hydration.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Active adults and 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Gym-goers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the total and especially the frequency of free-sugar intake - sweets, bakery items, sugary tea and sugar-sweetened beverages.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Replace sugary drinks and juices with water or plain milk; eat whole fruit rather than fruit juice.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sticky, retentive sweets (toffees, dried fruit, jaggery snacks) that cling to teeth and prolong the acid attack.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Confine sugars to mealtimes and limit between-meal snacking so saliva can neutralise acid and remineralise enamel.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Finish meals with tooth-friendly foods such as cheese, nuts or plain water; sugar-free (xylitol) gum after meals can help.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fluoridated water where the local water-fluoride level is appropriate.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and 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 snackers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SSB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settle an infant or toddler to sleep with a bottle of milk, formula, juice or any sweetened liquid.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on-demand night-time breastfeeding once teeth have erupted without cleaning the teeth afterwards.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Always brush with fluoride toothpaste last thing before bed, as protective salivary flow falls during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only water after the night-time brush; avoid sugary bedtime snacks and drinks.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and toddlers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 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tobacco use - both smoking and smokeless (khaini, gutka, betel-quid) - which is linked to higher caries and root-caries experience.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support and pharmacotherapy to quit, and avoid substituting frequent sugary or mint sweets.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more frequent dental recalls, as tobacco users also have more gum recession exposing root surfaces to decay.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Smokeless-tobacco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adults with root exposure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sugary and acidic alcoholic drinks (cocktails, sweet wines, sweetened mixers) that combine sugar, acid and dry-mouth effects.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Drink water alongside alcohol to help maintain salivary flow and clear sugars.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slowly sipping sweet alcoholic drinks over long periods, and brush with fluoride toothpaste before bed.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Xerostomia-prone individuals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aware that stress and low mood can lead to sugary comfort-snacking and neglected brushing - keep a simple twice-daily fluoride routine.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Note that many antidepressants and anxiolytics cause dry mouth; maintain fluoride use, sip water and consider sugar-free gum.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stress-related habits (frequent sweet drinks, grinding) and seek support to sustain oral-care routines.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under chronic 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on xerostomic medication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depression or anxiety</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springer.com/article/10.1007/s12098-018-2793-y" TargetMode="External"/><Relationship Id="rId10" Type="http://schemas.openxmlformats.org/officeDocument/2006/relationships/hyperlink" Target="https://pmc.ncbi.nlm.nih.gov/articles/PMC8257015/" TargetMode="External"/><Relationship Id="rId11" Type="http://schemas.openxmlformats.org/officeDocument/2006/relationships/hyperlink" Target="https://www.nature.com/articles/s41432-023-00921-4" TargetMode="External"/><Relationship Id="rId12" Type="http://schemas.openxmlformats.org/officeDocument/2006/relationships/hyperlink" Target="https://jcdr.net/articles/PDF/11956/32669_CE%5BRa1%5D_F(RK)_PF1(A_SHU)_PFA(A_SHU)_PN(SL).pdf" TargetMode="External"/><Relationship Id="rId13" Type="http://schemas.openxmlformats.org/officeDocument/2006/relationships/hyperlink" Target="https://www.cochrane.org/evidence/CD007868_fluoride-toothpastes-different-strengths-preventing-tooth-decay" TargetMode="External"/><Relationship Id="rId14" Type="http://schemas.openxmlformats.org/officeDocument/2006/relationships/hyperlink" Target="https://www.tobaccoinduceddiseases.org/Correlation-between-tobacco-smoking-and-dental-caries-A-nsystematic-review-and-meta,106117,0,2.html" TargetMode="External"/><Relationship Id="rId15" Type="http://schemas.openxmlformats.org/officeDocument/2006/relationships/hyperlink" Target="https://www.ncbi.nlm.nih.gov/books/NBK285525/" TargetMode="External"/><Relationship Id="rId16" Type="http://schemas.openxmlformats.org/officeDocument/2006/relationships/hyperlink" Target="https://academic.oup.com/eurpub/article/31/1/122/5896049" TargetMode="External"/><Relationship Id="rId17" Type="http://schemas.openxmlformats.org/officeDocument/2006/relationships/hyperlink" Target="https://www.mdpi.com/2072-6643/16/9/1355" TargetMode="External"/><Relationship Id="rId18" Type="http://schemas.openxmlformats.org/officeDocument/2006/relationships/hyperlink" Target="https://www.ncbi.nlm.nih.gov/books/NBK535349/" TargetMode="External"/><Relationship Id="rId19" Type="http://schemas.openxmlformats.org/officeDocument/2006/relationships/hyperlink" Target="https://pmc.ncbi.nlm.nih.gov/articles/PMC121919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