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Periodontitis</w:t>
      </w:r>
    </w:p>
    <w:p>
      <w:pPr>
        <w:spacing w:before="0" w:after="160"/>
      </w:pPr>
      <w:r>
        <w:rPr>
          <w:rFonts w:ascii="Calibri" w:hAnsi="Calibri"/>
          <w:b/>
          <w:i w:val="0"/>
          <w:color w:val="212121"/>
          <w:sz w:val="22"/>
        </w:rPr>
        <w:t xml:space="preserve">AKA </w:t>
      </w:r>
      <w:r>
        <w:rPr>
          <w:rFonts w:ascii="Calibri" w:hAnsi="Calibri"/>
          <w:b w:val="0"/>
          <w:i w:val="0"/>
          <w:color w:val="212121"/>
          <w:sz w:val="22"/>
        </w:rPr>
        <w:t>i.e., Gum disease, Periodontal disease, Pyorrhoea, Chronic periodontitis, Gum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Periodontitis is a chronic, multifactorial inflammatory disease of the tooth-supporting tissues (the periodontium) that is initiated by a dysbiotic dental-plaque biofilm and driven by a dysregulated host immune-inflammatory response. It is characterised by progressive, largely irreversible destruction of the periodontal ligament and alveolar bone, clinically detected as loss of clinical attachment, periodontal pocketing, gingival bleeding and, if untreated, tooth mobility and tooth loss. Unlike gingivitis (inflammation confined to the gum), the connective-tissue and bone damage of periodontitis does not fully reverse with treatment.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Periodontal disease is one of the most common chronic diseases in India: a national systematic review and meta-analysis estimated a pooled prevalence of about 51% among Indian adults, rising from roughly 34.5% in those under 35 years to about 57.4% at 35-65 years and 63.6% in those over 65 years, with severe periodontitis affecting close to 1 in 5 adults (~19%). Globally, severe periodontitis is estimated to affect more than 1 billion people, and India carries one of the largest shares of this burden owing to widespread tobacco (including smokeless) use, limited access to dental care and a high prevalence of diabetes.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Periodontitis is a clinical and radiographic diagnosis. Using the 2017 World Workshop case definition, a patient is a periodontitis case when interdental clinical attachment loss is detectable at two or more non-adjacent teeth (or buccal/oral attachment loss with pocketing at two or more teeth) that is not attributable to non-periodontal causes.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Interdental clinical attachment loss (CAL) at &gt;= 2 non-adjacent teeth, confirmed with a calibrated periodontal probe;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Probing pocket depth (PPD) &gt;= 4 mm with bleeding on probing; pockets &gt;= 6 mm indicate advanced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Bleeding on probing (BOP) as a marker of active gingival inflammation;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Radiographic alveolar bone loss on bitewing, periapical or panoramic (OPG) imaging;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tooth mobility, furcation involvement and suppuration to gauge severity;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Community Periodontal Index (CPI) or Basic Periodontal Examination (BPE) probing for screening and epidemiology;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non-periodontitis causes of attachment loss (e.g. trauma, cervical caries, vertical root fracture, endodontic lesions).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2017 World Workshop (AAP/EFP) classification replaced the older 'chronic vs aggressive' scheme with a staging-and-grading framework. Periodontitis is described by three axes - the form of disease, the stage (severity and complexity) and the grade (rate of progression and risk):</w:t>
      </w:r>
    </w:p>
    <w:p>
      <w:pPr>
        <w:spacing w:before="0" w:after="80"/>
      </w:pPr>
      <w:r>
        <w:rPr>
          <w:rFonts w:ascii="Calibri" w:hAnsi="Calibri"/>
          <w:b w:val="0"/>
          <w:i w:val="0"/>
          <w:color w:val="212121"/>
          <w:sz w:val="21"/>
        </w:rPr>
        <w:t>(1) Form of periodontal disease: (a) Periodontitis (the common plaque-associated form); (b) Necrotizing periodontal diseases (necrotizing gingivitis/periodontitis, often in immunosuppressed or severely malnourished individuals); and (c) Periodontitis as a direct manifestation of a systemic disease (e.g. Papillon-Lefevre syndrome, leukocyte adhesion deficiency).</w:t>
      </w:r>
    </w:p>
    <w:p>
      <w:pPr>
        <w:spacing w:before="0" w:after="80"/>
      </w:pPr>
      <w:r>
        <w:rPr>
          <w:rFonts w:ascii="Calibri" w:hAnsi="Calibri"/>
          <w:b w:val="0"/>
          <w:i w:val="0"/>
          <w:color w:val="212121"/>
          <w:sz w:val="21"/>
        </w:rPr>
        <w:t>(2) Stage (severity + complexity) I-IV: Stage I (initial/mild, CAL 1-2 mm), Stage II (moderate, CAL 3-4 mm), Stage III (severe, CAL &gt;= 5 mm with deep pockets/vertical bone loss and potential for tooth loss), and Stage IV (advanced, extensive attachment/bone loss with masticatory dysfunction, drifting and &lt;= 20 remaining teeth).</w:t>
      </w:r>
    </w:p>
    <w:p>
      <w:pPr>
        <w:spacing w:before="0" w:after="80"/>
      </w:pPr>
      <w:r>
        <w:rPr>
          <w:rFonts w:ascii="Calibri" w:hAnsi="Calibri"/>
          <w:b w:val="0"/>
          <w:i w:val="0"/>
          <w:color w:val="212121"/>
          <w:sz w:val="21"/>
        </w:rPr>
        <w:t>(3) Grade (rate of progression/risk) A-C: Grade A (slow), Grade B (moderate) and Grade C (rapid). Grade is modified upward by two key risk factors - smoking (&gt;= 10 cigarettes/day) and diabetes (HbA1c &gt;= 7.0%).</w:t>
      </w:r>
    </w:p>
    <w:p>
      <w:pPr>
        <w:spacing w:before="0" w:after="80"/>
      </w:pPr>
      <w:r>
        <w:rPr>
          <w:rFonts w:ascii="Calibri" w:hAnsi="Calibri"/>
          <w:b w:val="0"/>
          <w:i w:val="0"/>
          <w:color w:val="212121"/>
          <w:sz w:val="21"/>
        </w:rPr>
        <w:t>(4) Extent and distribution: localized (&lt; 30% of teeth involved), generalized (&gt;= 30% of teeth), or molar-incisor pattern (classically seen in what was previously termed aggressive periodontitis of the young).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Dysbiotic plaque biofilm: A shift from symbiotic to pathogenic subgingival flora - especially the 'red-complex' keystone pathogens Porphyromonas gingivalis, Tannerella forsythia and Treponema denticola - initiates and sustains tissue destruction.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Dysregulated host immune-inflammatory response: Excess release of cytokines (IL-1beta, TNF-alpha, IL-6, IL-17) and matrix metalloproteinases in response to the biofilm damages the periodontal ligament and resorbs alveolar bone; the host response, not the bacteria alone, causes most of the destruction.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Tobacco use: Smoking and smokeless tobacco (gutka, khaini, betel quid) are the strongest modifiable risk factors, impairing gingival blood flow, neutrophil function and healing.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Diabetes mellitus / hyperglycaemia: Advanced glycation end-products (AGEs) and heightened inflammation accelerate periodontal breakdown; poor glycaemic control markedly worsens disease.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susceptibility: Familial aggregation and polymorphisms (e.g. IL-1 gene cluster) modulate the intensity of the inflammatory response.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Local factors: Supra- and subgingival calculus, overhanging restorations, malocclusion, crowding and food impaction promote plaque retention.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Modifying/systemic factors: Poor oral hygiene, obesity, psychological stress, poor nutrition (vitamin C deficiency) and immunosuppression amplify risk and severity.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(35-65 years)</w:t>
            </w:r>
          </w:p>
        </w:tc>
        <w:tc>
          <w:tcPr>
            <w:tcW w:type="dxa" w:w="4276"/>
            <w:vAlign w:val="top"/>
          </w:tcPr>
          <w:p>
            <w:pPr>
              <w:spacing w:after="60" w:line="259" w:lineRule="auto"/>
            </w:pPr>
            <w:r>
              <w:rPr>
                <w:rFonts w:ascii="Calibri" w:hAnsi="Calibri"/>
                <w:b w:val="0"/>
                <w:i w:val="0"/>
                <w:color w:val="212121"/>
                <w:sz w:val="19"/>
              </w:rPr>
              <w:t>Cumulative lifelong plaque exposure, calculus build-up and years of a low-grade inflammatory response lead to steadily increasing attachment and bone loss through mid-adult life. This is the age band in which most clinically significant periodontitis is diagnosed.</w:t>
            </w:r>
          </w:p>
          <w:p>
            <w:pPr>
              <w:spacing w:after="40" w:before="60" w:line="259" w:lineRule="auto"/>
            </w:pPr>
            <w:r>
              <w:rPr>
                <w:rFonts w:ascii="Calibri" w:hAnsi="Calibri"/>
                <w:b w:val="0"/>
                <w:i w:val="0"/>
                <w:color w:val="212121"/>
                <w:sz w:val="19"/>
              </w:rPr>
              <w:t>In Indian adults aged 35-65 years, the pooled prevalence of periodontal disease is about 57.4% (95% CI 47.3-67.2).</w:t>
            </w:r>
          </w:p>
          <w:p>
            <w:pPr>
              <w:spacing w:after="40" w:line="252" w:lineRule="auto"/>
            </w:pPr>
            <w:hyperlink r:id="rId9">
              <w:r>
                <w:rPr>
                  <w:rFonts w:ascii="Calibri" w:hAnsi="Calibri" w:cs="Calibri"/>
                  <w:sz w:val="18"/>
                  <w:color w:val="1155CC"/>
                  <w:u w:val="single"/>
                </w:rPr>
                <w:t xml:space="preserve">pmc.ncbi.nlm.nih.gov/articles/PMC7649635 - periodontal disease in Indian adults</w:t>
              </w:r>
            </w:hyperlink>
          </w:p>
          <w:p>
            <w:pPr>
              <w:spacing w:before="60" w:after="40"/>
            </w:pPr>
            <w:r>
              <w:rPr>
                <w:rFonts w:ascii="Calibri" w:hAnsi="Calibri"/>
                <w:b w:val="0"/>
                <w:i w:val="0"/>
                <w:color w:val="5A5A5A"/>
                <w:sz w:val="18"/>
              </w:rPr>
              <w:t>#attachmentloss  #plaque  #calculus  #chronicinflammation  #midlife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(&gt;65 years)</w:t>
            </w:r>
          </w:p>
        </w:tc>
        <w:tc>
          <w:tcPr>
            <w:tcW w:type="dxa" w:w="4276"/>
            <w:vAlign w:val="top"/>
          </w:tcPr>
          <w:p>
            <w:pPr>
              <w:spacing w:after="60" w:line="259" w:lineRule="auto"/>
            </w:pPr>
            <w:r>
              <w:rPr>
                <w:rFonts w:ascii="Calibri" w:hAnsi="Calibri"/>
                <w:b w:val="0"/>
                <w:i w:val="0"/>
                <w:color w:val="212121"/>
                <w:sz w:val="19"/>
              </w:rPr>
              <w:t>Gingival recession exposing root surfaces, reduced salivary flow (often drug-induced), impaired manual dexterity and multiple comorbidities make the elderly the highest-prevalence group. Longstanding disease also has had the most time to progress to tooth loss.</w:t>
            </w:r>
          </w:p>
          <w:p>
            <w:pPr>
              <w:spacing w:after="40" w:before="60" w:line="259" w:lineRule="auto"/>
            </w:pPr>
            <w:r>
              <w:rPr>
                <w:rFonts w:ascii="Calibri" w:hAnsi="Calibri"/>
                <w:b w:val="0"/>
                <w:i w:val="0"/>
                <w:color w:val="212121"/>
                <w:sz w:val="19"/>
              </w:rPr>
              <w:t>Prevalence of periodontal disease in Indians aged over 65 years is about 63.6% (95% CI 51.3-75.1).</w:t>
            </w:r>
          </w:p>
          <w:p>
            <w:pPr>
              <w:spacing w:after="40" w:line="252" w:lineRule="auto"/>
            </w:pPr>
            <w:hyperlink r:id="rId9">
              <w:r>
                <w:rPr>
                  <w:rFonts w:ascii="Calibri" w:hAnsi="Calibri" w:cs="Calibri"/>
                  <w:sz w:val="18"/>
                  <w:color w:val="1155CC"/>
                  <w:u w:val="single"/>
                </w:rPr>
                <w:t xml:space="preserve">pmc.ncbi.nlm.nih.gov/articles/PMC7649635 - prevalence by age</w:t>
              </w:r>
            </w:hyperlink>
          </w:p>
          <w:p>
            <w:pPr>
              <w:spacing w:before="60" w:after="40"/>
            </w:pPr>
            <w:r>
              <w:rPr>
                <w:rFonts w:ascii="Calibri" w:hAnsi="Calibri"/>
                <w:b w:val="0"/>
                <w:i w:val="0"/>
                <w:color w:val="5A5A5A"/>
                <w:sz w:val="18"/>
              </w:rPr>
              <w:t>#ageing  #rootexposure  #xerostomia  #toothloss  #polypharmacy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consistently show higher prevalence and greater severity of periodontitis than women, attributed to poorer oral-hygiene behaviours, far higher rates of tobacco and areca-nut use, and lower dental-care-seeking.</w:t>
            </w:r>
          </w:p>
          <w:p>
            <w:pPr>
              <w:spacing w:after="40" w:before="60" w:line="259" w:lineRule="auto"/>
            </w:pPr>
            <w:r>
              <w:rPr>
                <w:rFonts w:ascii="Calibri" w:hAnsi="Calibri"/>
                <w:b w:val="0"/>
                <w:i w:val="0"/>
                <w:color w:val="212121"/>
                <w:sz w:val="19"/>
              </w:rPr>
              <w:t>Across Indian and global surveys periodontitis is more prevalent and more severe in men, paralleling their higher tobacco use.</w:t>
            </w:r>
          </w:p>
          <w:p>
            <w:pPr>
              <w:spacing w:before="60" w:after="40"/>
            </w:pPr>
            <w:r>
              <w:rPr>
                <w:rFonts w:ascii="Calibri" w:hAnsi="Calibri"/>
                <w:b w:val="0"/>
                <w:i w:val="0"/>
                <w:color w:val="5A5A5A"/>
                <w:sz w:val="18"/>
              </w:rPr>
              <w:t>#malepattern  #tobacco  #hygienegap  #severity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less-educated adults</w:t>
            </w:r>
          </w:p>
        </w:tc>
        <w:tc>
          <w:tcPr>
            <w:tcW w:type="dxa" w:w="4276"/>
            <w:vAlign w:val="top"/>
          </w:tcPr>
          <w:p>
            <w:pPr>
              <w:spacing w:after="60" w:line="259" w:lineRule="auto"/>
            </w:pPr>
            <w:r>
              <w:rPr>
                <w:rFonts w:ascii="Calibri" w:hAnsi="Calibri"/>
                <w:b w:val="0"/>
                <w:i w:val="0"/>
                <w:color w:val="212121"/>
                <w:sz w:val="19"/>
              </w:rPr>
              <w:t>Lower income and education correlate with reduced oral-health literacy, infrequent tooth cleaning, higher tobacco use and very limited access to preventive scaling, so disease is detected late and more advanced.</w:t>
            </w:r>
          </w:p>
          <w:p>
            <w:pPr>
              <w:spacing w:after="40" w:before="60" w:line="259" w:lineRule="auto"/>
            </w:pPr>
            <w:r>
              <w:rPr>
                <w:rFonts w:ascii="Calibri" w:hAnsi="Calibri"/>
                <w:b w:val="0"/>
                <w:i w:val="0"/>
                <w:color w:val="212121"/>
                <w:sz w:val="19"/>
              </w:rPr>
              <w:t>Periodontal disease clusters in lower socioeconomic and less-educated groups, who least often receive professional cleaning.</w:t>
            </w:r>
          </w:p>
          <w:p>
            <w:pPr>
              <w:spacing w:before="60" w:after="40"/>
            </w:pPr>
            <w:r>
              <w:rPr>
                <w:rFonts w:ascii="Calibri" w:hAnsi="Calibri"/>
                <w:b w:val="0"/>
                <w:i w:val="0"/>
                <w:color w:val="5A5A5A"/>
                <w:sz w:val="18"/>
              </w:rPr>
              <w:t>#healthinequity  #accesstocare  #oralhealthliteracy  #latediagnosis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regional practice</w:t>
            </w:r>
          </w:p>
        </w:tc>
        <w:tc>
          <w:tcPr>
            <w:tcW w:type="dxa" w:w="2160"/>
            <w:vAlign w:val="top"/>
          </w:tcPr>
          <w:p>
            <w:pPr>
              <w:spacing w:after="40" w:before="0" w:line="259" w:lineRule="auto"/>
            </w:pPr>
            <w:r>
              <w:rPr>
                <w:rFonts w:ascii="Calibri" w:hAnsi="Calibri"/>
                <w:b w:val="0"/>
                <w:i w:val="0"/>
                <w:color w:val="212121"/>
                <w:sz w:val="19"/>
              </w:rPr>
              <w:t>Indian adults (tobacco &amp; betel-quid culture)</w:t>
            </w:r>
          </w:p>
        </w:tc>
        <w:tc>
          <w:tcPr>
            <w:tcW w:type="dxa" w:w="4276"/>
            <w:vAlign w:val="top"/>
          </w:tcPr>
          <w:p>
            <w:pPr>
              <w:spacing w:after="60" w:line="259" w:lineRule="auto"/>
            </w:pPr>
            <w:r>
              <w:rPr>
                <w:rFonts w:ascii="Calibri" w:hAnsi="Calibri"/>
                <w:b w:val="0"/>
                <w:i w:val="0"/>
                <w:color w:val="212121"/>
                <w:sz w:val="19"/>
              </w:rPr>
              <w:t>Widespread chewing of gutka, khaini, paan and betel quid, combined with a low dentist-to-population ratio, produces a very high community burden of periodontal destruction across India.</w:t>
            </w:r>
          </w:p>
          <w:p>
            <w:pPr>
              <w:spacing w:after="40" w:before="60" w:line="259" w:lineRule="auto"/>
            </w:pPr>
            <w:r>
              <w:rPr>
                <w:rFonts w:ascii="Calibri" w:hAnsi="Calibri"/>
                <w:b w:val="0"/>
                <w:i w:val="0"/>
                <w:color w:val="212121"/>
                <w:sz w:val="19"/>
              </w:rPr>
              <w:t>A national meta-analysis found roughly half of Indian adults (~51%) have some form of periodontal disease.</w:t>
            </w:r>
          </w:p>
          <w:p>
            <w:pPr>
              <w:spacing w:after="40" w:line="252" w:lineRule="auto"/>
            </w:pPr>
            <w:hyperlink r:id="rId9">
              <w:r>
                <w:rPr>
                  <w:rFonts w:ascii="Calibri" w:hAnsi="Calibri" w:cs="Calibri"/>
                  <w:sz w:val="18"/>
                  <w:color w:val="1155CC"/>
                  <w:u w:val="single"/>
                </w:rPr>
                <w:t xml:space="preserve">pmc.ncbi.nlm.nih.gov/articles/PMC7649635 - pooled prevalence India</w:t>
              </w:r>
            </w:hyperlink>
          </w:p>
          <w:p>
            <w:pPr>
              <w:spacing w:before="60" w:after="40"/>
            </w:pPr>
            <w:r>
              <w:rPr>
                <w:rFonts w:ascii="Calibri" w:hAnsi="Calibri"/>
                <w:b w:val="0"/>
                <w:i w:val="0"/>
                <w:color w:val="5A5A5A"/>
                <w:sz w:val="18"/>
              </w:rPr>
              <w:t>#india  #gutka  #betelquid  #smokelesstobacco  #publichealth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residence</w:t>
            </w:r>
          </w:p>
        </w:tc>
        <w:tc>
          <w:tcPr>
            <w:tcW w:type="dxa" w:w="2160"/>
            <w:vAlign w:val="top"/>
          </w:tcPr>
          <w:p>
            <w:pPr>
              <w:spacing w:after="40" w:before="0" w:line="259" w:lineRule="auto"/>
            </w:pPr>
            <w:r>
              <w:rPr>
                <w:rFonts w:ascii="Calibri" w:hAnsi="Calibri"/>
                <w:b w:val="0"/>
                <w:i w:val="0"/>
                <w:color w:val="212121"/>
                <w:sz w:val="19"/>
              </w:rPr>
              <w:t>Rural &amp; peri-urban populations</w:t>
            </w:r>
          </w:p>
        </w:tc>
        <w:tc>
          <w:tcPr>
            <w:tcW w:type="dxa" w:w="4276"/>
            <w:vAlign w:val="top"/>
          </w:tcPr>
          <w:p>
            <w:pPr>
              <w:spacing w:after="60" w:line="259" w:lineRule="auto"/>
            </w:pPr>
            <w:r>
              <w:rPr>
                <w:rFonts w:ascii="Calibri" w:hAnsi="Calibri"/>
                <w:b w:val="0"/>
                <w:i w:val="0"/>
                <w:color w:val="212121"/>
                <w:sz w:val="19"/>
              </w:rPr>
              <w:t>Rural India has few dentists and limited fluoride/dental infrastructure, so plaque and calculus accumulate unchecked and periodontitis often presents only when teeth are already loose.</w:t>
            </w:r>
          </w:p>
          <w:p>
            <w:pPr>
              <w:spacing w:after="40" w:before="60" w:line="259" w:lineRule="auto"/>
            </w:pPr>
            <w:r>
              <w:rPr>
                <w:rFonts w:ascii="Calibri" w:hAnsi="Calibri"/>
                <w:b w:val="0"/>
                <w:i w:val="0"/>
                <w:color w:val="212121"/>
                <w:sz w:val="19"/>
              </w:rPr>
              <w:t>Access to periodontal care is markedly lower in rural India, contributing to more advanced disease at presentation.</w:t>
            </w:r>
          </w:p>
          <w:p>
            <w:pPr>
              <w:spacing w:before="60" w:after="40"/>
            </w:pPr>
            <w:r>
              <w:rPr>
                <w:rFonts w:ascii="Calibri" w:hAnsi="Calibri"/>
                <w:b w:val="0"/>
                <w:i w:val="0"/>
                <w:color w:val="5A5A5A"/>
                <w:sz w:val="18"/>
              </w:rPr>
              <w:t>#ruralhealth  #dentistshortage  #unmetneed  #advanceddisease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&amp; bidi smokers</w:t>
            </w:r>
          </w:p>
        </w:tc>
        <w:tc>
          <w:tcPr>
            <w:tcW w:type="dxa" w:w="4276"/>
            <w:vAlign w:val="top"/>
          </w:tcPr>
          <w:p>
            <w:pPr>
              <w:spacing w:after="60" w:line="259" w:lineRule="auto"/>
            </w:pPr>
            <w:r>
              <w:rPr>
                <w:rFonts w:ascii="Calibri" w:hAnsi="Calibri"/>
                <w:b w:val="0"/>
                <w:i w:val="0"/>
                <w:color w:val="212121"/>
                <w:sz w:val="19"/>
              </w:rPr>
              <w:t>Tobacco smoke constricts gingival vessels (masking bleeding), impairs neutrophil function and collagen repair, and selects for pathogenic flora, accelerating attachment and bone loss. Smokers also respond poorly to periodontal treatment.</w:t>
            </w:r>
          </w:p>
          <w:p>
            <w:pPr>
              <w:spacing w:after="40" w:before="60" w:line="259" w:lineRule="auto"/>
            </w:pPr>
            <w:r>
              <w:rPr>
                <w:rFonts w:ascii="Calibri" w:hAnsi="Calibri"/>
                <w:b w:val="0"/>
                <w:i w:val="0"/>
                <w:color w:val="212121"/>
                <w:sz w:val="19"/>
              </w:rPr>
              <w:t>Smokers have about twice the risk of gum disease compared with non-smokers, and the risk rises with the number of cigarettes and years smoked.</w:t>
            </w:r>
          </w:p>
          <w:p>
            <w:pPr>
              <w:spacing w:after="40" w:line="252" w:lineRule="auto"/>
            </w:pPr>
            <w:hyperlink r:id="rId10">
              <w:r>
                <w:rPr>
                  <w:rFonts w:ascii="Calibri" w:hAnsi="Calibri" w:cs="Calibri"/>
                  <w:sz w:val="18"/>
                  <w:color w:val="1155CC"/>
                  <w:u w:val="single"/>
                </w:rPr>
                <w:t xml:space="preserve">cdc.gov - smoking, gum disease and tooth loss</w:t>
              </w:r>
            </w:hyperlink>
          </w:p>
          <w:p>
            <w:pPr>
              <w:spacing w:before="60" w:after="40"/>
            </w:pPr>
            <w:r>
              <w:rPr>
                <w:rFonts w:ascii="Calibri" w:hAnsi="Calibri"/>
                <w:b w:val="0"/>
                <w:i w:val="0"/>
                <w:color w:val="5A5A5A"/>
                <w:sz w:val="18"/>
              </w:rPr>
              <w:t>#smoking  #bidi  #2xrisk  #poorhealing  #gradeC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Smokeless tobacco</w:t>
            </w:r>
          </w:p>
        </w:tc>
        <w:tc>
          <w:tcPr>
            <w:tcW w:type="dxa" w:w="2160"/>
            <w:vAlign w:val="top"/>
          </w:tcPr>
          <w:p>
            <w:pPr>
              <w:spacing w:after="40" w:before="0" w:line="259" w:lineRule="auto"/>
            </w:pPr>
            <w:r>
              <w:rPr>
                <w:rFonts w:ascii="Calibri" w:hAnsi="Calibri"/>
                <w:b w:val="0"/>
                <w:i w:val="0"/>
                <w:color w:val="212121"/>
                <w:sz w:val="19"/>
              </w:rPr>
              <w:t>Gutka, khaini &amp; betel-quid chewers</w:t>
            </w:r>
          </w:p>
        </w:tc>
        <w:tc>
          <w:tcPr>
            <w:tcW w:type="dxa" w:w="4276"/>
            <w:vAlign w:val="top"/>
          </w:tcPr>
          <w:p>
            <w:pPr>
              <w:spacing w:after="60" w:line="259" w:lineRule="auto"/>
            </w:pPr>
            <w:r>
              <w:rPr>
                <w:rFonts w:ascii="Calibri" w:hAnsi="Calibri"/>
                <w:b w:val="0"/>
                <w:i w:val="0"/>
                <w:color w:val="212121"/>
                <w:sz w:val="19"/>
              </w:rPr>
              <w:t>Smokeless tobacco and areca nut cause localised gingival recession, attachment loss and leukoplakia at the site of quid placement; the practice is extremely common in India across all ages.</w:t>
            </w:r>
          </w:p>
          <w:p>
            <w:pPr>
              <w:spacing w:after="40" w:before="60" w:line="259" w:lineRule="auto"/>
            </w:pPr>
            <w:r>
              <w:rPr>
                <w:rFonts w:ascii="Calibri" w:hAnsi="Calibri"/>
                <w:b w:val="0"/>
                <w:i w:val="0"/>
                <w:color w:val="212121"/>
                <w:sz w:val="19"/>
              </w:rPr>
              <w:t>Tobacco use in any form - including smokeless (spit) tobacco - raises the risk of gum disease.</w:t>
            </w:r>
          </w:p>
          <w:p>
            <w:pPr>
              <w:spacing w:after="40" w:line="252" w:lineRule="auto"/>
            </w:pPr>
            <w:hyperlink r:id="rId10">
              <w:r>
                <w:rPr>
                  <w:rFonts w:ascii="Calibri" w:hAnsi="Calibri" w:cs="Calibri"/>
                  <w:sz w:val="18"/>
                  <w:color w:val="1155CC"/>
                  <w:u w:val="single"/>
                </w:rPr>
                <w:t xml:space="preserve">cdc.gov - tobacco in any form raises gum-disease risk</w:t>
              </w:r>
            </w:hyperlink>
          </w:p>
          <w:p>
            <w:pPr>
              <w:spacing w:before="60" w:after="40"/>
            </w:pPr>
            <w:r>
              <w:rPr>
                <w:rFonts w:ascii="Calibri" w:hAnsi="Calibri"/>
                <w:b w:val="0"/>
                <w:i w:val="0"/>
                <w:color w:val="5A5A5A"/>
                <w:sz w:val="18"/>
              </w:rPr>
              <w:t>#smokelesstobacco  #arecanut  #gingivalrecession  #india  #oralcancerrisk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Poor oral hygiene</w:t>
            </w:r>
          </w:p>
        </w:tc>
        <w:tc>
          <w:tcPr>
            <w:tcW w:type="dxa" w:w="2160"/>
            <w:vAlign w:val="top"/>
          </w:tcPr>
          <w:p>
            <w:pPr>
              <w:spacing w:after="40" w:before="0" w:line="259" w:lineRule="auto"/>
            </w:pPr>
            <w:r>
              <w:rPr>
                <w:rFonts w:ascii="Calibri" w:hAnsi="Calibri"/>
                <w:b w:val="0"/>
                <w:i w:val="0"/>
                <w:color w:val="212121"/>
                <w:sz w:val="19"/>
              </w:rPr>
              <w:t>Infrequent brushers, no interdental cleaning</w:t>
            </w:r>
          </w:p>
        </w:tc>
        <w:tc>
          <w:tcPr>
            <w:tcW w:type="dxa" w:w="4276"/>
            <w:vAlign w:val="top"/>
          </w:tcPr>
          <w:p>
            <w:pPr>
              <w:spacing w:after="60" w:line="259" w:lineRule="auto"/>
            </w:pPr>
            <w:r>
              <w:rPr>
                <w:rFonts w:ascii="Calibri" w:hAnsi="Calibri"/>
                <w:b w:val="0"/>
                <w:i w:val="0"/>
                <w:color w:val="212121"/>
                <w:sz w:val="19"/>
              </w:rPr>
              <w:t>Inadequate mechanical plaque removal allows the biofilm to mature and mineralise into calculus, sustaining the inflammatory attack on the periodontium. Oral hygiene is the single most important modifiable determinant.</w:t>
            </w:r>
          </w:p>
          <w:p>
            <w:pPr>
              <w:spacing w:after="40" w:before="60" w:line="259" w:lineRule="auto"/>
            </w:pPr>
            <w:r>
              <w:rPr>
                <w:rFonts w:ascii="Calibri" w:hAnsi="Calibri"/>
                <w:b w:val="0"/>
                <w:i w:val="0"/>
                <w:color w:val="212121"/>
                <w:sz w:val="19"/>
              </w:rPr>
              <w:t>Poor oral hygiene and tobacco use are the two principal risk factors identified by the WHO for periodontal disease.</w:t>
            </w:r>
          </w:p>
          <w:p>
            <w:pPr>
              <w:spacing w:after="40" w:line="252" w:lineRule="auto"/>
            </w:pPr>
            <w:hyperlink r:id="rId11">
              <w:r>
                <w:rPr>
                  <w:rFonts w:ascii="Calibri" w:hAnsi="Calibri" w:cs="Calibri"/>
                  <w:sz w:val="18"/>
                  <w:color w:val="1155CC"/>
                  <w:u w:val="single"/>
                </w:rPr>
                <w:t xml:space="preserve">who.int - oral health fact sheet</w:t>
              </w:r>
            </w:hyperlink>
          </w:p>
          <w:p>
            <w:pPr>
              <w:spacing w:before="60" w:after="40"/>
            </w:pPr>
            <w:r>
              <w:rPr>
                <w:rFonts w:ascii="Calibri" w:hAnsi="Calibri"/>
                <w:b w:val="0"/>
                <w:i w:val="0"/>
                <w:color w:val="5A5A5A"/>
                <w:sz w:val="18"/>
              </w:rPr>
              <w:t>#plaquecontrol  #biofilm  #calculus  #brushing  #flossing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frequent drinkers</w:t>
            </w:r>
          </w:p>
        </w:tc>
        <w:tc>
          <w:tcPr>
            <w:tcW w:type="dxa" w:w="4276"/>
            <w:vAlign w:val="top"/>
          </w:tcPr>
          <w:p>
            <w:pPr>
              <w:spacing w:after="60" w:line="259" w:lineRule="auto"/>
            </w:pPr>
            <w:r>
              <w:rPr>
                <w:rFonts w:ascii="Calibri" w:hAnsi="Calibri"/>
                <w:b w:val="0"/>
                <w:i w:val="0"/>
                <w:color w:val="212121"/>
                <w:sz w:val="19"/>
              </w:rPr>
              <w:t>Chronic heavy alcohol use impairs neutrophil and immune function, worsens nutrition and is associated with higher plaque scores and greater clinical attachment loss.</w:t>
            </w:r>
          </w:p>
          <w:p>
            <w:pPr>
              <w:spacing w:after="40" w:before="60" w:line="259" w:lineRule="auto"/>
            </w:pPr>
            <w:r>
              <w:rPr>
                <w:rFonts w:ascii="Calibri" w:hAnsi="Calibri"/>
                <w:b w:val="0"/>
                <w:i w:val="0"/>
                <w:color w:val="212121"/>
                <w:sz w:val="19"/>
              </w:rPr>
              <w:t>Heavy alcohol consumption is associated with increased severity of periodontal attachment loss.</w:t>
            </w:r>
          </w:p>
          <w:p>
            <w:pPr>
              <w:spacing w:before="60" w:after="40"/>
            </w:pPr>
            <w:r>
              <w:rPr>
                <w:rFonts w:ascii="Calibri" w:hAnsi="Calibri"/>
                <w:b w:val="0"/>
                <w:i w:val="0"/>
                <w:color w:val="5A5A5A"/>
                <w:sz w:val="18"/>
              </w:rPr>
              <w:t>#alcohol  #immunefunction  #nutrition  #attachmentloss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refined sugar / low micronutrients</w:t>
            </w:r>
          </w:p>
        </w:tc>
        <w:tc>
          <w:tcPr>
            <w:tcW w:type="dxa" w:w="2160"/>
            <w:vAlign w:val="top"/>
          </w:tcPr>
          <w:p>
            <w:pPr>
              <w:spacing w:after="40" w:before="0" w:line="259" w:lineRule="auto"/>
            </w:pPr>
            <w:r>
              <w:rPr>
                <w:rFonts w:ascii="Calibri" w:hAnsi="Calibri"/>
                <w:b w:val="0"/>
                <w:i w:val="0"/>
                <w:color w:val="212121"/>
                <w:sz w:val="19"/>
              </w:rPr>
              <w:t>High-sugar, low fruit-and-vegetable diets</w:t>
            </w:r>
          </w:p>
        </w:tc>
        <w:tc>
          <w:tcPr>
            <w:tcW w:type="dxa" w:w="4276"/>
            <w:vAlign w:val="top"/>
          </w:tcPr>
          <w:p>
            <w:pPr>
              <w:spacing w:after="60" w:line="259" w:lineRule="auto"/>
            </w:pPr>
            <w:r>
              <w:rPr>
                <w:rFonts w:ascii="Calibri" w:hAnsi="Calibri"/>
                <w:b w:val="0"/>
                <w:i w:val="0"/>
                <w:color w:val="212121"/>
                <w:sz w:val="19"/>
              </w:rPr>
              <w:t>Frequent free-sugar intake feeds the cariogenic and inflammatory biofilm, while low vitamin C and antioxidant intake impairs gingival collagen and connective-tissue integrity, compounding periodontal breakdown.</w:t>
            </w:r>
          </w:p>
          <w:p>
            <w:pPr>
              <w:spacing w:after="40" w:before="60" w:line="259" w:lineRule="auto"/>
            </w:pPr>
            <w:r>
              <w:rPr>
                <w:rFonts w:ascii="Calibri" w:hAnsi="Calibri"/>
                <w:b w:val="0"/>
                <w:i w:val="0"/>
                <w:color w:val="212121"/>
                <w:sz w:val="19"/>
              </w:rPr>
              <w:t>Diets high in free sugars and low in vitamin C are linked to worse gingival and periodontal health.</w:t>
            </w:r>
          </w:p>
          <w:p>
            <w:pPr>
              <w:spacing w:before="60" w:after="40"/>
            </w:pPr>
            <w:r>
              <w:rPr>
                <w:rFonts w:ascii="Calibri" w:hAnsi="Calibri"/>
                <w:b w:val="0"/>
                <w:i w:val="0"/>
                <w:color w:val="5A5A5A"/>
                <w:sz w:val="18"/>
              </w:rPr>
              <w:t>#freesugars  #vitaminC  #biofilm  #collagen  #diet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gene polymorphisms</w:t>
            </w:r>
          </w:p>
        </w:tc>
        <w:tc>
          <w:tcPr>
            <w:tcW w:type="dxa" w:w="2160"/>
            <w:vAlign w:val="top"/>
          </w:tcPr>
          <w:p>
            <w:pPr>
              <w:spacing w:after="40" w:before="0" w:line="259" w:lineRule="auto"/>
            </w:pPr>
            <w:r>
              <w:rPr>
                <w:rFonts w:ascii="Calibri" w:hAnsi="Calibri"/>
                <w:b w:val="0"/>
                <w:i w:val="0"/>
                <w:color w:val="212121"/>
                <w:sz w:val="19"/>
              </w:rPr>
              <w:t>Familial aggregation, IL-1 genotype</w:t>
            </w:r>
          </w:p>
        </w:tc>
        <w:tc>
          <w:tcPr>
            <w:tcW w:type="dxa" w:w="4276"/>
            <w:vAlign w:val="top"/>
          </w:tcPr>
          <w:p>
            <w:pPr>
              <w:spacing w:after="60" w:line="259" w:lineRule="auto"/>
            </w:pPr>
            <w:r>
              <w:rPr>
                <w:rFonts w:ascii="Calibri" w:hAnsi="Calibri"/>
                <w:b w:val="0"/>
                <w:i w:val="0"/>
                <w:color w:val="212121"/>
                <w:sz w:val="19"/>
              </w:rPr>
              <w:t>A hyper-inflammatory host phenotype clusters in families; polymorphisms such as the IL-1 gene cluster increase cytokine output and are associated with more severe, earlier-onset periodontitis.</w:t>
            </w:r>
          </w:p>
          <w:p>
            <w:pPr>
              <w:spacing w:after="40" w:before="60" w:line="259" w:lineRule="auto"/>
            </w:pPr>
            <w:r>
              <w:rPr>
                <w:rFonts w:ascii="Calibri" w:hAnsi="Calibri"/>
                <w:b w:val="0"/>
                <w:i w:val="0"/>
                <w:color w:val="212121"/>
                <w:sz w:val="19"/>
              </w:rPr>
              <w:t>Familial aggregation and IL-1 polymorphisms are recognised markers of susceptibility to severe periodontitis.</w:t>
            </w:r>
          </w:p>
          <w:p>
            <w:pPr>
              <w:spacing w:before="60" w:after="40"/>
            </w:pPr>
            <w:r>
              <w:rPr>
                <w:rFonts w:ascii="Calibri" w:hAnsi="Calibri"/>
                <w:b w:val="0"/>
                <w:i w:val="0"/>
                <w:color w:val="5A5A5A"/>
                <w:sz w:val="18"/>
              </w:rPr>
              <w:t>#genetics  #IL1  #hostresponse  #familyhistory  #earlyonset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Poorly-controlled diabetics</w:t>
            </w:r>
          </w:p>
        </w:tc>
        <w:tc>
          <w:tcPr>
            <w:tcW w:type="dxa" w:w="4276"/>
            <w:vAlign w:val="top"/>
          </w:tcPr>
          <w:p>
            <w:pPr>
              <w:spacing w:after="60" w:line="259" w:lineRule="auto"/>
            </w:pPr>
            <w:r>
              <w:rPr>
                <w:rFonts w:ascii="Calibri" w:hAnsi="Calibri"/>
                <w:b w:val="0"/>
                <w:i w:val="0"/>
                <w:color w:val="212121"/>
                <w:sz w:val="19"/>
              </w:rPr>
              <w:t>Hyperglycaemia raises AGE-RAGE signalling and pro-inflammatory cytokines, impairs neutrophils and collagen turnover, and worsens periodontal destruction; periodontitis in turn worsens glycaemic control (a true bidirectional link).</w:t>
            </w:r>
          </w:p>
          <w:p>
            <w:pPr>
              <w:spacing w:after="40" w:before="60" w:line="259" w:lineRule="auto"/>
            </w:pPr>
            <w:r>
              <w:rPr>
                <w:rFonts w:ascii="Calibri" w:hAnsi="Calibri"/>
                <w:b w:val="0"/>
                <w:i w:val="0"/>
                <w:color w:val="212121"/>
                <w:sz w:val="19"/>
              </w:rPr>
              <w:t>Patients with neglected or poorly-controlled diabetes have a 2-3 times higher risk of developing periodontitis.</w:t>
            </w:r>
          </w:p>
          <w:p>
            <w:pPr>
              <w:spacing w:after="40" w:line="252" w:lineRule="auto"/>
            </w:pPr>
            <w:hyperlink r:id="rId12">
              <w:r>
                <w:rPr>
                  <w:rFonts w:ascii="Calibri" w:hAnsi="Calibri" w:cs="Calibri"/>
                  <w:sz w:val="18"/>
                  <w:color w:val="1155CC"/>
                  <w:u w:val="single"/>
                </w:rPr>
                <w:t xml:space="preserve">mdpi.com - bidirectional periodontitis-diabetes review</w:t>
              </w:r>
            </w:hyperlink>
          </w:p>
          <w:p>
            <w:pPr>
              <w:spacing w:before="60" w:after="40"/>
            </w:pPr>
            <w:r>
              <w:rPr>
                <w:rFonts w:ascii="Calibri" w:hAnsi="Calibri"/>
                <w:b w:val="0"/>
                <w:i w:val="0"/>
                <w:color w:val="5A5A5A"/>
                <w:sz w:val="18"/>
              </w:rPr>
              <w:t>#diabetes  #bidirectional  #AGEs  #HbA1c  #glycemiccontrol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 metabolic syndrome</w:t>
            </w:r>
          </w:p>
        </w:tc>
        <w:tc>
          <w:tcPr>
            <w:tcW w:type="dxa" w:w="2160"/>
            <w:vAlign w:val="top"/>
          </w:tcPr>
          <w:p>
            <w:pPr>
              <w:spacing w:after="40" w:before="0" w:line="259" w:lineRule="auto"/>
            </w:pPr>
            <w:r>
              <w:rPr>
                <w:rFonts w:ascii="Calibri" w:hAnsi="Calibri"/>
                <w:b w:val="0"/>
                <w:i w:val="0"/>
                <w:color w:val="212121"/>
                <w:sz w:val="19"/>
              </w:rPr>
              <w:t>Overweight &amp; obese adults</w:t>
            </w:r>
          </w:p>
        </w:tc>
        <w:tc>
          <w:tcPr>
            <w:tcW w:type="dxa" w:w="4276"/>
            <w:vAlign w:val="top"/>
          </w:tcPr>
          <w:p>
            <w:pPr>
              <w:spacing w:after="60" w:line="259" w:lineRule="auto"/>
            </w:pPr>
            <w:r>
              <w:rPr>
                <w:rFonts w:ascii="Calibri" w:hAnsi="Calibri"/>
                <w:b w:val="0"/>
                <w:i w:val="0"/>
                <w:color w:val="212121"/>
                <w:sz w:val="19"/>
              </w:rPr>
              <w:t>Adipose tissue secretes pro-inflammatory adipokines (TNF-alpha, IL-6, leptin) that amplify the systemic and periodontal inflammatory burden and insulin resistance, a mechanism shared with diabetes.</w:t>
            </w:r>
          </w:p>
          <w:p>
            <w:pPr>
              <w:spacing w:after="40" w:before="60" w:line="259" w:lineRule="auto"/>
            </w:pPr>
            <w:r>
              <w:rPr>
                <w:rFonts w:ascii="Calibri" w:hAnsi="Calibri"/>
                <w:b w:val="0"/>
                <w:i w:val="0"/>
                <w:color w:val="212121"/>
                <w:sz w:val="19"/>
              </w:rPr>
              <w:t>Obesity shares the inflammatory-cytokine pathways (IL-6, TNF-alpha) that drive both insulin resistance and periodontal tissue breakdown.</w:t>
            </w:r>
          </w:p>
          <w:p>
            <w:pPr>
              <w:spacing w:after="40" w:line="252" w:lineRule="auto"/>
            </w:pPr>
            <w:hyperlink r:id="rId12">
              <w:r>
                <w:rPr>
                  <w:rFonts w:ascii="Calibri" w:hAnsi="Calibri" w:cs="Calibri"/>
                  <w:sz w:val="18"/>
                  <w:color w:val="1155CC"/>
                  <w:u w:val="single"/>
                </w:rPr>
                <w:t xml:space="preserve">mdpi.com - shared inflammatory mechanisms</w:t>
              </w:r>
            </w:hyperlink>
          </w:p>
          <w:p>
            <w:pPr>
              <w:spacing w:before="60" w:after="40"/>
            </w:pPr>
            <w:r>
              <w:rPr>
                <w:rFonts w:ascii="Calibri" w:hAnsi="Calibri"/>
                <w:b w:val="0"/>
                <w:i w:val="0"/>
                <w:color w:val="5A5A5A"/>
                <w:sz w:val="18"/>
              </w:rPr>
              <w:t>#obesity  #adipokines  #metabolicsyndrome  #inflammation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Rheumatoid arthritis</w:t>
            </w:r>
          </w:p>
        </w:tc>
        <w:tc>
          <w:tcPr>
            <w:tcW w:type="dxa" w:w="2160"/>
            <w:vAlign w:val="top"/>
          </w:tcPr>
          <w:p>
            <w:pPr>
              <w:spacing w:after="40" w:before="0" w:line="259" w:lineRule="auto"/>
            </w:pPr>
            <w:r>
              <w:rPr>
                <w:rFonts w:ascii="Calibri" w:hAnsi="Calibri"/>
                <w:b w:val="0"/>
                <w:i w:val="0"/>
                <w:color w:val="212121"/>
                <w:sz w:val="19"/>
              </w:rPr>
              <w:t>Patients with rheumatoid arthritis</w:t>
            </w:r>
          </w:p>
        </w:tc>
        <w:tc>
          <w:tcPr>
            <w:tcW w:type="dxa" w:w="4276"/>
            <w:vAlign w:val="top"/>
          </w:tcPr>
          <w:p>
            <w:pPr>
              <w:spacing w:after="60" w:line="259" w:lineRule="auto"/>
            </w:pPr>
            <w:r>
              <w:rPr>
                <w:rFonts w:ascii="Calibri" w:hAnsi="Calibri"/>
                <w:b w:val="0"/>
                <w:i w:val="0"/>
                <w:color w:val="212121"/>
                <w:sz w:val="19"/>
              </w:rPr>
              <w:t>RA and periodontitis share a chronic destructive inflammatory pathway; Porphyromonas gingivalis citrullinates host proteins, potentially generating the anti-citrullinated protein antibodies (ACPA) central to RA, giving a bidirectional relationship.</w:t>
            </w:r>
          </w:p>
          <w:p>
            <w:pPr>
              <w:spacing w:after="40" w:before="60" w:line="259" w:lineRule="auto"/>
            </w:pPr>
            <w:r>
              <w:rPr>
                <w:rFonts w:ascii="Calibri" w:hAnsi="Calibri"/>
                <w:b w:val="0"/>
                <w:i w:val="0"/>
                <w:color w:val="212121"/>
                <w:sz w:val="19"/>
              </w:rPr>
              <w:t>Periodontitis and rheumatoid arthritis are bidirectionally associated through shared citrullination and cytokine-mediated inflammation.</w:t>
            </w:r>
          </w:p>
          <w:p>
            <w:pPr>
              <w:spacing w:before="60" w:after="40"/>
            </w:pPr>
            <w:r>
              <w:rPr>
                <w:rFonts w:ascii="Calibri" w:hAnsi="Calibri"/>
                <w:b w:val="0"/>
                <w:i w:val="0"/>
                <w:color w:val="5A5A5A"/>
                <w:sz w:val="18"/>
              </w:rPr>
              <w:t>#rheumatoidarthritis  #citrullination  #ACPA  #Pgingivalis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(hormonal)</w:t>
            </w:r>
          </w:p>
        </w:tc>
        <w:tc>
          <w:tcPr>
            <w:tcW w:type="dxa" w:w="4276"/>
            <w:vAlign w:val="top"/>
          </w:tcPr>
          <w:p>
            <w:pPr>
              <w:spacing w:after="60" w:line="259" w:lineRule="auto"/>
            </w:pPr>
            <w:r>
              <w:rPr>
                <w:rFonts w:ascii="Calibri" w:hAnsi="Calibri"/>
                <w:b w:val="0"/>
                <w:i w:val="0"/>
                <w:color w:val="212121"/>
                <w:sz w:val="19"/>
              </w:rPr>
              <w:t>Rising oestrogen and progesterone exaggerate the gingival inflammatory response to plaque (pregnancy gingivitis), which can progress to periodontitis; maternal periodontitis is in turn linked to adverse pregnancy outcomes.</w:t>
            </w:r>
          </w:p>
          <w:p>
            <w:pPr>
              <w:spacing w:after="40" w:before="60" w:line="259" w:lineRule="auto"/>
            </w:pPr>
            <w:r>
              <w:rPr>
                <w:rFonts w:ascii="Calibri" w:hAnsi="Calibri"/>
                <w:b w:val="0"/>
                <w:i w:val="0"/>
                <w:color w:val="212121"/>
                <w:sz w:val="19"/>
              </w:rPr>
              <w:t>Pregnancy hormones heighten the gingival response to plaque, and maternal periodontitis is associated with adverse pregnancy outcomes.</w:t>
            </w:r>
          </w:p>
          <w:p>
            <w:pPr>
              <w:spacing w:before="60" w:after="40"/>
            </w:pPr>
            <w:r>
              <w:rPr>
                <w:rFonts w:ascii="Calibri" w:hAnsi="Calibri"/>
                <w:b w:val="0"/>
                <w:i w:val="0"/>
                <w:color w:val="5A5A5A"/>
                <w:sz w:val="18"/>
              </w:rPr>
              <w:t>#pregnancy  #hormones  #pregnancygingivitis  #pretermbirth  #maternalhealth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 / immunocompromised patients</w:t>
            </w:r>
          </w:p>
        </w:tc>
        <w:tc>
          <w:tcPr>
            <w:tcW w:type="dxa" w:w="4276"/>
            <w:vAlign w:val="top"/>
          </w:tcPr>
          <w:p>
            <w:pPr>
              <w:spacing w:after="60" w:line="259" w:lineRule="auto"/>
            </w:pPr>
            <w:r>
              <w:rPr>
                <w:rFonts w:ascii="Calibri" w:hAnsi="Calibri"/>
                <w:b w:val="0"/>
                <w:i w:val="0"/>
                <w:color w:val="212121"/>
                <w:sz w:val="19"/>
              </w:rPr>
              <w:t>Impaired neutrophil and cell-mediated immunity permits rapid, severe and sometimes necrotizing periodontal destruction; poorly-controlled HIV is a classic setting for necrotizing periodontal disease.</w:t>
            </w:r>
          </w:p>
          <w:p>
            <w:pPr>
              <w:spacing w:after="40" w:before="60" w:line="259" w:lineRule="auto"/>
            </w:pPr>
            <w:r>
              <w:rPr>
                <w:rFonts w:ascii="Calibri" w:hAnsi="Calibri"/>
                <w:b w:val="0"/>
                <w:i w:val="0"/>
                <w:color w:val="212121"/>
                <w:sz w:val="19"/>
              </w:rPr>
              <w:t>Immunosuppression (e.g. uncontrolled HIV) predisposes to rapid and necrotizing forms of periodontal disease.</w:t>
            </w:r>
          </w:p>
          <w:p>
            <w:pPr>
              <w:spacing w:before="60" w:after="40"/>
            </w:pPr>
            <w:r>
              <w:rPr>
                <w:rFonts w:ascii="Calibri" w:hAnsi="Calibri"/>
                <w:b w:val="0"/>
                <w:i w:val="0"/>
                <w:color w:val="5A5A5A"/>
                <w:sz w:val="18"/>
              </w:rPr>
              <w:t>#HIV  #immunosuppression  #necrotizing  #rapidprogression  #opportunistic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physical activity lowers systemic inflammation and helps prevent obesity and diabetes, both of which drive periodontitis; sedentary, obese individuals show higher periodontal inflammation.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Frequent free-sugar intake fuels the dysbiotic biofilm while low vitamin C, vitamin D and antioxidant intake impairs gingival collagen and host defence, worsening periodontal breakdown.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or poor-quality sleep raises cortisol and systemic inflammatory markers and is associated with poorer periodontal status and slower healing after treatment.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and smokeless tobacco are the strongest modifiable risk factors, roughly doubling gum-disease risk in a dose-dependent way and markedly reducing response to periodontal therapy.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impairs immune and neutrophil function, worsens nutrition and is associated with greater clinical attachment loss and higher plaque scores.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Psychological stress raises cortisol (immunosuppressive), promotes hygiene neglect and tobacco use, and is a recognised trigger for necrotizing periodontal disease.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salivary flow, which mechanically clears debris and buffers plaque acids; dry mouth (xerostomia) is associated with worse periodontal and dental disease.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weak and inconsistent; some studies suggest heavy coffee intake may modestly associate with alveolar bone loss, but the independent effect of caffeine is negligible.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Mechanical plaque control (twice-daily brushing plus interdental cleaning) and periodic professional scaling are the single most important determinant of preventing and controlling periodontitis.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Plaque and calculus accumulation, poorly-controlled diabetes, smoking, hormonal surges (pregnancy) and psychological stress can precipitate or accelerate disease activity.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Toothbrushing frequency</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Twice daily with fluoride toothpaste</w:t>
            </w:r>
          </w:p>
        </w:tc>
        <w:tc>
          <w:tcPr>
            <w:tcW w:type="dxa" w:w="1512"/>
            <w:vAlign w:val="top"/>
          </w:tcPr>
          <w:p>
            <w:pPr>
              <w:spacing w:after="40" w:before="0" w:line="259" w:lineRule="auto"/>
            </w:pPr>
            <w:r>
              <w:rPr>
                <w:rFonts w:ascii="Calibri" w:hAnsi="Calibri"/>
                <w:b w:val="0"/>
                <w:i w:val="0"/>
                <w:color w:val="212121"/>
                <w:sz w:val="19"/>
              </w:rPr>
              <w:t>&lt; once daily / irregular</w:t>
            </w:r>
          </w:p>
        </w:tc>
        <w:tc>
          <w:tcPr>
            <w:tcW w:type="dxa" w:w="1468"/>
            <w:vAlign w:val="top"/>
          </w:tcPr>
          <w:p>
            <w:pPr>
              <w:spacing w:after="40" w:before="0" w:line="259" w:lineRule="auto"/>
            </w:pPr>
            <w:r>
              <w:rPr>
                <w:rFonts w:ascii="Calibri" w:hAnsi="Calibri"/>
                <w:b w:val="0"/>
                <w:i w:val="0"/>
                <w:color w:val="212121"/>
                <w:sz w:val="19"/>
              </w:rPr>
              <w:t>Inadequate brushing allows biofilm maturation and calculus formation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Interdental cleaning (floss / interdental brush)</w:t>
            </w:r>
          </w:p>
        </w:tc>
        <w:tc>
          <w:tcPr>
            <w:tcW w:type="dxa" w:w="1655"/>
            <w:vAlign w:val="top"/>
          </w:tcPr>
          <w:p>
            <w:pPr>
              <w:spacing w:after="40" w:before="0" w:line="259" w:lineRule="auto"/>
            </w:pPr>
            <w:r>
              <w:rPr>
                <w:rFonts w:ascii="Calibri" w:hAnsi="Calibri"/>
                <w:b w:val="0"/>
                <w:i w:val="0"/>
                <w:color w:val="212121"/>
                <w:sz w:val="19"/>
              </w:rPr>
              <w:t>Adults, periodontitis patients</w:t>
            </w:r>
          </w:p>
        </w:tc>
        <w:tc>
          <w:tcPr>
            <w:tcW w:type="dxa" w:w="1512"/>
            <w:vAlign w:val="top"/>
          </w:tcPr>
          <w:p>
            <w:pPr>
              <w:spacing w:after="40" w:before="0" w:line="259" w:lineRule="auto"/>
            </w:pPr>
            <w:r>
              <w:rPr>
                <w:rFonts w:ascii="Calibri" w:hAnsi="Calibri"/>
                <w:b w:val="0"/>
                <w:i w:val="0"/>
                <w:color w:val="212121"/>
                <w:sz w:val="19"/>
              </w:rPr>
              <w:t>Once daily</w:t>
            </w:r>
          </w:p>
        </w:tc>
        <w:tc>
          <w:tcPr>
            <w:tcW w:type="dxa" w:w="1512"/>
            <w:vAlign w:val="top"/>
          </w:tcPr>
          <w:p>
            <w:pPr>
              <w:spacing w:after="40" w:before="0" w:line="259" w:lineRule="auto"/>
            </w:pPr>
            <w:r>
              <w:rPr>
                <w:rFonts w:ascii="Calibri" w:hAnsi="Calibri"/>
                <w:b w:val="0"/>
                <w:i w:val="0"/>
                <w:color w:val="212121"/>
                <w:sz w:val="19"/>
              </w:rPr>
              <w:t>Never</w:t>
            </w:r>
          </w:p>
        </w:tc>
        <w:tc>
          <w:tcPr>
            <w:tcW w:type="dxa" w:w="1468"/>
            <w:vAlign w:val="top"/>
          </w:tcPr>
          <w:p>
            <w:pPr>
              <w:spacing w:after="40" w:before="0" w:line="259" w:lineRule="auto"/>
            </w:pPr>
            <w:r>
              <w:rPr>
                <w:rFonts w:ascii="Calibri" w:hAnsi="Calibri"/>
                <w:b w:val="0"/>
                <w:i w:val="0"/>
                <w:color w:val="212121"/>
                <w:sz w:val="19"/>
              </w:rPr>
              <w:t>Interproximal sites are where periodontitis typically begins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Professional scaling / dental check-up</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Every 6-12 months</w:t>
            </w:r>
          </w:p>
        </w:tc>
        <w:tc>
          <w:tcPr>
            <w:tcW w:type="dxa" w:w="1512"/>
            <w:vAlign w:val="top"/>
          </w:tcPr>
          <w:p>
            <w:pPr>
              <w:spacing w:after="40" w:before="0" w:line="259" w:lineRule="auto"/>
            </w:pPr>
            <w:r>
              <w:rPr>
                <w:rFonts w:ascii="Calibri" w:hAnsi="Calibri"/>
                <w:b w:val="0"/>
                <w:i w:val="0"/>
                <w:color w:val="212121"/>
                <w:sz w:val="19"/>
              </w:rPr>
              <w:t>&gt; 2 years or never</w:t>
            </w:r>
          </w:p>
        </w:tc>
        <w:tc>
          <w:tcPr>
            <w:tcW w:type="dxa" w:w="1468"/>
            <w:vAlign w:val="top"/>
          </w:tcPr>
          <w:p>
            <w:pPr>
              <w:spacing w:after="40" w:before="0" w:line="259" w:lineRule="auto"/>
            </w:pPr>
            <w:r>
              <w:rPr>
                <w:rFonts w:ascii="Calibri" w:hAnsi="Calibri"/>
                <w:b w:val="0"/>
                <w:i w:val="0"/>
                <w:color w:val="212121"/>
                <w:sz w:val="19"/>
              </w:rPr>
              <w:t>Removes subgingival calculus that brushing cannot reach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Plaque control record (% surfaces with plaque)</w:t>
            </w:r>
          </w:p>
        </w:tc>
        <w:tc>
          <w:tcPr>
            <w:tcW w:type="dxa" w:w="1655"/>
            <w:vAlign w:val="top"/>
          </w:tcPr>
          <w:p>
            <w:pPr>
              <w:spacing w:after="40" w:before="0" w:line="259" w:lineRule="auto"/>
            </w:pPr>
            <w:r>
              <w:rPr>
                <w:rFonts w:ascii="Calibri" w:hAnsi="Calibri"/>
                <w:b w:val="0"/>
                <w:i w:val="0"/>
                <w:color w:val="212121"/>
                <w:sz w:val="19"/>
              </w:rPr>
              <w:t>Periodontitis patients</w:t>
            </w:r>
          </w:p>
        </w:tc>
        <w:tc>
          <w:tcPr>
            <w:tcW w:type="dxa" w:w="1512"/>
            <w:vAlign w:val="top"/>
          </w:tcPr>
          <w:p>
            <w:pPr>
              <w:spacing w:after="40" w:before="0" w:line="259" w:lineRule="auto"/>
            </w:pPr>
            <w:r>
              <w:rPr>
                <w:rFonts w:ascii="Calibri" w:hAnsi="Calibri"/>
                <w:b w:val="0"/>
                <w:i w:val="0"/>
                <w:color w:val="212121"/>
                <w:sz w:val="19"/>
              </w:rPr>
              <w:t>&lt; 20% of surfaces</w:t>
            </w:r>
          </w:p>
        </w:tc>
        <w:tc>
          <w:tcPr>
            <w:tcW w:type="dxa" w:w="1512"/>
            <w:vAlign w:val="top"/>
          </w:tcPr>
          <w:p>
            <w:pPr>
              <w:spacing w:after="40" w:before="0" w:line="259" w:lineRule="auto"/>
            </w:pPr>
            <w:r>
              <w:rPr>
                <w:rFonts w:ascii="Calibri" w:hAnsi="Calibri"/>
                <w:b w:val="0"/>
                <w:i w:val="0"/>
                <w:color w:val="212121"/>
                <w:sz w:val="19"/>
              </w:rPr>
              <w:t>&gt; 20-30%</w:t>
            </w:r>
          </w:p>
        </w:tc>
        <w:tc>
          <w:tcPr>
            <w:tcW w:type="dxa" w:w="1468"/>
            <w:vAlign w:val="top"/>
          </w:tcPr>
          <w:p>
            <w:pPr>
              <w:spacing w:after="40" w:before="0" w:line="259" w:lineRule="auto"/>
            </w:pPr>
            <w:r>
              <w:rPr>
                <w:rFonts w:ascii="Calibri" w:hAnsi="Calibri"/>
                <w:b w:val="0"/>
                <w:i w:val="0"/>
                <w:color w:val="212121"/>
                <w:sz w:val="19"/>
              </w:rPr>
              <w:t>Higher plaque scores predict progression and poor treatment response</w:t>
            </w:r>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Smokers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 (&gt;= 10 upgrades grade)</w:t>
            </w:r>
          </w:p>
        </w:tc>
        <w:tc>
          <w:tcPr>
            <w:tcW w:type="dxa" w:w="1468"/>
            <w:vAlign w:val="top"/>
          </w:tcPr>
          <w:p>
            <w:pPr>
              <w:spacing w:after="60" w:line="259" w:lineRule="auto"/>
            </w:pPr>
            <w:r>
              <w:rPr>
                <w:rFonts w:ascii="Calibri" w:hAnsi="Calibri"/>
                <w:b w:val="0"/>
                <w:i w:val="0"/>
                <w:color w:val="212121"/>
                <w:sz w:val="19"/>
              </w:rPr>
              <w:t>Dose-dependent; &gt;= 10/day is a 2017-classification grade modifier</w:t>
            </w:r>
          </w:p>
          <w:p>
            <w:pPr>
              <w:spacing w:after="40" w:line="252" w:lineRule="auto"/>
            </w:pPr>
            <w:hyperlink r:id="rId10">
              <w:r>
                <w:rPr>
                  <w:rFonts w:ascii="Calibri" w:hAnsi="Calibri" w:cs="Calibri"/>
                  <w:sz w:val="18"/>
                  <w:color w:val="1155CC"/>
                  <w:u w:val="single"/>
                </w:rPr>
                <w:t xml:space="preserve">https://www.cdc.gov/tobacco/campaign/tips/diseases/periodontal-gum-disease.html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Smokeless tobacco (gutka / khaini / quid)</w:t>
            </w:r>
          </w:p>
        </w:tc>
        <w:tc>
          <w:tcPr>
            <w:tcW w:type="dxa" w:w="1655"/>
            <w:vAlign w:val="top"/>
          </w:tcPr>
          <w:p>
            <w:pPr>
              <w:spacing w:after="40" w:before="0" w:line="259" w:lineRule="auto"/>
            </w:pPr>
            <w:r>
              <w:rPr>
                <w:rFonts w:ascii="Calibri" w:hAnsi="Calibri"/>
                <w:b w:val="0"/>
                <w:i w:val="0"/>
                <w:color w:val="212121"/>
                <w:sz w:val="19"/>
              </w:rPr>
              <w:t>Chewers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regular use</w:t>
            </w:r>
          </w:p>
        </w:tc>
        <w:tc>
          <w:tcPr>
            <w:tcW w:type="dxa" w:w="1468"/>
            <w:vAlign w:val="top"/>
          </w:tcPr>
          <w:p>
            <w:pPr>
              <w:spacing w:after="60" w:line="259" w:lineRule="auto"/>
            </w:pPr>
            <w:r>
              <w:rPr>
                <w:rFonts w:ascii="Calibri" w:hAnsi="Calibri"/>
                <w:b w:val="0"/>
                <w:i w:val="0"/>
                <w:color w:val="212121"/>
                <w:sz w:val="19"/>
              </w:rPr>
              <w:t>Causes localised recession and attachment loss at the placement site</w:t>
            </w:r>
          </w:p>
          <w:p>
            <w:pPr>
              <w:spacing w:after="40" w:line="252" w:lineRule="auto"/>
            </w:pPr>
            <w:hyperlink r:id="rId10">
              <w:r>
                <w:rPr>
                  <w:rFonts w:ascii="Calibri" w:hAnsi="Calibri" w:cs="Calibri"/>
                  <w:sz w:val="18"/>
                  <w:color w:val="1155CC"/>
                  <w:u w:val="single"/>
                </w:rPr>
                <w:t xml:space="preserve">https://www.cdc.gov/tobacco/campaign/tips/diseases/periodontal-gum-disease.html</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Free-sugar intake</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&lt; 10% of total energy (WHO)</w:t>
            </w:r>
          </w:p>
        </w:tc>
        <w:tc>
          <w:tcPr>
            <w:tcW w:type="dxa" w:w="1512"/>
            <w:vAlign w:val="top"/>
          </w:tcPr>
          <w:p>
            <w:pPr>
              <w:spacing w:after="40" w:before="0" w:line="259" w:lineRule="auto"/>
            </w:pPr>
            <w:r>
              <w:rPr>
                <w:rFonts w:ascii="Calibri" w:hAnsi="Calibri"/>
                <w:b w:val="0"/>
                <w:i w:val="0"/>
                <w:color w:val="212121"/>
                <w:sz w:val="19"/>
              </w:rPr>
              <w:t>Frequent sugary snacks/drinks</w:t>
            </w:r>
          </w:p>
        </w:tc>
        <w:tc>
          <w:tcPr>
            <w:tcW w:type="dxa" w:w="1468"/>
            <w:vAlign w:val="top"/>
          </w:tcPr>
          <w:p>
            <w:pPr>
              <w:spacing w:after="40" w:before="0" w:line="259" w:lineRule="auto"/>
            </w:pPr>
            <w:r>
              <w:rPr>
                <w:rFonts w:ascii="Calibri" w:hAnsi="Calibri"/>
                <w:b w:val="0"/>
                <w:i w:val="0"/>
                <w:color w:val="212121"/>
                <w:sz w:val="19"/>
              </w:rPr>
              <w:t>Feeds cariogenic and inflammatory biofilm</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Vitamin C / fruit-vegetable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Meets RDA (&gt;= 40 mg/day, India)</w:t>
            </w:r>
          </w:p>
        </w:tc>
        <w:tc>
          <w:tcPr>
            <w:tcW w:type="dxa" w:w="1512"/>
            <w:vAlign w:val="top"/>
          </w:tcPr>
          <w:p>
            <w:pPr>
              <w:spacing w:after="40" w:before="0" w:line="259" w:lineRule="auto"/>
            </w:pPr>
            <w:r>
              <w:rPr>
                <w:rFonts w:ascii="Calibri" w:hAnsi="Calibri"/>
                <w:b w:val="0"/>
                <w:i w:val="0"/>
                <w:color w:val="212121"/>
                <w:sz w:val="19"/>
              </w:rPr>
              <w:t>Deficient intake</w:t>
            </w:r>
          </w:p>
        </w:tc>
        <w:tc>
          <w:tcPr>
            <w:tcW w:type="dxa" w:w="1468"/>
            <w:vAlign w:val="top"/>
          </w:tcPr>
          <w:p>
            <w:pPr>
              <w:spacing w:after="40" w:before="0" w:line="259" w:lineRule="auto"/>
            </w:pPr>
            <w:r>
              <w:rPr>
                <w:rFonts w:ascii="Calibri" w:hAnsi="Calibri"/>
                <w:b w:val="0"/>
                <w:i w:val="0"/>
                <w:color w:val="212121"/>
                <w:sz w:val="19"/>
              </w:rPr>
              <w:t>Vitamin C is essential for gingival collagen and connective-tissue integrity</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(Asian-Indian cut-offs)</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Adiposity adds pro-inflammatory adipokines that worsen periodontitis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HbA1c (glycaemic control)</w:t>
            </w:r>
          </w:p>
        </w:tc>
        <w:tc>
          <w:tcPr>
            <w:tcW w:type="dxa" w:w="1655"/>
            <w:vAlign w:val="top"/>
          </w:tcPr>
          <w:p>
            <w:pPr>
              <w:spacing w:after="40" w:before="0" w:line="259" w:lineRule="auto"/>
            </w:pPr>
            <w:r>
              <w:rPr>
                <w:rFonts w:ascii="Calibri" w:hAnsi="Calibri"/>
                <w:b w:val="0"/>
                <w:i w:val="0"/>
                <w:color w:val="212121"/>
                <w:sz w:val="19"/>
              </w:rPr>
              <w:t>Diabetics</w:t>
            </w:r>
          </w:p>
        </w:tc>
        <w:tc>
          <w:tcPr>
            <w:tcW w:type="dxa" w:w="1512"/>
            <w:vAlign w:val="top"/>
          </w:tcPr>
          <w:p>
            <w:pPr>
              <w:spacing w:after="40" w:before="0" w:line="259" w:lineRule="auto"/>
            </w:pPr>
            <w:r>
              <w:rPr>
                <w:rFonts w:ascii="Calibri" w:hAnsi="Calibri"/>
                <w:b w:val="0"/>
                <w:i w:val="0"/>
                <w:color w:val="212121"/>
                <w:sz w:val="19"/>
              </w:rPr>
              <w:t>&lt; 7.0%</w:t>
            </w:r>
          </w:p>
        </w:tc>
        <w:tc>
          <w:tcPr>
            <w:tcW w:type="dxa" w:w="1512"/>
            <w:vAlign w:val="top"/>
          </w:tcPr>
          <w:p>
            <w:pPr>
              <w:spacing w:after="40" w:before="0" w:line="259" w:lineRule="auto"/>
            </w:pPr>
            <w:r>
              <w:rPr>
                <w:rFonts w:ascii="Calibri" w:hAnsi="Calibri"/>
                <w:b w:val="0"/>
                <w:i w:val="0"/>
                <w:color w:val="212121"/>
                <w:sz w:val="19"/>
              </w:rPr>
              <w:t>&gt;= 7.0% (grade modifier)</w:t>
            </w:r>
          </w:p>
        </w:tc>
        <w:tc>
          <w:tcPr>
            <w:tcW w:type="dxa" w:w="1468"/>
            <w:vAlign w:val="top"/>
          </w:tcPr>
          <w:p>
            <w:pPr>
              <w:spacing w:after="60" w:line="259" w:lineRule="auto"/>
            </w:pPr>
            <w:r>
              <w:rPr>
                <w:rFonts w:ascii="Calibri" w:hAnsi="Calibri"/>
                <w:b w:val="0"/>
                <w:i w:val="0"/>
                <w:color w:val="212121"/>
                <w:sz w:val="19"/>
              </w:rPr>
              <w:t>Poor glycaemic control accelerates periodontal destruction and upgrades grade</w:t>
            </w:r>
          </w:p>
          <w:p>
            <w:pPr>
              <w:spacing w:after="40" w:line="252" w:lineRule="auto"/>
            </w:pPr>
            <w:hyperlink r:id="rId12">
              <w:r>
                <w:rPr>
                  <w:rFonts w:ascii="Calibri" w:hAnsi="Calibri" w:cs="Calibri"/>
                  <w:sz w:val="18"/>
                  <w:color w:val="1155CC"/>
                  <w:u w:val="single"/>
                </w:rPr>
                <w:t xml:space="preserve">https://www.mdpi.com/2075-4418/13/4/681</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14 units/week (ideally none)</w:t>
            </w:r>
          </w:p>
        </w:tc>
        <w:tc>
          <w:tcPr>
            <w:tcW w:type="dxa" w:w="1512"/>
            <w:vAlign w:val="top"/>
          </w:tcPr>
          <w:p>
            <w:pPr>
              <w:spacing w:after="40" w:before="0" w:line="259" w:lineRule="auto"/>
            </w:pPr>
            <w:r>
              <w:rPr>
                <w:rFonts w:ascii="Calibri" w:hAnsi="Calibri"/>
                <w:b w:val="0"/>
                <w:i w:val="0"/>
                <w:color w:val="212121"/>
                <w:sz w:val="19"/>
              </w:rPr>
              <w:t>&gt; 14 units/week / heavy episodic</w:t>
            </w:r>
          </w:p>
        </w:tc>
        <w:tc>
          <w:tcPr>
            <w:tcW w:type="dxa" w:w="1468"/>
            <w:vAlign w:val="top"/>
          </w:tcPr>
          <w:p>
            <w:pPr>
              <w:spacing w:after="40" w:before="0" w:line="259" w:lineRule="auto"/>
            </w:pPr>
            <w:r>
              <w:rPr>
                <w:rFonts w:ascii="Calibri" w:hAnsi="Calibri"/>
                <w:b w:val="0"/>
                <w:i w:val="0"/>
                <w:color w:val="212121"/>
                <w:sz w:val="19"/>
              </w:rPr>
              <w:t>Heavy use impairs immunity and worsens attachment loss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measurement</w:t>
            </w:r>
          </w:p>
        </w:tc>
        <w:tc>
          <w:tcPr>
            <w:tcW w:type="dxa" w:w="1036"/>
            <w:vAlign w:val="top"/>
          </w:tcPr>
          <w:p>
            <w:pPr>
              <w:spacing w:after="40" w:before="0" w:line="259" w:lineRule="auto"/>
            </w:pPr>
            <w:r>
              <w:rPr>
                <w:rFonts w:ascii="Calibri" w:hAnsi="Calibri"/>
                <w:b w:val="0"/>
                <w:i w:val="0"/>
                <w:color w:val="212121"/>
                <w:sz w:val="16"/>
              </w:rPr>
              <w:t>Probing Pocket Depth (PPD)</w:t>
            </w:r>
          </w:p>
        </w:tc>
        <w:tc>
          <w:tcPr>
            <w:tcW w:type="dxa" w:w="892"/>
            <w:vAlign w:val="top"/>
          </w:tcPr>
          <w:p>
            <w:pPr>
              <w:spacing w:after="40" w:before="0" w:line="259" w:lineRule="auto"/>
            </w:pPr>
            <w:r>
              <w:rPr>
                <w:rFonts w:ascii="Calibri" w:hAnsi="Calibri"/>
                <w:b w:val="0"/>
                <w:i w:val="0"/>
                <w:color w:val="212121"/>
                <w:sz w:val="16"/>
              </w:rPr>
              <w:t>Periodontal probing (6 sites/tooth)</w:t>
            </w:r>
          </w:p>
        </w:tc>
        <w:tc>
          <w:tcPr>
            <w:tcW w:type="dxa" w:w="950"/>
            <w:vAlign w:val="top"/>
          </w:tcPr>
          <w:p>
            <w:pPr>
              <w:spacing w:after="40" w:before="0" w:line="259" w:lineRule="auto"/>
            </w:pPr>
            <w:r>
              <w:rPr>
                <w:rFonts w:ascii="Calibri" w:hAnsi="Calibri"/>
                <w:b w:val="0"/>
                <w:i w:val="0"/>
                <w:color w:val="212121"/>
                <w:sz w:val="16"/>
              </w:rPr>
              <w:t>1-3 mm</w:t>
            </w:r>
          </w:p>
        </w:tc>
        <w:tc>
          <w:tcPr>
            <w:tcW w:type="dxa" w:w="950"/>
            <w:vAlign w:val="top"/>
          </w:tcPr>
          <w:p>
            <w:pPr>
              <w:spacing w:after="40" w:before="0" w:line="259" w:lineRule="auto"/>
            </w:pPr>
            <w:r>
              <w:rPr>
                <w:rFonts w:ascii="Calibri" w:hAnsi="Calibri"/>
                <w:b w:val="0"/>
                <w:i w:val="0"/>
                <w:color w:val="212121"/>
                <w:sz w:val="16"/>
              </w:rPr>
              <w:t>&gt;= 4 mm (&gt;= 6 mm advanced)</w:t>
            </w:r>
          </w:p>
        </w:tc>
        <w:tc>
          <w:tcPr>
            <w:tcW w:type="dxa" w:w="1036"/>
            <w:vAlign w:val="top"/>
          </w:tcPr>
          <w:p>
            <w:pPr>
              <w:spacing w:after="40" w:before="0" w:line="259" w:lineRule="auto"/>
            </w:pPr>
            <w:r>
              <w:rPr>
                <w:rFonts w:ascii="Calibri" w:hAnsi="Calibri"/>
                <w:b w:val="0"/>
                <w:i w:val="0"/>
                <w:color w:val="212121"/>
                <w:sz w:val="16"/>
              </w:rPr>
              <w:t>Deepened pockets indicate loss of periodontal support and a niche for pathogenic biofilm</w:t>
            </w:r>
          </w:p>
        </w:tc>
        <w:tc>
          <w:tcPr>
            <w:tcW w:type="dxa" w:w="1036"/>
            <w:vAlign w:val="top"/>
          </w:tcPr>
          <w:p>
            <w:pPr>
              <w:spacing w:after="40" w:before="0" w:line="259" w:lineRule="auto"/>
            </w:pPr>
            <w:r>
              <w:rPr>
                <w:rFonts w:ascii="Calibri" w:hAnsi="Calibri"/>
                <w:b w:val="0"/>
                <w:i w:val="0"/>
                <w:color w:val="212121"/>
                <w:sz w:val="16"/>
              </w:rPr>
              <w:t>Adults with bleeding gums, smokers, diabetics</w:t>
            </w:r>
          </w:p>
        </w:tc>
        <w:tc>
          <w:tcPr>
            <w:tcW w:type="dxa" w:w="720"/>
            <w:vAlign w:val="top"/>
          </w:tcPr>
          <w:p>
            <w:pPr>
              <w:spacing w:after="40" w:before="0" w:line="259" w:lineRule="auto"/>
            </w:pPr>
            <w:r>
              <w:rPr>
                <w:rFonts w:ascii="Calibri" w:hAnsi="Calibri"/>
                <w:b w:val="0"/>
                <w:i w:val="0"/>
                <w:color w:val="212121"/>
                <w:sz w:val="16"/>
              </w:rPr>
              <w:t>Hygiene; Smoking</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Use a calibrated (e.g. UNC-15/WHO) probe; record deepest site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measurement</w:t>
            </w:r>
          </w:p>
        </w:tc>
        <w:tc>
          <w:tcPr>
            <w:tcW w:type="dxa" w:w="1036"/>
            <w:vAlign w:val="top"/>
          </w:tcPr>
          <w:p>
            <w:pPr>
              <w:spacing w:after="40" w:before="0" w:line="259" w:lineRule="auto"/>
            </w:pPr>
            <w:r>
              <w:rPr>
                <w:rFonts w:ascii="Calibri" w:hAnsi="Calibri"/>
                <w:b w:val="0"/>
                <w:i w:val="0"/>
                <w:color w:val="212121"/>
                <w:sz w:val="16"/>
              </w:rPr>
              <w:t>Clinical Attachment Level (CAL)</w:t>
            </w:r>
          </w:p>
        </w:tc>
        <w:tc>
          <w:tcPr>
            <w:tcW w:type="dxa" w:w="892"/>
            <w:vAlign w:val="top"/>
          </w:tcPr>
          <w:p>
            <w:pPr>
              <w:spacing w:after="40" w:before="0" w:line="259" w:lineRule="auto"/>
            </w:pPr>
            <w:r>
              <w:rPr>
                <w:rFonts w:ascii="Calibri" w:hAnsi="Calibri"/>
                <w:b w:val="0"/>
                <w:i w:val="0"/>
                <w:color w:val="212121"/>
                <w:sz w:val="16"/>
              </w:rPr>
              <w:t>Periodontal probing from CEJ</w:t>
            </w:r>
          </w:p>
        </w:tc>
        <w:tc>
          <w:tcPr>
            <w:tcW w:type="dxa" w:w="950"/>
            <w:vAlign w:val="top"/>
          </w:tcPr>
          <w:p>
            <w:pPr>
              <w:spacing w:after="40" w:before="0" w:line="259" w:lineRule="auto"/>
            </w:pPr>
            <w:r>
              <w:rPr>
                <w:rFonts w:ascii="Calibri" w:hAnsi="Calibri"/>
                <w:b w:val="0"/>
                <w:i w:val="0"/>
                <w:color w:val="212121"/>
                <w:sz w:val="16"/>
              </w:rPr>
              <w:t>0 mm (no interdental loss)</w:t>
            </w:r>
          </w:p>
        </w:tc>
        <w:tc>
          <w:tcPr>
            <w:tcW w:type="dxa" w:w="950"/>
            <w:vAlign w:val="top"/>
          </w:tcPr>
          <w:p>
            <w:pPr>
              <w:spacing w:after="40" w:before="0" w:line="259" w:lineRule="auto"/>
            </w:pPr>
            <w:r>
              <w:rPr>
                <w:rFonts w:ascii="Calibri" w:hAnsi="Calibri"/>
                <w:b w:val="0"/>
                <w:i w:val="0"/>
                <w:color w:val="212121"/>
                <w:sz w:val="16"/>
              </w:rPr>
              <w:t>Interdental CAL &gt;= 1-2 mm at &gt;= 2 non-adjacent teeth</w:t>
            </w:r>
          </w:p>
        </w:tc>
        <w:tc>
          <w:tcPr>
            <w:tcW w:type="dxa" w:w="1036"/>
            <w:vAlign w:val="top"/>
          </w:tcPr>
          <w:p>
            <w:pPr>
              <w:spacing w:after="40" w:before="0" w:line="259" w:lineRule="auto"/>
            </w:pPr>
            <w:r>
              <w:rPr>
                <w:rFonts w:ascii="Calibri" w:hAnsi="Calibri"/>
                <w:b w:val="0"/>
                <w:i w:val="0"/>
                <w:color w:val="212121"/>
                <w:sz w:val="16"/>
              </w:rPr>
              <w:t>The defining feature of periodontitis; quantifies irreversible connective-tissue loss</w:t>
            </w:r>
          </w:p>
        </w:tc>
        <w:tc>
          <w:tcPr>
            <w:tcW w:type="dxa" w:w="1036"/>
            <w:vAlign w:val="top"/>
          </w:tcPr>
          <w:p>
            <w:pPr>
              <w:spacing w:after="40" w:before="0" w:line="259" w:lineRule="auto"/>
            </w:pPr>
            <w:r>
              <w:rPr>
                <w:rFonts w:ascii="Calibri" w:hAnsi="Calibri"/>
                <w:b w:val="0"/>
                <w:i w:val="0"/>
                <w:color w:val="212121"/>
                <w:sz w:val="16"/>
              </w:rPr>
              <w:t>Periodontitis cases, elderly, tobacco users</w:t>
            </w:r>
          </w:p>
        </w:tc>
        <w:tc>
          <w:tcPr>
            <w:tcW w:type="dxa" w:w="720"/>
            <w:vAlign w:val="top"/>
          </w:tcPr>
          <w:p>
            <w:pPr>
              <w:spacing w:after="40" w:before="0" w:line="259" w:lineRule="auto"/>
            </w:pPr>
            <w:r>
              <w:rPr>
                <w:rFonts w:ascii="Calibri" w:hAnsi="Calibri"/>
                <w:b w:val="0"/>
                <w:i w:val="0"/>
                <w:color w:val="212121"/>
                <w:sz w:val="16"/>
              </w:rPr>
              <w:t>Hygiene; Smoking</w:t>
            </w:r>
          </w:p>
        </w:tc>
        <w:tc>
          <w:tcPr>
            <w:tcW w:type="dxa" w:w="720"/>
            <w:vAlign w:val="top"/>
          </w:tcPr>
          <w:p>
            <w:pPr>
              <w:spacing w:after="40" w:before="0" w:line="259" w:lineRule="auto"/>
            </w:pPr>
            <w:r>
              <w:rPr>
                <w:rFonts w:ascii="Calibri" w:hAnsi="Calibri"/>
                <w:b w:val="0"/>
                <w:i w:val="0"/>
                <w:color w:val="212121"/>
                <w:sz w:val="16"/>
              </w:rPr>
              <w:t>Gold standard / staging</w:t>
            </w:r>
          </w:p>
        </w:tc>
        <w:tc>
          <w:tcPr>
            <w:tcW w:type="dxa" w:w="720"/>
            <w:vAlign w:val="top"/>
          </w:tcPr>
          <w:p>
            <w:pPr>
              <w:spacing w:after="40" w:before="0" w:line="259" w:lineRule="auto"/>
            </w:pPr>
            <w:r>
              <w:rPr>
                <w:rFonts w:ascii="Calibri" w:hAnsi="Calibri"/>
                <w:b w:val="0"/>
                <w:i w:val="0"/>
                <w:color w:val="212121"/>
                <w:sz w:val="16"/>
              </w:rPr>
              <w:t>Basis of 2017 staging (I-IV)</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measurement</w:t>
            </w:r>
          </w:p>
        </w:tc>
        <w:tc>
          <w:tcPr>
            <w:tcW w:type="dxa" w:w="1036"/>
            <w:vAlign w:val="top"/>
          </w:tcPr>
          <w:p>
            <w:pPr>
              <w:spacing w:after="40" w:before="0" w:line="259" w:lineRule="auto"/>
            </w:pPr>
            <w:r>
              <w:rPr>
                <w:rFonts w:ascii="Calibri" w:hAnsi="Calibri"/>
                <w:b w:val="0"/>
                <w:i w:val="0"/>
                <w:color w:val="212121"/>
                <w:sz w:val="16"/>
              </w:rPr>
              <w:t>Bleeding on Probing (BOP)</w:t>
            </w:r>
          </w:p>
        </w:tc>
        <w:tc>
          <w:tcPr>
            <w:tcW w:type="dxa" w:w="892"/>
            <w:vAlign w:val="top"/>
          </w:tcPr>
          <w:p>
            <w:pPr>
              <w:spacing w:after="40" w:before="0" w:line="259" w:lineRule="auto"/>
            </w:pPr>
            <w:r>
              <w:rPr>
                <w:rFonts w:ascii="Calibri" w:hAnsi="Calibri"/>
                <w:b w:val="0"/>
                <w:i w:val="0"/>
                <w:color w:val="212121"/>
                <w:sz w:val="16"/>
              </w:rPr>
              <w:t>Gentle probing of gingival sulcus</w:t>
            </w:r>
          </w:p>
        </w:tc>
        <w:tc>
          <w:tcPr>
            <w:tcW w:type="dxa" w:w="950"/>
            <w:vAlign w:val="top"/>
          </w:tcPr>
          <w:p>
            <w:pPr>
              <w:spacing w:after="40" w:before="0" w:line="259" w:lineRule="auto"/>
            </w:pPr>
            <w:r>
              <w:rPr>
                <w:rFonts w:ascii="Calibri" w:hAnsi="Calibri"/>
                <w:b w:val="0"/>
                <w:i w:val="0"/>
                <w:color w:val="212121"/>
                <w:sz w:val="16"/>
              </w:rPr>
              <w:t>&lt; 10% of sites</w:t>
            </w:r>
          </w:p>
        </w:tc>
        <w:tc>
          <w:tcPr>
            <w:tcW w:type="dxa" w:w="950"/>
            <w:vAlign w:val="top"/>
          </w:tcPr>
          <w:p>
            <w:pPr>
              <w:spacing w:after="40" w:before="0" w:line="259" w:lineRule="auto"/>
            </w:pPr>
            <w:r>
              <w:rPr>
                <w:rFonts w:ascii="Calibri" w:hAnsi="Calibri"/>
                <w:b w:val="0"/>
                <w:i w:val="0"/>
                <w:color w:val="212121"/>
                <w:sz w:val="16"/>
              </w:rPr>
              <w:t>&gt;= 10% of sites (higher = more active)</w:t>
            </w:r>
          </w:p>
        </w:tc>
        <w:tc>
          <w:tcPr>
            <w:tcW w:type="dxa" w:w="1036"/>
            <w:vAlign w:val="top"/>
          </w:tcPr>
          <w:p>
            <w:pPr>
              <w:spacing w:after="40" w:before="0" w:line="259" w:lineRule="auto"/>
            </w:pPr>
            <w:r>
              <w:rPr>
                <w:rFonts w:ascii="Calibri" w:hAnsi="Calibri"/>
                <w:b w:val="0"/>
                <w:i w:val="0"/>
                <w:color w:val="212121"/>
                <w:sz w:val="16"/>
              </w:rPr>
              <w:t>Marker of active gingival inflammation; low BOP indicates periodontal stability</w:t>
            </w:r>
          </w:p>
        </w:tc>
        <w:tc>
          <w:tcPr>
            <w:tcW w:type="dxa" w:w="1036"/>
            <w:vAlign w:val="top"/>
          </w:tcPr>
          <w:p>
            <w:pPr>
              <w:spacing w:after="40" w:before="0" w:line="259" w:lineRule="auto"/>
            </w:pPr>
            <w:r>
              <w:rPr>
                <w:rFonts w:ascii="Calibri" w:hAnsi="Calibri"/>
                <w:b w:val="0"/>
                <w:i w:val="0"/>
                <w:color w:val="212121"/>
                <w:sz w:val="16"/>
              </w:rPr>
              <w:t>All periodontal patients, pregnant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Absence of BOP is a good negative predictor of progression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Alveolar bone level</w:t>
            </w:r>
          </w:p>
        </w:tc>
        <w:tc>
          <w:tcPr>
            <w:tcW w:type="dxa" w:w="892"/>
            <w:vAlign w:val="top"/>
          </w:tcPr>
          <w:p>
            <w:pPr>
              <w:spacing w:after="40" w:before="0" w:line="259" w:lineRule="auto"/>
            </w:pPr>
            <w:r>
              <w:rPr>
                <w:rFonts w:ascii="Calibri" w:hAnsi="Calibri"/>
                <w:b w:val="0"/>
                <w:i w:val="0"/>
                <w:color w:val="212121"/>
                <w:sz w:val="16"/>
              </w:rPr>
              <w:t>Bitewing / periapical / OPG radiograph</w:t>
            </w:r>
          </w:p>
        </w:tc>
        <w:tc>
          <w:tcPr>
            <w:tcW w:type="dxa" w:w="950"/>
            <w:vAlign w:val="top"/>
          </w:tcPr>
          <w:p>
            <w:pPr>
              <w:spacing w:after="40" w:before="0" w:line="259" w:lineRule="auto"/>
            </w:pPr>
            <w:r>
              <w:rPr>
                <w:rFonts w:ascii="Calibri" w:hAnsi="Calibri"/>
                <w:b w:val="0"/>
                <w:i w:val="0"/>
                <w:color w:val="212121"/>
                <w:sz w:val="16"/>
              </w:rPr>
              <w:t>Crest ~1-2 mm below CEJ, intact lamina dura</w:t>
            </w:r>
          </w:p>
        </w:tc>
        <w:tc>
          <w:tcPr>
            <w:tcW w:type="dxa" w:w="950"/>
            <w:vAlign w:val="top"/>
          </w:tcPr>
          <w:p>
            <w:pPr>
              <w:spacing w:after="40" w:before="0" w:line="259" w:lineRule="auto"/>
            </w:pPr>
            <w:r>
              <w:rPr>
                <w:rFonts w:ascii="Calibri" w:hAnsi="Calibri"/>
                <w:b w:val="0"/>
                <w:i w:val="0"/>
                <w:color w:val="212121"/>
                <w:sz w:val="16"/>
              </w:rPr>
              <w:t>Horizontal or vertical (angular) bone loss, furcation radiolucency</w:t>
            </w:r>
          </w:p>
        </w:tc>
        <w:tc>
          <w:tcPr>
            <w:tcW w:type="dxa" w:w="1036"/>
            <w:vAlign w:val="top"/>
          </w:tcPr>
          <w:p>
            <w:pPr>
              <w:spacing w:after="40" w:before="0" w:line="259" w:lineRule="auto"/>
            </w:pPr>
            <w:r>
              <w:rPr>
                <w:rFonts w:ascii="Calibri" w:hAnsi="Calibri"/>
                <w:b w:val="0"/>
                <w:i w:val="0"/>
                <w:color w:val="212121"/>
                <w:sz w:val="16"/>
              </w:rPr>
              <w:t>Confirms and quantifies bone destruction; distinguishes horizontal from vertical defects</w:t>
            </w:r>
          </w:p>
        </w:tc>
        <w:tc>
          <w:tcPr>
            <w:tcW w:type="dxa" w:w="1036"/>
            <w:vAlign w:val="top"/>
          </w:tcPr>
          <w:p>
            <w:pPr>
              <w:spacing w:after="40" w:before="0" w:line="259" w:lineRule="auto"/>
            </w:pPr>
            <w:r>
              <w:rPr>
                <w:rFonts w:ascii="Calibri" w:hAnsi="Calibri"/>
                <w:b w:val="0"/>
                <w:i w:val="0"/>
                <w:color w:val="212121"/>
                <w:sz w:val="16"/>
              </w:rPr>
              <w:t>Moderate-severe cases, treatment planning</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 / staging</w:t>
            </w:r>
          </w:p>
        </w:tc>
        <w:tc>
          <w:tcPr>
            <w:tcW w:type="dxa" w:w="720"/>
            <w:vAlign w:val="top"/>
          </w:tcPr>
          <w:p>
            <w:pPr>
              <w:spacing w:after="40" w:before="0" w:line="259" w:lineRule="auto"/>
            </w:pPr>
            <w:r>
              <w:rPr>
                <w:rFonts w:ascii="Calibri" w:hAnsi="Calibri"/>
                <w:b w:val="0"/>
                <w:i w:val="0"/>
                <w:color w:val="212121"/>
                <w:sz w:val="16"/>
              </w:rPr>
              <w:t>Radiographic bone loss supports grade assessment (% bone loss / 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HbA1c</w:t>
            </w:r>
          </w:p>
        </w:tc>
        <w:tc>
          <w:tcPr>
            <w:tcW w:type="dxa" w:w="892"/>
            <w:vAlign w:val="top"/>
          </w:tcPr>
          <w:p>
            <w:pPr>
              <w:spacing w:after="40" w:before="0" w:line="259" w:lineRule="auto"/>
            </w:pPr>
            <w:r>
              <w:rPr>
                <w:rFonts w:ascii="Calibri" w:hAnsi="Calibri"/>
                <w:b w:val="0"/>
                <w:i w:val="0"/>
                <w:color w:val="212121"/>
                <w:sz w:val="16"/>
              </w:rPr>
              <w:t>Glycated haemoglobin (blood)</w:t>
            </w:r>
          </w:p>
        </w:tc>
        <w:tc>
          <w:tcPr>
            <w:tcW w:type="dxa" w:w="950"/>
            <w:vAlign w:val="top"/>
          </w:tcPr>
          <w:p>
            <w:pPr>
              <w:spacing w:after="40" w:before="0" w:line="259" w:lineRule="auto"/>
            </w:pPr>
            <w:r>
              <w:rPr>
                <w:rFonts w:ascii="Calibri" w:hAnsi="Calibri"/>
                <w:b w:val="0"/>
                <w:i w:val="0"/>
                <w:color w:val="212121"/>
                <w:sz w:val="16"/>
              </w:rPr>
              <w:t>&lt; 5.7%</w:t>
            </w:r>
          </w:p>
        </w:tc>
        <w:tc>
          <w:tcPr>
            <w:tcW w:type="dxa" w:w="950"/>
            <w:vAlign w:val="top"/>
          </w:tcPr>
          <w:p>
            <w:pPr>
              <w:spacing w:after="40" w:before="0" w:line="259" w:lineRule="auto"/>
            </w:pPr>
            <w:r>
              <w:rPr>
                <w:rFonts w:ascii="Calibri" w:hAnsi="Calibri"/>
                <w:b w:val="0"/>
                <w:i w:val="0"/>
                <w:color w:val="212121"/>
                <w:sz w:val="16"/>
              </w:rPr>
              <w:t>&gt;= 6.5% (diabetes); 5.7-6.4% prediabetes</w:t>
            </w:r>
          </w:p>
        </w:tc>
        <w:tc>
          <w:tcPr>
            <w:tcW w:type="dxa" w:w="1036"/>
            <w:vAlign w:val="top"/>
          </w:tcPr>
          <w:p>
            <w:pPr>
              <w:spacing w:after="40" w:before="0" w:line="259" w:lineRule="auto"/>
            </w:pPr>
            <w:r>
              <w:rPr>
                <w:rFonts w:ascii="Calibri" w:hAnsi="Calibri"/>
                <w:b w:val="0"/>
                <w:i w:val="0"/>
                <w:color w:val="212121"/>
                <w:sz w:val="16"/>
              </w:rPr>
              <w:t>Screens for undiagnosed/poorly-controlled diabetes; a 2017-classification grade modifier</w:t>
            </w:r>
          </w:p>
        </w:tc>
        <w:tc>
          <w:tcPr>
            <w:tcW w:type="dxa" w:w="1036"/>
            <w:vAlign w:val="top"/>
          </w:tcPr>
          <w:p>
            <w:pPr>
              <w:spacing w:after="40" w:before="0" w:line="259" w:lineRule="auto"/>
            </w:pPr>
            <w:r>
              <w:rPr>
                <w:rFonts w:ascii="Calibri" w:hAnsi="Calibri"/>
                <w:b w:val="0"/>
                <w:i w:val="0"/>
                <w:color w:val="212121"/>
                <w:sz w:val="16"/>
              </w:rPr>
              <w:t>Adults with severe/rapid periodontitis, obese patients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Dentists increasingly screen for dysglycaemia in periodontitis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Glucose</w:t>
            </w:r>
          </w:p>
        </w:tc>
        <w:tc>
          <w:tcPr>
            <w:tcW w:type="dxa" w:w="892"/>
            <w:vAlign w:val="top"/>
          </w:tcPr>
          <w:p>
            <w:pPr>
              <w:spacing w:after="40" w:before="0" w:line="259" w:lineRule="auto"/>
            </w:pPr>
            <w:r>
              <w:rPr>
                <w:rFonts w:ascii="Calibri" w:hAnsi="Calibri"/>
                <w:b w:val="0"/>
                <w:i w:val="0"/>
                <w:color w:val="212121"/>
                <w:sz w:val="16"/>
              </w:rPr>
              <w:t>Blood glucose (fasting)</w:t>
            </w:r>
          </w:p>
        </w:tc>
        <w:tc>
          <w:tcPr>
            <w:tcW w:type="dxa" w:w="950"/>
            <w:vAlign w:val="top"/>
          </w:tcPr>
          <w:p>
            <w:pPr>
              <w:spacing w:after="40" w:before="0" w:line="259" w:lineRule="auto"/>
            </w:pPr>
            <w:r>
              <w:rPr>
                <w:rFonts w:ascii="Calibri" w:hAnsi="Calibri"/>
                <w:b w:val="0"/>
                <w:i w:val="0"/>
                <w:color w:val="212121"/>
                <w:sz w:val="16"/>
              </w:rPr>
              <w:t>70-99 mg/dL</w:t>
            </w:r>
          </w:p>
        </w:tc>
        <w:tc>
          <w:tcPr>
            <w:tcW w:type="dxa" w:w="950"/>
            <w:vAlign w:val="top"/>
          </w:tcPr>
          <w:p>
            <w:pPr>
              <w:spacing w:after="40" w:before="0" w:line="259" w:lineRule="auto"/>
            </w:pPr>
            <w:r>
              <w:rPr>
                <w:rFonts w:ascii="Calibri" w:hAnsi="Calibri"/>
                <w:b w:val="0"/>
                <w:i w:val="0"/>
                <w:color w:val="212121"/>
                <w:sz w:val="16"/>
              </w:rPr>
              <w:t>&gt;= 126 mg/dL</w:t>
            </w:r>
          </w:p>
        </w:tc>
        <w:tc>
          <w:tcPr>
            <w:tcW w:type="dxa" w:w="1036"/>
            <w:vAlign w:val="top"/>
          </w:tcPr>
          <w:p>
            <w:pPr>
              <w:spacing w:after="40" w:before="0" w:line="259" w:lineRule="auto"/>
            </w:pPr>
            <w:r>
              <w:rPr>
                <w:rFonts w:ascii="Calibri" w:hAnsi="Calibri"/>
                <w:b w:val="0"/>
                <w:i w:val="0"/>
                <w:color w:val="212121"/>
                <w:sz w:val="16"/>
              </w:rPr>
              <w:t>Detects undiagnosed diabetes contributing to periodontal breakdown</w:t>
            </w:r>
          </w:p>
        </w:tc>
        <w:tc>
          <w:tcPr>
            <w:tcW w:type="dxa" w:w="1036"/>
            <w:vAlign w:val="top"/>
          </w:tcPr>
          <w:p>
            <w:pPr>
              <w:spacing w:after="40" w:before="0" w:line="259" w:lineRule="auto"/>
            </w:pPr>
            <w:r>
              <w:rPr>
                <w:rFonts w:ascii="Calibri" w:hAnsi="Calibri"/>
                <w:b w:val="0"/>
                <w:i w:val="0"/>
                <w:color w:val="212121"/>
                <w:sz w:val="16"/>
              </w:rPr>
              <w:t>Undiagnosed at-risk adults, family history of DM</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Refer to physician if abnormal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High-sensitivity CRP</w:t>
            </w:r>
          </w:p>
        </w:tc>
        <w:tc>
          <w:tcPr>
            <w:tcW w:type="dxa" w:w="892"/>
            <w:vAlign w:val="top"/>
          </w:tcPr>
          <w:p>
            <w:pPr>
              <w:spacing w:after="40" w:before="0" w:line="259" w:lineRule="auto"/>
            </w:pPr>
            <w:r>
              <w:rPr>
                <w:rFonts w:ascii="Calibri" w:hAnsi="Calibri"/>
                <w:b w:val="0"/>
                <w:i w:val="0"/>
                <w:color w:val="212121"/>
                <w:sz w:val="16"/>
              </w:rPr>
              <w:t>hs-CRP (blood)</w:t>
            </w:r>
          </w:p>
        </w:tc>
        <w:tc>
          <w:tcPr>
            <w:tcW w:type="dxa" w:w="950"/>
            <w:vAlign w:val="top"/>
          </w:tcPr>
          <w:p>
            <w:pPr>
              <w:spacing w:after="40" w:before="0" w:line="259" w:lineRule="auto"/>
            </w:pPr>
            <w:r>
              <w:rPr>
                <w:rFonts w:ascii="Calibri" w:hAnsi="Calibri"/>
                <w:b w:val="0"/>
                <w:i w:val="0"/>
                <w:color w:val="212121"/>
                <w:sz w:val="16"/>
              </w:rPr>
              <w:t>&lt; 1 mg/L</w:t>
            </w:r>
          </w:p>
        </w:tc>
        <w:tc>
          <w:tcPr>
            <w:tcW w:type="dxa" w:w="950"/>
            <w:vAlign w:val="top"/>
          </w:tcPr>
          <w:p>
            <w:pPr>
              <w:spacing w:after="40" w:before="0" w:line="259" w:lineRule="auto"/>
            </w:pPr>
            <w:r>
              <w:rPr>
                <w:rFonts w:ascii="Calibri" w:hAnsi="Calibri"/>
                <w:b w:val="0"/>
                <w:i w:val="0"/>
                <w:color w:val="212121"/>
                <w:sz w:val="16"/>
              </w:rPr>
              <w:t>Elevated (&gt; 3 mg/L)</w:t>
            </w:r>
          </w:p>
        </w:tc>
        <w:tc>
          <w:tcPr>
            <w:tcW w:type="dxa" w:w="1036"/>
            <w:vAlign w:val="top"/>
          </w:tcPr>
          <w:p>
            <w:pPr>
              <w:spacing w:after="40" w:before="0" w:line="259" w:lineRule="auto"/>
            </w:pPr>
            <w:r>
              <w:rPr>
                <w:rFonts w:ascii="Calibri" w:hAnsi="Calibri"/>
                <w:b w:val="0"/>
                <w:i w:val="0"/>
                <w:color w:val="212121"/>
                <w:sz w:val="16"/>
              </w:rPr>
              <w:t>Reflects systemic inflammatory burden; severe periodontitis can raise systemic CRP</w:t>
            </w:r>
          </w:p>
        </w:tc>
        <w:tc>
          <w:tcPr>
            <w:tcW w:type="dxa" w:w="1036"/>
            <w:vAlign w:val="top"/>
          </w:tcPr>
          <w:p>
            <w:pPr>
              <w:spacing w:after="40" w:before="0" w:line="259" w:lineRule="auto"/>
            </w:pPr>
            <w:r>
              <w:rPr>
                <w:rFonts w:ascii="Calibri" w:hAnsi="Calibri"/>
                <w:b w:val="0"/>
                <w:i w:val="0"/>
                <w:color w:val="212121"/>
                <w:sz w:val="16"/>
              </w:rPr>
              <w:t>Severe generalized periodontitis, cardiometabolic risk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 / context</w:t>
            </w:r>
          </w:p>
        </w:tc>
        <w:tc>
          <w:tcPr>
            <w:tcW w:type="dxa" w:w="720"/>
            <w:vAlign w:val="top"/>
          </w:tcPr>
          <w:p>
            <w:pPr>
              <w:spacing w:after="40" w:before="0" w:line="259" w:lineRule="auto"/>
            </w:pPr>
            <w:r>
              <w:rPr>
                <w:rFonts w:ascii="Calibri" w:hAnsi="Calibri"/>
                <w:b w:val="0"/>
                <w:i w:val="0"/>
                <w:color w:val="212121"/>
                <w:sz w:val="16"/>
              </w:rPr>
              <w:t>Non-specific; supports the systemic-inflammation link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Subgingival microbial profile</w:t>
            </w:r>
          </w:p>
        </w:tc>
        <w:tc>
          <w:tcPr>
            <w:tcW w:type="dxa" w:w="892"/>
            <w:vAlign w:val="top"/>
          </w:tcPr>
          <w:p>
            <w:pPr>
              <w:spacing w:after="40" w:before="0" w:line="259" w:lineRule="auto"/>
            </w:pPr>
            <w:r>
              <w:rPr>
                <w:rFonts w:ascii="Calibri" w:hAnsi="Calibri"/>
                <w:b w:val="0"/>
                <w:i w:val="0"/>
                <w:color w:val="212121"/>
                <w:sz w:val="16"/>
              </w:rPr>
              <w:t>Plaque sampling (culture / PCR)</w:t>
            </w:r>
          </w:p>
        </w:tc>
        <w:tc>
          <w:tcPr>
            <w:tcW w:type="dxa" w:w="950"/>
            <w:vAlign w:val="top"/>
          </w:tcPr>
          <w:p>
            <w:pPr>
              <w:spacing w:after="40" w:before="0" w:line="259" w:lineRule="auto"/>
            </w:pPr>
            <w:r>
              <w:rPr>
                <w:rFonts w:ascii="Calibri" w:hAnsi="Calibri"/>
                <w:b w:val="0"/>
                <w:i w:val="0"/>
                <w:color w:val="212121"/>
                <w:sz w:val="16"/>
              </w:rPr>
              <w:t>Commensal-dominant flora</w:t>
            </w:r>
          </w:p>
        </w:tc>
        <w:tc>
          <w:tcPr>
            <w:tcW w:type="dxa" w:w="950"/>
            <w:vAlign w:val="top"/>
          </w:tcPr>
          <w:p>
            <w:pPr>
              <w:spacing w:after="40" w:before="0" w:line="259" w:lineRule="auto"/>
            </w:pPr>
            <w:r>
              <w:rPr>
                <w:rFonts w:ascii="Calibri" w:hAnsi="Calibri"/>
                <w:b w:val="0"/>
                <w:i w:val="0"/>
                <w:color w:val="212121"/>
                <w:sz w:val="16"/>
              </w:rPr>
              <w:t>Red-complex pathogens (P. gingivalis, T. forsythia, T. denticola)</w:t>
            </w:r>
          </w:p>
        </w:tc>
        <w:tc>
          <w:tcPr>
            <w:tcW w:type="dxa" w:w="1036"/>
            <w:vAlign w:val="top"/>
          </w:tcPr>
          <w:p>
            <w:pPr>
              <w:spacing w:after="40" w:before="0" w:line="259" w:lineRule="auto"/>
            </w:pPr>
            <w:r>
              <w:rPr>
                <w:rFonts w:ascii="Calibri" w:hAnsi="Calibri"/>
                <w:b w:val="0"/>
                <w:i w:val="0"/>
                <w:color w:val="212121"/>
                <w:sz w:val="16"/>
              </w:rPr>
              <w:t>Identifies key periodontal pathogens in refractory or aggressive cases</w:t>
            </w:r>
          </w:p>
        </w:tc>
        <w:tc>
          <w:tcPr>
            <w:tcW w:type="dxa" w:w="1036"/>
            <w:vAlign w:val="top"/>
          </w:tcPr>
          <w:p>
            <w:pPr>
              <w:spacing w:after="40" w:before="0" w:line="259" w:lineRule="auto"/>
            </w:pPr>
            <w:r>
              <w:rPr>
                <w:rFonts w:ascii="Calibri" w:hAnsi="Calibri"/>
                <w:b w:val="0"/>
                <w:i w:val="0"/>
                <w:color w:val="212121"/>
                <w:sz w:val="16"/>
              </w:rPr>
              <w:t>Refractory / rapidly-progressive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Selective / research</w:t>
            </w:r>
          </w:p>
        </w:tc>
        <w:tc>
          <w:tcPr>
            <w:tcW w:type="dxa" w:w="720"/>
            <w:vAlign w:val="top"/>
          </w:tcPr>
          <w:p>
            <w:pPr>
              <w:spacing w:after="40" w:before="0" w:line="259" w:lineRule="auto"/>
            </w:pPr>
            <w:r>
              <w:rPr>
                <w:rFonts w:ascii="Calibri" w:hAnsi="Calibri"/>
                <w:b w:val="0"/>
                <w:i w:val="0"/>
                <w:color w:val="212121"/>
                <w:sz w:val="16"/>
              </w:rPr>
              <w:t>Not routine; reserved for non-responding or early-onset disease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Bleeding gums, halitosis, loose/drifting teeth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Cardinal presenting features of periodontitis</w:t>
            </w:r>
          </w:p>
        </w:tc>
        <w:tc>
          <w:tcPr>
            <w:tcW w:type="dxa" w:w="1036"/>
            <w:vAlign w:val="top"/>
          </w:tcPr>
          <w:p>
            <w:pPr>
              <w:spacing w:after="40" w:before="0" w:line="259" w:lineRule="auto"/>
            </w:pPr>
            <w:r>
              <w:rPr>
                <w:rFonts w:ascii="Calibri" w:hAnsi="Calibri"/>
                <w:b w:val="0"/>
                <w:i w:val="0"/>
                <w:color w:val="212121"/>
                <w:sz w:val="16"/>
              </w:rPr>
              <w:t>Adults, tobacco users, diabetics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Bleeding on brushing is often the earliest complaint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Tobacco history</w:t>
            </w:r>
          </w:p>
        </w:tc>
        <w:tc>
          <w:tcPr>
            <w:tcW w:type="dxa" w:w="979"/>
            <w:vAlign w:val="top"/>
          </w:tcPr>
          <w:p>
            <w:pPr>
              <w:spacing w:after="40" w:before="0" w:line="259" w:lineRule="auto"/>
            </w:pPr>
            <w:r>
              <w:rPr>
                <w:rFonts w:ascii="Calibri" w:hAnsi="Calibri"/>
                <w:b w:val="0"/>
                <w:i w:val="0"/>
                <w:color w:val="212121"/>
                <w:sz w:val="16"/>
              </w:rPr>
              <w:t>Smoking &amp; smokeless use, pack-years</w:t>
            </w:r>
          </w:p>
        </w:tc>
        <w:tc>
          <w:tcPr>
            <w:tcW w:type="dxa" w:w="950"/>
            <w:vAlign w:val="top"/>
          </w:tcPr>
          <w:p>
            <w:pPr>
              <w:spacing w:after="40" w:before="0" w:line="259" w:lineRule="auto"/>
            </w:pPr>
            <w:r>
              <w:rPr>
                <w:rFonts w:ascii="Calibri" w:hAnsi="Calibri"/>
                <w:b w:val="0"/>
                <w:i w:val="0"/>
                <w:color w:val="212121"/>
                <w:sz w:val="16"/>
              </w:rPr>
              <w:t>Never-user</w:t>
            </w:r>
          </w:p>
        </w:tc>
        <w:tc>
          <w:tcPr>
            <w:tcW w:type="dxa" w:w="950"/>
            <w:vAlign w:val="top"/>
          </w:tcPr>
          <w:p>
            <w:pPr>
              <w:spacing w:after="40" w:before="0" w:line="259" w:lineRule="auto"/>
            </w:pPr>
            <w:r>
              <w:rPr>
                <w:rFonts w:ascii="Calibri" w:hAnsi="Calibri"/>
                <w:b w:val="0"/>
                <w:i w:val="0"/>
                <w:color w:val="212121"/>
                <w:sz w:val="16"/>
              </w:rPr>
              <w:t>Current / heavy use</w:t>
            </w:r>
          </w:p>
        </w:tc>
        <w:tc>
          <w:tcPr>
            <w:tcW w:type="dxa" w:w="1036"/>
            <w:vAlign w:val="top"/>
          </w:tcPr>
          <w:p>
            <w:pPr>
              <w:spacing w:after="40" w:before="0" w:line="259" w:lineRule="auto"/>
            </w:pPr>
            <w:r>
              <w:rPr>
                <w:rFonts w:ascii="Calibri" w:hAnsi="Calibri"/>
                <w:b w:val="0"/>
                <w:i w:val="0"/>
                <w:color w:val="212121"/>
                <w:sz w:val="16"/>
              </w:rPr>
              <w:t>Strongest modifiable risk factor and a grade modifier; predicts poor healing</w:t>
            </w:r>
          </w:p>
        </w:tc>
        <w:tc>
          <w:tcPr>
            <w:tcW w:type="dxa" w:w="1036"/>
            <w:vAlign w:val="top"/>
          </w:tcPr>
          <w:p>
            <w:pPr>
              <w:spacing w:after="40" w:before="0" w:line="259" w:lineRule="auto"/>
            </w:pPr>
            <w:r>
              <w:rPr>
                <w:rFonts w:ascii="Calibri" w:hAnsi="Calibri"/>
                <w:b w:val="0"/>
                <w:i w:val="0"/>
                <w:color w:val="212121"/>
                <w:sz w:val="16"/>
              </w:rPr>
              <w:t>Smokers, gutka/khaini chewers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High / prognostic</w:t>
            </w:r>
          </w:p>
        </w:tc>
        <w:tc>
          <w:tcPr>
            <w:tcW w:type="dxa" w:w="720"/>
            <w:vAlign w:val="top"/>
          </w:tcPr>
          <w:p>
            <w:pPr>
              <w:spacing w:after="40" w:before="0" w:line="259" w:lineRule="auto"/>
            </w:pPr>
            <w:r>
              <w:rPr>
                <w:rFonts w:ascii="Calibri" w:hAnsi="Calibri"/>
                <w:b w:val="0"/>
                <w:i w:val="0"/>
                <w:color w:val="212121"/>
                <w:sz w:val="16"/>
              </w:rPr>
              <w:t>Quantify and offer cessation at every visit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Medical &amp; family history</w:t>
            </w:r>
          </w:p>
        </w:tc>
        <w:tc>
          <w:tcPr>
            <w:tcW w:type="dxa" w:w="979"/>
            <w:vAlign w:val="top"/>
          </w:tcPr>
          <w:p>
            <w:pPr>
              <w:spacing w:after="40" w:before="0" w:line="259" w:lineRule="auto"/>
            </w:pPr>
            <w:r>
              <w:rPr>
                <w:rFonts w:ascii="Calibri" w:hAnsi="Calibri"/>
                <w:b w:val="0"/>
                <w:i w:val="0"/>
                <w:color w:val="212121"/>
                <w:sz w:val="16"/>
              </w:rPr>
              <w:t>Diabetes, RA, pregnancy, family history</w:t>
            </w:r>
          </w:p>
        </w:tc>
        <w:tc>
          <w:tcPr>
            <w:tcW w:type="dxa" w:w="950"/>
            <w:vAlign w:val="top"/>
          </w:tcPr>
          <w:p>
            <w:pPr>
              <w:spacing w:after="40" w:before="0" w:line="259" w:lineRule="auto"/>
            </w:pPr>
            <w:r>
              <w:rPr>
                <w:rFonts w:ascii="Calibri" w:hAnsi="Calibri"/>
                <w:b w:val="0"/>
                <w:i w:val="0"/>
                <w:color w:val="212121"/>
                <w:sz w:val="16"/>
              </w:rPr>
              <w:t>None relevant</w:t>
            </w:r>
          </w:p>
        </w:tc>
        <w:tc>
          <w:tcPr>
            <w:tcW w:type="dxa" w:w="950"/>
            <w:vAlign w:val="top"/>
          </w:tcPr>
          <w:p>
            <w:pPr>
              <w:spacing w:after="40" w:before="0" w:line="259" w:lineRule="auto"/>
            </w:pPr>
            <w:r>
              <w:rPr>
                <w:rFonts w:ascii="Calibri" w:hAnsi="Calibri"/>
                <w:b w:val="0"/>
                <w:i w:val="0"/>
                <w:color w:val="212121"/>
                <w:sz w:val="16"/>
              </w:rPr>
              <w:t>Diabetes / systemic disease / positive family history</w:t>
            </w:r>
          </w:p>
        </w:tc>
        <w:tc>
          <w:tcPr>
            <w:tcW w:type="dxa" w:w="1036"/>
            <w:vAlign w:val="top"/>
          </w:tcPr>
          <w:p>
            <w:pPr>
              <w:spacing w:after="40" w:before="0" w:line="259" w:lineRule="auto"/>
            </w:pPr>
            <w:r>
              <w:rPr>
                <w:rFonts w:ascii="Calibri" w:hAnsi="Calibri"/>
                <w:b w:val="0"/>
                <w:i w:val="0"/>
                <w:color w:val="212121"/>
                <w:sz w:val="16"/>
              </w:rPr>
              <w:t>Identifies systemic risk and grade modifiers; guides physician referral</w:t>
            </w:r>
          </w:p>
        </w:tc>
        <w:tc>
          <w:tcPr>
            <w:tcW w:type="dxa" w:w="1036"/>
            <w:vAlign w:val="top"/>
          </w:tcPr>
          <w:p>
            <w:pPr>
              <w:spacing w:after="40" w:before="0" w:line="259" w:lineRule="auto"/>
            </w:pPr>
            <w:r>
              <w:rPr>
                <w:rFonts w:ascii="Calibri" w:hAnsi="Calibri"/>
                <w:b w:val="0"/>
                <w:i w:val="0"/>
                <w:color w:val="212121"/>
                <w:sz w:val="16"/>
              </w:rPr>
              <w:t>Diabetics, RA patients, pregnant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glycaemic control and medications (e.g. gingival-enlargement drugs)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Gingival appearance</w:t>
            </w:r>
          </w:p>
        </w:tc>
        <w:tc>
          <w:tcPr>
            <w:tcW w:type="dxa" w:w="979"/>
            <w:vAlign w:val="top"/>
          </w:tcPr>
          <w:p>
            <w:pPr>
              <w:spacing w:after="40" w:before="0" w:line="259" w:lineRule="auto"/>
            </w:pPr>
            <w:r>
              <w:rPr>
                <w:rFonts w:ascii="Calibri" w:hAnsi="Calibri"/>
                <w:b w:val="0"/>
                <w:i w:val="0"/>
                <w:color w:val="212121"/>
                <w:sz w:val="16"/>
              </w:rPr>
              <w:t>Colour, contour, swelling, recession</w:t>
            </w:r>
          </w:p>
        </w:tc>
        <w:tc>
          <w:tcPr>
            <w:tcW w:type="dxa" w:w="950"/>
            <w:vAlign w:val="top"/>
          </w:tcPr>
          <w:p>
            <w:pPr>
              <w:spacing w:after="40" w:before="0" w:line="259" w:lineRule="auto"/>
            </w:pPr>
            <w:r>
              <w:rPr>
                <w:rFonts w:ascii="Calibri" w:hAnsi="Calibri"/>
                <w:b w:val="0"/>
                <w:i w:val="0"/>
                <w:color w:val="212121"/>
                <w:sz w:val="16"/>
              </w:rPr>
              <w:t>Coral-pink, firm, knife-edge margins</w:t>
            </w:r>
          </w:p>
        </w:tc>
        <w:tc>
          <w:tcPr>
            <w:tcW w:type="dxa" w:w="950"/>
            <w:vAlign w:val="top"/>
          </w:tcPr>
          <w:p>
            <w:pPr>
              <w:spacing w:after="40" w:before="0" w:line="259" w:lineRule="auto"/>
            </w:pPr>
            <w:r>
              <w:rPr>
                <w:rFonts w:ascii="Calibri" w:hAnsi="Calibri"/>
                <w:b w:val="0"/>
                <w:i w:val="0"/>
                <w:color w:val="212121"/>
                <w:sz w:val="16"/>
              </w:rPr>
              <w:t>Red, oedematous, rolled margins, recession</w:t>
            </w:r>
          </w:p>
        </w:tc>
        <w:tc>
          <w:tcPr>
            <w:tcW w:type="dxa" w:w="1036"/>
            <w:vAlign w:val="top"/>
          </w:tcPr>
          <w:p>
            <w:pPr>
              <w:spacing w:after="40" w:before="0" w:line="259" w:lineRule="auto"/>
            </w:pPr>
            <w:r>
              <w:rPr>
                <w:rFonts w:ascii="Calibri" w:hAnsi="Calibri"/>
                <w:b w:val="0"/>
                <w:i w:val="0"/>
                <w:color w:val="212121"/>
                <w:sz w:val="16"/>
              </w:rPr>
              <w:t>Visible signs of gingival inflammation and attachment loss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Recession exposes roots and causes sensitivity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 / probing</w:t>
            </w:r>
          </w:p>
        </w:tc>
        <w:tc>
          <w:tcPr>
            <w:tcW w:type="dxa" w:w="950"/>
            <w:vAlign w:val="top"/>
          </w:tcPr>
          <w:p>
            <w:pPr>
              <w:spacing w:after="40" w:before="0" w:line="259" w:lineRule="auto"/>
            </w:pPr>
            <w:r>
              <w:rPr>
                <w:rFonts w:ascii="Calibri" w:hAnsi="Calibri"/>
                <w:b w:val="0"/>
                <w:i w:val="0"/>
                <w:color w:val="212121"/>
                <w:sz w:val="16"/>
              </w:rPr>
              <w:t>Tooth mobility &amp; furcation</w:t>
            </w:r>
          </w:p>
        </w:tc>
        <w:tc>
          <w:tcPr>
            <w:tcW w:type="dxa" w:w="979"/>
            <w:vAlign w:val="top"/>
          </w:tcPr>
          <w:p>
            <w:pPr>
              <w:spacing w:after="40" w:before="0" w:line="259" w:lineRule="auto"/>
            </w:pPr>
            <w:r>
              <w:rPr>
                <w:rFonts w:ascii="Calibri" w:hAnsi="Calibri"/>
                <w:b w:val="0"/>
                <w:i w:val="0"/>
                <w:color w:val="212121"/>
                <w:sz w:val="16"/>
              </w:rPr>
              <w:t>Miller mobility grade, Glickman furcation grade</w:t>
            </w:r>
          </w:p>
        </w:tc>
        <w:tc>
          <w:tcPr>
            <w:tcW w:type="dxa" w:w="950"/>
            <w:vAlign w:val="top"/>
          </w:tcPr>
          <w:p>
            <w:pPr>
              <w:spacing w:after="40" w:before="0" w:line="259" w:lineRule="auto"/>
            </w:pPr>
            <w:r>
              <w:rPr>
                <w:rFonts w:ascii="Calibri" w:hAnsi="Calibri"/>
                <w:b w:val="0"/>
                <w:i w:val="0"/>
                <w:color w:val="212121"/>
                <w:sz w:val="16"/>
              </w:rPr>
              <w:t>No mobility, no furcation involvement</w:t>
            </w:r>
          </w:p>
        </w:tc>
        <w:tc>
          <w:tcPr>
            <w:tcW w:type="dxa" w:w="950"/>
            <w:vAlign w:val="top"/>
          </w:tcPr>
          <w:p>
            <w:pPr>
              <w:spacing w:after="40" w:before="0" w:line="259" w:lineRule="auto"/>
            </w:pPr>
            <w:r>
              <w:rPr>
                <w:rFonts w:ascii="Calibri" w:hAnsi="Calibri"/>
                <w:b w:val="0"/>
                <w:i w:val="0"/>
                <w:color w:val="212121"/>
                <w:sz w:val="16"/>
              </w:rPr>
              <w:t>Grade I-III mobility, furcation involvement</w:t>
            </w:r>
          </w:p>
        </w:tc>
        <w:tc>
          <w:tcPr>
            <w:tcW w:type="dxa" w:w="1036"/>
            <w:vAlign w:val="top"/>
          </w:tcPr>
          <w:p>
            <w:pPr>
              <w:spacing w:after="40" w:before="0" w:line="259" w:lineRule="auto"/>
            </w:pPr>
            <w:r>
              <w:rPr>
                <w:rFonts w:ascii="Calibri" w:hAnsi="Calibri"/>
                <w:b w:val="0"/>
                <w:i w:val="0"/>
                <w:color w:val="212121"/>
                <w:sz w:val="16"/>
              </w:rPr>
              <w:t>Indicates advanced support loss and influences prognosis/tooth retention</w:t>
            </w:r>
          </w:p>
        </w:tc>
        <w:tc>
          <w:tcPr>
            <w:tcW w:type="dxa" w:w="1036"/>
            <w:vAlign w:val="top"/>
          </w:tcPr>
          <w:p>
            <w:pPr>
              <w:spacing w:after="40" w:before="0" w:line="259" w:lineRule="auto"/>
            </w:pPr>
            <w:r>
              <w:rPr>
                <w:rFonts w:ascii="Calibri" w:hAnsi="Calibri"/>
                <w:b w:val="0"/>
                <w:i w:val="0"/>
                <w:color w:val="212121"/>
                <w:sz w:val="16"/>
              </w:rPr>
              <w:t>Advanced (Stage III-IV)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Mobility + deep pockets predicts tooth loss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Plaque &amp; calculus deposits</w:t>
            </w:r>
          </w:p>
        </w:tc>
        <w:tc>
          <w:tcPr>
            <w:tcW w:type="dxa" w:w="979"/>
            <w:vAlign w:val="top"/>
          </w:tcPr>
          <w:p>
            <w:pPr>
              <w:spacing w:after="40" w:before="0" w:line="259" w:lineRule="auto"/>
            </w:pPr>
            <w:r>
              <w:rPr>
                <w:rFonts w:ascii="Calibri" w:hAnsi="Calibri"/>
                <w:b w:val="0"/>
                <w:i w:val="0"/>
                <w:color w:val="212121"/>
                <w:sz w:val="16"/>
              </w:rPr>
              <w:t>Supra- and subgingival deposits</w:t>
            </w:r>
          </w:p>
        </w:tc>
        <w:tc>
          <w:tcPr>
            <w:tcW w:type="dxa" w:w="950"/>
            <w:vAlign w:val="top"/>
          </w:tcPr>
          <w:p>
            <w:pPr>
              <w:spacing w:after="40" w:before="0" w:line="259" w:lineRule="auto"/>
            </w:pPr>
            <w:r>
              <w:rPr>
                <w:rFonts w:ascii="Calibri" w:hAnsi="Calibri"/>
                <w:b w:val="0"/>
                <w:i w:val="0"/>
                <w:color w:val="212121"/>
                <w:sz w:val="16"/>
              </w:rPr>
              <w:t>Minimal / clean</w:t>
            </w:r>
          </w:p>
        </w:tc>
        <w:tc>
          <w:tcPr>
            <w:tcW w:type="dxa" w:w="950"/>
            <w:vAlign w:val="top"/>
          </w:tcPr>
          <w:p>
            <w:pPr>
              <w:spacing w:after="40" w:before="0" w:line="259" w:lineRule="auto"/>
            </w:pPr>
            <w:r>
              <w:rPr>
                <w:rFonts w:ascii="Calibri" w:hAnsi="Calibri"/>
                <w:b w:val="0"/>
                <w:i w:val="0"/>
                <w:color w:val="212121"/>
                <w:sz w:val="16"/>
              </w:rPr>
              <w:t>Heavy visible plaque and calculus</w:t>
            </w:r>
          </w:p>
        </w:tc>
        <w:tc>
          <w:tcPr>
            <w:tcW w:type="dxa" w:w="1036"/>
            <w:vAlign w:val="top"/>
          </w:tcPr>
          <w:p>
            <w:pPr>
              <w:spacing w:after="40" w:before="0" w:line="259" w:lineRule="auto"/>
            </w:pPr>
            <w:r>
              <w:rPr>
                <w:rFonts w:ascii="Calibri" w:hAnsi="Calibri"/>
                <w:b w:val="0"/>
                <w:i w:val="0"/>
                <w:color w:val="212121"/>
                <w:sz w:val="16"/>
              </w:rPr>
              <w:t>Quantifies the biofilm/calculus burden driving inflammation</w:t>
            </w:r>
          </w:p>
        </w:tc>
        <w:tc>
          <w:tcPr>
            <w:tcW w:type="dxa" w:w="1036"/>
            <w:vAlign w:val="top"/>
          </w:tcPr>
          <w:p>
            <w:pPr>
              <w:spacing w:after="40" w:before="0" w:line="259" w:lineRule="auto"/>
            </w:pPr>
            <w:r>
              <w:rPr>
                <w:rFonts w:ascii="Calibri" w:hAnsi="Calibri"/>
                <w:b w:val="0"/>
                <w:i w:val="0"/>
                <w:color w:val="212121"/>
                <w:sz w:val="16"/>
              </w:rPr>
              <w:t>Poor-hygiene individuals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Disclosing agents help demonstrate plaque to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Suppuration</w:t>
            </w:r>
          </w:p>
        </w:tc>
        <w:tc>
          <w:tcPr>
            <w:tcW w:type="dxa" w:w="979"/>
            <w:vAlign w:val="top"/>
          </w:tcPr>
          <w:p>
            <w:pPr>
              <w:spacing w:after="40" w:before="0" w:line="259" w:lineRule="auto"/>
            </w:pPr>
            <w:r>
              <w:rPr>
                <w:rFonts w:ascii="Calibri" w:hAnsi="Calibri"/>
                <w:b w:val="0"/>
                <w:i w:val="0"/>
                <w:color w:val="212121"/>
                <w:sz w:val="16"/>
              </w:rPr>
              <w:t>Pus expressed on probing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Marker of active infection or periodontal abscess</w:t>
            </w:r>
          </w:p>
        </w:tc>
        <w:tc>
          <w:tcPr>
            <w:tcW w:type="dxa" w:w="1036"/>
            <w:vAlign w:val="top"/>
          </w:tcPr>
          <w:p>
            <w:pPr>
              <w:spacing w:after="40" w:before="0" w:line="259" w:lineRule="auto"/>
            </w:pPr>
            <w:r>
              <w:rPr>
                <w:rFonts w:ascii="Calibri" w:hAnsi="Calibri"/>
                <w:b w:val="0"/>
                <w:i w:val="0"/>
                <w:color w:val="212121"/>
                <w:sz w:val="16"/>
              </w:rPr>
              <w:t>Acute exacerbations, severe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Suggests need for prompt debridement +/- drainage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Bleeding gums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Bleeding on brushing, flossing or eating - usually the earliest and most frequent symptom.</w:t>
            </w:r>
          </w:p>
        </w:tc>
      </w:tr>
      <w:tr>
        <w:trPr>
          <w:cantSplit/>
        </w:trPr>
        <w:tc>
          <w:tcPr>
            <w:tcW w:type="dxa" w:w="2304"/>
            <w:vAlign w:val="top"/>
          </w:tcPr>
          <w:p>
            <w:pPr>
              <w:spacing w:after="40" w:before="0" w:line="259" w:lineRule="auto"/>
            </w:pPr>
            <w:r>
              <w:rPr>
                <w:rFonts w:ascii="Calibri" w:hAnsi="Calibri"/>
                <w:b/>
                <w:i w:val="0"/>
                <w:color w:val="212121"/>
                <w:sz w:val="19"/>
              </w:rPr>
              <w:t>Red, swollen, tender gums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Inflamed gingiva that has lost its firm, coral-pink appearance.</w:t>
            </w:r>
          </w:p>
        </w:tc>
      </w:tr>
      <w:tr>
        <w:trPr>
          <w:cantSplit/>
        </w:trPr>
        <w:tc>
          <w:tcPr>
            <w:tcW w:type="dxa" w:w="2304"/>
            <w:vAlign w:val="top"/>
          </w:tcPr>
          <w:p>
            <w:pPr>
              <w:spacing w:after="40" w:before="0" w:line="259" w:lineRule="auto"/>
            </w:pPr>
            <w:r>
              <w:rPr>
                <w:rFonts w:ascii="Calibri" w:hAnsi="Calibri"/>
                <w:b/>
                <w:i w:val="0"/>
                <w:color w:val="212121"/>
                <w:sz w:val="19"/>
              </w:rPr>
              <w:t>Persistent bad breath (halitosis)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Volatile sulphur compounds produced by subgingival anaerobic bacteria.</w:t>
            </w:r>
          </w:p>
        </w:tc>
      </w:tr>
      <w:tr>
        <w:trPr>
          <w:cantSplit/>
        </w:trPr>
        <w:tc>
          <w:tcPr>
            <w:tcW w:type="dxa" w:w="2304"/>
            <w:vAlign w:val="top"/>
          </w:tcPr>
          <w:p>
            <w:pPr>
              <w:spacing w:after="40" w:before="0" w:line="259" w:lineRule="auto"/>
            </w:pPr>
            <w:r>
              <w:rPr>
                <w:rFonts w:ascii="Calibri" w:hAnsi="Calibri"/>
                <w:b/>
                <w:i w:val="0"/>
                <w:color w:val="212121"/>
                <w:sz w:val="19"/>
              </w:rPr>
              <w:t>Bad taste in the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Associated with pus, food impaction and bacterial activity in pockets.</w:t>
            </w:r>
          </w:p>
        </w:tc>
      </w:tr>
      <w:tr>
        <w:trPr>
          <w:cantSplit/>
        </w:trPr>
        <w:tc>
          <w:tcPr>
            <w:tcW w:type="dxa" w:w="2304"/>
            <w:vAlign w:val="top"/>
          </w:tcPr>
          <w:p>
            <w:pPr>
              <w:spacing w:after="40" w:before="0" w:line="259" w:lineRule="auto"/>
            </w:pPr>
            <w:r>
              <w:rPr>
                <w:rFonts w:ascii="Calibri" w:hAnsi="Calibri"/>
                <w:b/>
                <w:i w:val="0"/>
                <w:color w:val="212121"/>
                <w:sz w:val="19"/>
              </w:rPr>
              <w:t>Receding gums / 'teeth look longer'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gingival and bone support exposes the tooth roots.</w:t>
            </w:r>
          </w:p>
        </w:tc>
      </w:tr>
      <w:tr>
        <w:trPr>
          <w:cantSplit/>
        </w:trPr>
        <w:tc>
          <w:tcPr>
            <w:tcW w:type="dxa" w:w="2304"/>
            <w:vAlign w:val="top"/>
          </w:tcPr>
          <w:p>
            <w:pPr>
              <w:spacing w:after="40" w:before="0" w:line="259" w:lineRule="auto"/>
            </w:pPr>
            <w:r>
              <w:rPr>
                <w:rFonts w:ascii="Calibri" w:hAnsi="Calibri"/>
                <w:b/>
                <w:i w:val="0"/>
                <w:color w:val="212121"/>
                <w:sz w:val="19"/>
              </w:rPr>
              <w:t>Tooth sensitivity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Exposed root surfaces react to hot, cold and sweet stimuli.</w:t>
            </w:r>
          </w:p>
        </w:tc>
      </w:tr>
      <w:tr>
        <w:trPr>
          <w:cantSplit/>
        </w:trPr>
        <w:tc>
          <w:tcPr>
            <w:tcW w:type="dxa" w:w="2304"/>
            <w:vAlign w:val="top"/>
          </w:tcPr>
          <w:p>
            <w:pPr>
              <w:spacing w:after="40" w:before="0" w:line="259" w:lineRule="auto"/>
            </w:pPr>
            <w:r>
              <w:rPr>
                <w:rFonts w:ascii="Calibri" w:hAnsi="Calibri"/>
                <w:b/>
                <w:i w:val="0"/>
                <w:color w:val="212121"/>
                <w:sz w:val="19"/>
              </w:rPr>
              <w:t>Loose or shifting teeth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Progressive loss of attachment and bone reduces tooth support; a later feature.</w:t>
            </w:r>
          </w:p>
        </w:tc>
      </w:tr>
      <w:tr>
        <w:trPr>
          <w:cantSplit/>
        </w:trPr>
        <w:tc>
          <w:tcPr>
            <w:tcW w:type="dxa" w:w="2304"/>
            <w:vAlign w:val="top"/>
          </w:tcPr>
          <w:p>
            <w:pPr>
              <w:spacing w:after="40" w:before="0" w:line="259" w:lineRule="auto"/>
            </w:pPr>
            <w:r>
              <w:rPr>
                <w:rFonts w:ascii="Calibri" w:hAnsi="Calibri"/>
                <w:b/>
                <w:i w:val="0"/>
                <w:color w:val="212121"/>
                <w:sz w:val="19"/>
              </w:rPr>
              <w:t>Spaces developing between teeth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Pathologic migration and drifting as support is lost.</w:t>
            </w:r>
          </w:p>
        </w:tc>
      </w:tr>
      <w:tr>
        <w:trPr>
          <w:cantSplit/>
        </w:trPr>
        <w:tc>
          <w:tcPr>
            <w:tcW w:type="dxa" w:w="2304"/>
            <w:vAlign w:val="top"/>
          </w:tcPr>
          <w:p>
            <w:pPr>
              <w:spacing w:after="40" w:before="0" w:line="259" w:lineRule="auto"/>
            </w:pPr>
            <w:r>
              <w:rPr>
                <w:rFonts w:ascii="Calibri" w:hAnsi="Calibri"/>
                <w:b/>
                <w:i w:val="0"/>
                <w:color w:val="212121"/>
                <w:sz w:val="19"/>
              </w:rPr>
              <w:t>Pain or discomfort on chewing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tooth mobility, occlusal trauma or periodontal abscess.</w:t>
            </w:r>
          </w:p>
        </w:tc>
      </w:tr>
      <w:tr>
        <w:trPr>
          <w:cantSplit/>
        </w:trPr>
        <w:tc>
          <w:tcPr>
            <w:tcW w:type="dxa" w:w="2304"/>
            <w:vAlign w:val="top"/>
          </w:tcPr>
          <w:p>
            <w:pPr>
              <w:spacing w:after="40" w:before="0" w:line="259" w:lineRule="auto"/>
            </w:pPr>
            <w:r>
              <w:rPr>
                <w:rFonts w:ascii="Calibri" w:hAnsi="Calibri"/>
                <w:b/>
                <w:i w:val="0"/>
                <w:color w:val="212121"/>
                <w:sz w:val="19"/>
              </w:rPr>
              <w:t>Pus between teeth and gums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Suppuration signals active infection or abscess formation.</w:t>
            </w:r>
          </w:p>
        </w:tc>
      </w:tr>
      <w:tr>
        <w:trPr>
          <w:cantSplit/>
        </w:trPr>
        <w:tc>
          <w:tcPr>
            <w:tcW w:type="dxa" w:w="2304"/>
            <w:vAlign w:val="top"/>
          </w:tcPr>
          <w:p>
            <w:pPr>
              <w:spacing w:after="40" w:before="0" w:line="259" w:lineRule="auto"/>
            </w:pPr>
            <w:r>
              <w:rPr>
                <w:rFonts w:ascii="Calibri" w:hAnsi="Calibri"/>
                <w:b/>
                <w:i w:val="0"/>
                <w:color w:val="212121"/>
                <w:sz w:val="19"/>
              </w:rPr>
              <w:t>Change in bite or in the way dentures fit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Occurs with advanced tooth movement and support loss.</w:t>
            </w:r>
          </w:p>
        </w:tc>
      </w:tr>
      <w:tr>
        <w:trPr>
          <w:cantSplit/>
        </w:trPr>
        <w:tc>
          <w:tcPr>
            <w:tcW w:type="dxa" w:w="2304"/>
            <w:vAlign w:val="top"/>
          </w:tcPr>
          <w:p>
            <w:pPr>
              <w:spacing w:after="40" w:before="0" w:line="259" w:lineRule="auto"/>
            </w:pPr>
            <w:r>
              <w:rPr>
                <w:rFonts w:ascii="Calibri" w:hAnsi="Calibri"/>
                <w:b/>
                <w:i w:val="0"/>
                <w:color w:val="212121"/>
                <w:sz w:val="19"/>
              </w:rPr>
              <w:t>Localised throbbing pain and swelling (abscess)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Acute periodontal abscess; may be accompanied by fever and lymphadenopathy.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Bleeding on probing (BOP)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Elicited with gentle probing; marker of active inflammation.</w:t>
            </w:r>
          </w:p>
        </w:tc>
      </w:tr>
      <w:tr>
        <w:trPr>
          <w:cantSplit/>
        </w:trPr>
        <w:tc>
          <w:tcPr>
            <w:tcW w:type="dxa" w:w="3456"/>
            <w:vAlign w:val="top"/>
          </w:tcPr>
          <w:p>
            <w:pPr>
              <w:spacing w:after="40" w:before="0" w:line="259" w:lineRule="auto"/>
            </w:pPr>
            <w:r>
              <w:rPr>
                <w:rFonts w:ascii="Calibri" w:hAnsi="Calibri"/>
                <w:b/>
                <w:i w:val="0"/>
                <w:color w:val="212121"/>
                <w:sz w:val="19"/>
              </w:rPr>
              <w:t>Periodontal pockets &gt;= 4 mm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Pathologically deepened sulcus measured with a periodontal probe.</w:t>
            </w:r>
          </w:p>
        </w:tc>
      </w:tr>
      <w:tr>
        <w:trPr>
          <w:cantSplit/>
        </w:trPr>
        <w:tc>
          <w:tcPr>
            <w:tcW w:type="dxa" w:w="3456"/>
            <w:vAlign w:val="top"/>
          </w:tcPr>
          <w:p>
            <w:pPr>
              <w:spacing w:after="40" w:before="0" w:line="259" w:lineRule="auto"/>
            </w:pPr>
            <w:r>
              <w:rPr>
                <w:rFonts w:ascii="Calibri" w:hAnsi="Calibri"/>
                <w:b/>
                <w:i w:val="0"/>
                <w:color w:val="212121"/>
                <w:sz w:val="19"/>
              </w:rPr>
              <w:t>Clinical attachment loss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Migration of the attachment apical to the cemento-enamel junction - the defining sign.</w:t>
            </w:r>
          </w:p>
        </w:tc>
      </w:tr>
      <w:tr>
        <w:trPr>
          <w:cantSplit/>
        </w:trPr>
        <w:tc>
          <w:tcPr>
            <w:tcW w:type="dxa" w:w="3456"/>
            <w:vAlign w:val="top"/>
          </w:tcPr>
          <w:p>
            <w:pPr>
              <w:spacing w:after="40" w:before="0" w:line="259" w:lineRule="auto"/>
            </w:pPr>
            <w:r>
              <w:rPr>
                <w:rFonts w:ascii="Calibri" w:hAnsi="Calibri"/>
                <w:b/>
                <w:i w:val="0"/>
                <w:color w:val="212121"/>
                <w:sz w:val="19"/>
              </w:rPr>
              <w:t>Supra- and subgingival calculus and plaque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Mineralised and soft biofilm deposits along the gingival margin and in pockets.</w:t>
            </w:r>
          </w:p>
        </w:tc>
      </w:tr>
      <w:tr>
        <w:trPr>
          <w:cantSplit/>
        </w:trPr>
        <w:tc>
          <w:tcPr>
            <w:tcW w:type="dxa" w:w="3456"/>
            <w:vAlign w:val="top"/>
          </w:tcPr>
          <w:p>
            <w:pPr>
              <w:spacing w:after="40" w:before="0" w:line="259" w:lineRule="auto"/>
            </w:pPr>
            <w:r>
              <w:rPr>
                <w:rFonts w:ascii="Calibri" w:hAnsi="Calibri"/>
                <w:b/>
                <w:i w:val="0"/>
                <w:color w:val="212121"/>
                <w:sz w:val="19"/>
              </w:rPr>
              <w:t>Gingival erythema and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 swollen gingiva with loss of stippling and rolled margins.</w:t>
            </w:r>
          </w:p>
        </w:tc>
      </w:tr>
      <w:tr>
        <w:trPr>
          <w:cantSplit/>
        </w:trPr>
        <w:tc>
          <w:tcPr>
            <w:tcW w:type="dxa" w:w="3456"/>
            <w:vAlign w:val="top"/>
          </w:tcPr>
          <w:p>
            <w:pPr>
              <w:spacing w:after="40" w:before="0" w:line="259" w:lineRule="auto"/>
            </w:pPr>
            <w:r>
              <w:rPr>
                <w:rFonts w:ascii="Calibri" w:hAnsi="Calibri"/>
                <w:b/>
                <w:i w:val="0"/>
                <w:color w:val="212121"/>
                <w:sz w:val="19"/>
              </w:rPr>
              <w:t>Gingival recession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Apical migration of the gingival margin exposing root surfaces.</w:t>
            </w:r>
          </w:p>
        </w:tc>
      </w:tr>
      <w:tr>
        <w:trPr>
          <w:cantSplit/>
        </w:trPr>
        <w:tc>
          <w:tcPr>
            <w:tcW w:type="dxa" w:w="3456"/>
            <w:vAlign w:val="top"/>
          </w:tcPr>
          <w:p>
            <w:pPr>
              <w:spacing w:after="40" w:before="0" w:line="259" w:lineRule="auto"/>
            </w:pPr>
            <w:r>
              <w:rPr>
                <w:rFonts w:ascii="Calibri" w:hAnsi="Calibri"/>
                <w:b/>
                <w:i w:val="0"/>
                <w:color w:val="212121"/>
                <w:sz w:val="19"/>
              </w:rPr>
              <w:t>Radiographic alveolar bone loss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Horizontal or vertical (angular) bone loss on bitewing/periapical/OPG imaging.</w:t>
            </w:r>
          </w:p>
        </w:tc>
      </w:tr>
      <w:tr>
        <w:trPr>
          <w:cantSplit/>
        </w:trPr>
        <w:tc>
          <w:tcPr>
            <w:tcW w:type="dxa" w:w="3456"/>
            <w:vAlign w:val="top"/>
          </w:tcPr>
          <w:p>
            <w:pPr>
              <w:spacing w:after="40" w:before="0" w:line="259" w:lineRule="auto"/>
            </w:pPr>
            <w:r>
              <w:rPr>
                <w:rFonts w:ascii="Calibri" w:hAnsi="Calibri"/>
                <w:b/>
                <w:i w:val="0"/>
                <w:color w:val="212121"/>
                <w:sz w:val="19"/>
              </w:rPr>
              <w:t>Halitosis detectable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Malodour from subgingival anaerobic bacterial metabolism.</w:t>
            </w:r>
          </w:p>
        </w:tc>
      </w:tr>
      <w:tr>
        <w:trPr>
          <w:cantSplit/>
        </w:trPr>
        <w:tc>
          <w:tcPr>
            <w:tcW w:type="dxa" w:w="3456"/>
            <w:vAlign w:val="top"/>
          </w:tcPr>
          <w:p>
            <w:pPr>
              <w:spacing w:after="40" w:before="0" w:line="259" w:lineRule="auto"/>
            </w:pPr>
            <w:r>
              <w:rPr>
                <w:rFonts w:ascii="Calibri" w:hAnsi="Calibri"/>
                <w:b/>
                <w:i w:val="0"/>
                <w:color w:val="212121"/>
                <w:sz w:val="19"/>
              </w:rPr>
              <w:t>Tooth mobility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Increased mobility (Miller grade I-III) from advanced support loss.</w:t>
            </w:r>
          </w:p>
        </w:tc>
      </w:tr>
      <w:tr>
        <w:trPr>
          <w:cantSplit/>
        </w:trPr>
        <w:tc>
          <w:tcPr>
            <w:tcW w:type="dxa" w:w="3456"/>
            <w:vAlign w:val="top"/>
          </w:tcPr>
          <w:p>
            <w:pPr>
              <w:spacing w:after="40" w:before="0" w:line="259" w:lineRule="auto"/>
            </w:pPr>
            <w:r>
              <w:rPr>
                <w:rFonts w:ascii="Calibri" w:hAnsi="Calibri"/>
                <w:b/>
                <w:i w:val="0"/>
                <w:color w:val="212121"/>
                <w:sz w:val="19"/>
              </w:rPr>
              <w:t>Suppuration (pus on probing)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Purulent exudate indicating active infection/abscess.</w:t>
            </w:r>
          </w:p>
        </w:tc>
      </w:tr>
      <w:tr>
        <w:trPr>
          <w:cantSplit/>
        </w:trPr>
        <w:tc>
          <w:tcPr>
            <w:tcW w:type="dxa" w:w="3456"/>
            <w:vAlign w:val="top"/>
          </w:tcPr>
          <w:p>
            <w:pPr>
              <w:spacing w:after="40" w:before="0" w:line="259" w:lineRule="auto"/>
            </w:pPr>
            <w:r>
              <w:rPr>
                <w:rFonts w:ascii="Calibri" w:hAnsi="Calibri"/>
                <w:b/>
                <w:i w:val="0"/>
                <w:color w:val="212121"/>
                <w:sz w:val="19"/>
              </w:rPr>
              <w:t>Furcation involvement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Probe-detectable bone loss between the roots of multi-rooted teeth.</w:t>
            </w:r>
          </w:p>
        </w:tc>
      </w:tr>
      <w:tr>
        <w:trPr>
          <w:cantSplit/>
        </w:trPr>
        <w:tc>
          <w:tcPr>
            <w:tcW w:type="dxa" w:w="3456"/>
            <w:vAlign w:val="top"/>
          </w:tcPr>
          <w:p>
            <w:pPr>
              <w:spacing w:after="40" w:before="0" w:line="259" w:lineRule="auto"/>
            </w:pPr>
            <w:r>
              <w:rPr>
                <w:rFonts w:ascii="Calibri" w:hAnsi="Calibri"/>
                <w:b/>
                <w:i w:val="0"/>
                <w:color w:val="212121"/>
                <w:sz w:val="19"/>
              </w:rPr>
              <w:t>Pathologic tooth migration / drifting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Teeth splay or migrate as periodontal support is lost - a feature of advanced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Gingival recession and exposed, sensitive root surfaces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lateral (periodontal)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Increasing tooth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Pathologic tooth migration and drifting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halitosis and chronic bad taste</w:t>
            </w:r>
          </w:p>
        </w:tc>
        <w:tc>
          <w:tcPr>
            <w:tcW w:type="dxa" w:w="2980"/>
            <w:vAlign w:val="top"/>
          </w:tcPr>
          <w:p>
            <w:pPr>
              <w:spacing w:after="40" w:before="0" w:line="259" w:lineRule="auto"/>
            </w:pPr>
            <w:r>
              <w:rPr>
                <w:rFonts w:ascii="Calibri" w:hAnsi="Calibri"/>
                <w:b w:val="0"/>
                <w:i w:val="0"/>
                <w:color w:val="212121"/>
                <w:sz w:val="19"/>
              </w:rPr>
              <w:t>Direct local consequences of progressive attachment and bone loss around the teeth</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Tooth loss (a leading cause of adult tooth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mastication, dietary compromise and poorer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 of infection - cellulitis and, rarely, deep neck space infection (Ludwig's angina)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Worsened glycaemic control in 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Raised systemic inflammatory burden (elevated CRP, IL-6)</w:t>
            </w:r>
          </w:p>
        </w:tc>
        <w:tc>
          <w:tcPr>
            <w:tcW w:type="dxa" w:w="2980"/>
            <w:vAlign w:val="top"/>
          </w:tcPr>
          <w:p>
            <w:pPr>
              <w:spacing w:after="40" w:before="0" w:line="259" w:lineRule="auto"/>
            </w:pPr>
            <w:r>
              <w:rPr>
                <w:rFonts w:ascii="Calibri" w:hAnsi="Calibri"/>
                <w:b w:val="0"/>
                <w:i w:val="0"/>
                <w:color w:val="212121"/>
                <w:sz w:val="19"/>
              </w:rPr>
              <w:t>Result from cumulative periodontal destruction and dissemination of infection/inflammation beyond the mouth</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Edentulism (complete tooth loss) and dependence on dentures/implants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Contribution to atherosclerotic cardiovascular disease and stroke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Association with adverse pregnancy outcomes (preterm birth, low birth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quality of life, aesthetics, speech and psychosocial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Higher long-term healthcare costs and treatment complexity</w:t>
            </w:r>
          </w:p>
        </w:tc>
        <w:tc>
          <w:tcPr>
            <w:tcW w:type="dxa" w:w="2980"/>
            <w:vAlign w:val="top"/>
          </w:tcPr>
          <w:p>
            <w:pPr>
              <w:spacing w:after="40" w:before="0" w:line="259" w:lineRule="auto"/>
            </w:pPr>
            <w:r>
              <w:rPr>
                <w:rFonts w:ascii="Calibri" w:hAnsi="Calibri"/>
                <w:b w:val="0"/>
                <w:i w:val="0"/>
                <w:color w:val="212121"/>
                <w:sz w:val="19"/>
              </w:rPr>
              <w:t>Irreversible, disabling and systemic outcomes of longstanding, untreated periodontitis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 (type 2)</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classic bidirectional relationship: poorly-controlled diabetics have a 2-3x higher risk of periodontitis, while treating periodontitis lowers HbA1c by about 0.4%; a 1% fall in HbA1c is linked to ~37% fewer microvascular complications.</w:t>
            </w:r>
          </w:p>
        </w:tc>
      </w:tr>
      <w:tr>
        <w:trPr>
          <w:cantSplit/>
        </w:trPr>
        <w:tc>
          <w:tcPr>
            <w:tcW w:type="dxa" w:w="2232"/>
            <w:vAlign w:val="top"/>
          </w:tcPr>
          <w:p>
            <w:pPr>
              <w:spacing w:after="40" w:before="0" w:line="259" w:lineRule="auto"/>
            </w:pPr>
            <w:r>
              <w:rPr>
                <w:rFonts w:ascii="Calibri" w:hAnsi="Calibri"/>
                <w:b/>
                <w:i w:val="0"/>
                <w:color w:val="212121"/>
                <w:sz w:val="19"/>
              </w:rPr>
              <w:t>Atherosclerotic cardiovascular disease (CHD, stroke)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periodontal infection drives low-grade bacteraemia and systemic inflammation that promote endothelial dysfunction and atherogenesis; periodontitis is independently associated with cardiovascular disease.</w:t>
            </w:r>
          </w:p>
        </w:tc>
      </w:tr>
      <w:tr>
        <w:trPr>
          <w:cantSplit/>
        </w:trPr>
        <w:tc>
          <w:tcPr>
            <w:tcW w:type="dxa" w:w="2232"/>
            <w:vAlign w:val="top"/>
          </w:tcPr>
          <w:p>
            <w:pPr>
              <w:spacing w:after="40" w:before="0" w:line="259" w:lineRule="auto"/>
            </w:pPr>
            <w:r>
              <w:rPr>
                <w:rFonts w:ascii="Calibri" w:hAnsi="Calibri"/>
                <w:b/>
                <w:i w:val="0"/>
                <w:color w:val="212121"/>
                <w:sz w:val="19"/>
              </w:rPr>
              <w:t>Rheumatoid arthritis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Shared destructive inflammatory pathway; P. gingivalis-mediated citrullination may generate the anti-citrullinated protein antibodies central to RA, and RA in turn worsens periodontal status.</w:t>
            </w:r>
          </w:p>
        </w:tc>
      </w:tr>
      <w:tr>
        <w:trPr>
          <w:cantSplit/>
        </w:trPr>
        <w:tc>
          <w:tcPr>
            <w:tcW w:type="dxa" w:w="2232"/>
            <w:vAlign w:val="top"/>
          </w:tcPr>
          <w:p>
            <w:pPr>
              <w:spacing w:after="40" w:before="0" w:line="259" w:lineRule="auto"/>
            </w:pPr>
            <w:r>
              <w:rPr>
                <w:rFonts w:ascii="Calibri" w:hAnsi="Calibri"/>
                <w:b/>
                <w:i w:val="0"/>
                <w:color w:val="212121"/>
                <w:sz w:val="19"/>
              </w:rPr>
              <w:t>Obesity / metabolic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Adipose-derived cytokines (TNF-alpha, IL-6, leptin) amplify systemic and periodontal inflammation and insulin resistance - a mechanism shared with diabetes.</w:t>
            </w:r>
          </w:p>
        </w:tc>
      </w:tr>
      <w:tr>
        <w:trPr>
          <w:cantSplit/>
        </w:trPr>
        <w:tc>
          <w:tcPr>
            <w:tcW w:type="dxa" w:w="2232"/>
            <w:vAlign w:val="top"/>
          </w:tcPr>
          <w:p>
            <w:pPr>
              <w:spacing w:after="40" w:before="0" w:line="259" w:lineRule="auto"/>
            </w:pPr>
            <w:r>
              <w:rPr>
                <w:rFonts w:ascii="Calibri" w:hAnsi="Calibri"/>
                <w:b/>
                <w:i w:val="0"/>
                <w:color w:val="212121"/>
                <w:sz w:val="19"/>
              </w:rPr>
              <w:t>Adverse pregnancy outcomes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Maternal periodontitis is associated with an increased risk of preterm birth, low birth weight and pre-eclampsia, thought to be mediated by inflammatory mediators and bacteraemia.</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Periodontitis and CKD share inflammatory and metabolic pathways and appear to worsen one another, with periodontitis linked to higher CKD progression and mortality.</w:t>
            </w:r>
          </w:p>
        </w:tc>
      </w:tr>
      <w:tr>
        <w:trPr>
          <w:cantSplit/>
        </w:trPr>
        <w:tc>
          <w:tcPr>
            <w:tcW w:type="dxa" w:w="2232"/>
            <w:vAlign w:val="top"/>
          </w:tcPr>
          <w:p>
            <w:pPr>
              <w:spacing w:after="40" w:before="0" w:line="259" w:lineRule="auto"/>
            </w:pPr>
            <w:r>
              <w:rPr>
                <w:rFonts w:ascii="Calibri" w:hAnsi="Calibri"/>
                <w:b/>
                <w:i w:val="0"/>
                <w:color w:val="212121"/>
                <w:sz w:val="19"/>
              </w:rPr>
              <w:t>Aspiration pneumonia / COPD</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Oral periodontal pathogens can be aspirated into the lower airway, contributing to aspiration pneumonia and exacerbations of chronic respiratory disease, especially in the elderly and hospitalised.</w:t>
            </w:r>
          </w:p>
        </w:tc>
      </w:tr>
      <w:tr>
        <w:trPr>
          <w:cantSplit/>
        </w:trPr>
        <w:tc>
          <w:tcPr>
            <w:tcW w:type="dxa" w:w="2232"/>
            <w:vAlign w:val="top"/>
          </w:tcPr>
          <w:p>
            <w:pPr>
              <w:spacing w:after="40" w:before="0" w:line="259" w:lineRule="auto"/>
            </w:pPr>
            <w:r>
              <w:rPr>
                <w:rFonts w:ascii="Calibri" w:hAnsi="Calibri"/>
                <w:b/>
                <w:i w:val="0"/>
                <w:color w:val="212121"/>
                <w:sz w:val="19"/>
              </w:rPr>
              <w:t>Alzheimer's disease &amp; cognitive decline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 gingivalis and its gingipains, plus chronic systemic inflammation, have been implicated in neurodegeneration; periodontitis is associated with a higher risk of cognitive decline.</w:t>
            </w:r>
          </w:p>
        </w:tc>
      </w:tr>
      <w:tr>
        <w:trPr>
          <w:cantSplit/>
        </w:trPr>
        <w:tc>
          <w:tcPr>
            <w:tcW w:type="dxa" w:w="2232"/>
            <w:vAlign w:val="top"/>
          </w:tcPr>
          <w:p>
            <w:pPr>
              <w:spacing w:after="40" w:before="0" w:line="259" w:lineRule="auto"/>
            </w:pPr>
            <w:r>
              <w:rPr>
                <w:rFonts w:ascii="Calibri" w:hAnsi="Calibri"/>
                <w:b/>
                <w:i w:val="0"/>
                <w:color w:val="212121"/>
                <w:sz w:val="19"/>
              </w:rPr>
              <w:t>Tooth loss / edentulism</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Untreated periodontitis is a leading cause of adult tooth loss and edentulism, with downstream effects on nutrition and quality of life.</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Systemic bone loss may accelerate alveolar bone resorption; the two conditions share risk factors and appear to influence each other's severity.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bleeding gums are not normal - they are the earliest sign of gum disease and warrant a dental check-up.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correct twice-daily brushing (soft brush, fluoride toothpaste) plus daily interdental cleaning; brushing alone misses the sites where periodontitis starts.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 professional dental examination and scaling every 6-12 months, or more often if you smoke or have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persistent bad breath, receding gums, loose teeth, pus - and seek care early while damage is still limited.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two-way link with diabetes: good gum care helps blood-sugar control and vice versa.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and tobacco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Rural/low-access populations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the prescribed course of scaling and root planing (deep cleaning) and attend supportive periodontal maintenance visits every 3-4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Master targeted plaque control for deep-pocket and furcation sites using interdental brushes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diabetes and tobacco management alongside periodontal therapy, as these strongly affect treatment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recurrence of bleeding, swelling or mobility promptly rather than waiting for the next routine visit.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periodontitis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periodontitis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under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Post-scaling maintenance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to lower systemic inflammation and prevent obesity and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healthy Asian-Indian BMI (18.5-22.9 kg/m2) to reduce pro-inflammatory adipokines that worsen gum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weight management if overweight, since central adiposity aggravates both diabetes and periodontitis.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free sugars to under 10% of energy and cut the frequency of sugary snacks and drinks that feed dental plaque.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vitamin-C-rich fruits and vegetables (amla, guava, citrus) daily to support healthy gum collagen.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vitamin-D and calcium sources for alveolar bone health; get safe sun exposure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sticky, refined-carbohydrate and paan/gutka-with-sweeteners habits that promote plaque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whole foods over ultra-processed items and maintain good hydration to support salivary flow.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High-sugar-diet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poor micronutrient intake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keep cortisol and systemic inflammation in check.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teeth-grinding (bruxism) with a night guard if present, as occlusal overload can compound periodontal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snoring/obstructive sleep apnoea, which is linked to mouth breathing, dry mouth and worse oral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Bruxism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sleep apnoea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all forms of tobacco - cigarettes, bidis and smokeless products (gutka, khaini, paan) - as this is the single most effective step to slow gum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counselling and pharmacotherapy (nicotine replacement, etc.) and national quitline support to sustain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periodontal treatment works far better and heals faster after stopping 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more frequent periodontal maintenance while quitting, as risk stays elevated for some years after cessation.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Cigarette/bidi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Gutka and khaini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Betel-quid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periodontitis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(ideally none), as heavy use impairs immunity and worsens attachment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heavy drinking with tobacco, which multiplies the risk to gums and oral tissues.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nutrition and hydration, which heavy drinking tends to undermine.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Heavy/frequent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Combined tobacco-and-alcohol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poor nutrition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with relaxation, exercise or counselling, since high cortisol suppresses gum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stress-driven neglect of oral hygiene and stress-related increases in smoking.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dental care for painful, ulcerated gums during periods of high stress or illness, which can trigger necrotizing gum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individuals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7649635/" TargetMode="External"/><Relationship Id="rId10" Type="http://schemas.openxmlformats.org/officeDocument/2006/relationships/hyperlink" Target="https://www.cdc.gov/tobacco/campaign/tips/diseases/periodontal-gum-disease.html" TargetMode="External"/><Relationship Id="rId11" Type="http://schemas.openxmlformats.org/officeDocument/2006/relationships/hyperlink" Target="https://www.who.int/news-room/fact-sheets/detail/oral-health" TargetMode="External"/><Relationship Id="rId12" Type="http://schemas.openxmlformats.org/officeDocument/2006/relationships/hyperlink" Target="https://www.mdpi.com/2075-4418/13/4/6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