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Halitosis</w:t>
      </w:r>
    </w:p>
    <w:p>
      <w:pPr>
        <w:spacing w:before="0" w:after="160"/>
      </w:pPr>
      <w:r>
        <w:rPr>
          <w:rFonts w:ascii="Calibri" w:hAnsi="Calibri"/>
          <w:b/>
          <w:i w:val="0"/>
          <w:color w:val="212121"/>
          <w:sz w:val="22"/>
        </w:rPr>
        <w:t xml:space="preserve">AKA </w:t>
      </w:r>
      <w:r>
        <w:rPr>
          <w:rFonts w:ascii="Calibri" w:hAnsi="Calibri"/>
          <w:b w:val="0"/>
          <w:i w:val="0"/>
          <w:color w:val="212121"/>
          <w:sz w:val="22"/>
        </w:rPr>
        <w:t>i.e., Bad breath, Oral malodour, Fetor oris / Fetor ex ore, Mouth odour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Halitosis is an unpleasant or offensive odour emanating from the oral cavity and exhaled breath. In the large majority of cases (about 85–90%) it originates within the mouth, chiefly from bacterial putrefaction of food debris, shed cells and proteins on the posterior dorsum of the tongue and within periodontal pockets, releasing malodorous volatile sulphur compounds (VSCs) such as hydrogen sulphide and methyl mercaptan. It may be a benign, transient (physiological) phenomenon such as 'morning breath', or a persistent (pathological) complaint signalling oral or, less often, extra-oral/systemic disease. Beyond any medical cause, halitosis carries a substantial psychosocial burden.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Robust national prevalence figures for India are lacking, but community and clinic surveys indicate that roughly one in five to one in four adults are affected. In a cross-sectional study of 300 adults in Delhi, 16.7% reported bad breath even before the COVID-19 pandemic and 28.7% perceived oral malodour overall, with a further rise attributed to prolonged mask use. Globally, estimates range from about 6% to 50% of the population, and roughly 25% of people experience persistent (chronic) halitosis; concern about bad breath is the third most common reason for seeking dental care, after tooth decay and gum disease.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Halitosis is primarily a clinical diagnosis: confirm that oral malodour is genuinely present, grade its severity, and localise its source (intra-oral versus extra-oral). The following are used: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Organoleptic assessment — a trained examiner smells the air expired from the mouth and nose at a set distance and scores intensity on a 0–5 scale (Rosenberg); a score ≥ 2 is considered socially significant. This remains the reference standard.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Portable sulphide monitor (Halimeter) — quantifies volatile sulphur compounds, mainly hydrogen sulphide, in exhaled air (parts per billion) for screening and monitoring; the patient must avoid eating, smoking, alcohol and oral rinses beforehand.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Gas chromatography — separately quantifies hydrogen sulphide, methyl mercaptan and dimethyl sulphide; the definitive method, useful for distinguishing intra-oral from blood-borne (extra-oral) sources.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BANA (N-benzoyl-DL-arginine-α-naphthylamide) test — detects the proteolytic anaerobes (Porphyromonas gingivalis, Tannerella forsythia, Treponema denticola) associated with periodontal malodour.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Intra-oral examination and indices — posterior tongue-coating assessment (e.g., Winkel Tongue Coating Index), periodontal probing depth and bleeding on probing, caries, dentures and salivary flow.</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extra-oral causes — ENT (tonsilloliths, sinusitis, post-nasal drip), gastro-oesophageal and systemic/metabolic screening when the mouth is healthy but odour persists (nose-only odour suggests a nasal/sinus source; odour smelled equally from mouth and nose suggests a blood-borne systemic source).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 most widely used framework is the Miyazaki (1999) classification, which also guides the corresponding treatment-need category:</w:t>
      </w:r>
    </w:p>
    <w:p>
      <w:pPr>
        <w:spacing w:before="0" w:after="80"/>
      </w:pPr>
      <w:r>
        <w:rPr>
          <w:rFonts w:ascii="Calibri" w:hAnsi="Calibri"/>
          <w:b w:val="0"/>
          <w:i w:val="0"/>
          <w:color w:val="212121"/>
          <w:sz w:val="21"/>
        </w:rPr>
        <w:t>(1) Genuine halitosis — physiological: transient malodour arising mainly from the posterior tongue in the absence of disease (e.g., morning breath, hunger/fasting, or sulphur-rich foods); it resolves with basic oral hygiene.</w:t>
      </w:r>
    </w:p>
    <w:p>
      <w:pPr>
        <w:spacing w:before="0" w:after="80"/>
      </w:pPr>
      <w:r>
        <w:rPr>
          <w:rFonts w:ascii="Calibri" w:hAnsi="Calibri"/>
          <w:b w:val="0"/>
          <w:i w:val="0"/>
          <w:color w:val="212121"/>
          <w:sz w:val="21"/>
        </w:rPr>
        <w:t>(2) Genuine halitosis — pathological, oral: malodour caused by oral disease — tongue coating, gingivitis and periodontitis, dental caries, xerostomia, pericoronitis, ulcers, and unclean or ill-fitting dentures. Around 85–90% of genuine cases are of oral origin.</w:t>
      </w:r>
    </w:p>
    <w:p>
      <w:pPr>
        <w:spacing w:before="0" w:after="80"/>
      </w:pPr>
      <w:r>
        <w:rPr>
          <w:rFonts w:ascii="Calibri" w:hAnsi="Calibri"/>
          <w:b w:val="0"/>
          <w:i w:val="0"/>
          <w:color w:val="212121"/>
          <w:sz w:val="21"/>
        </w:rPr>
        <w:t>(3) Genuine halitosis — pathological, extra-oral: blood-borne odour from systemic, metabolic, dietary or drug causes (e.g., the ketone/'fruity' breath of diabetic ketoacidosis, 'fetor hepaticus' of liver failure, ammoniacal/uraemic breath of renal failure, and trimethylaminuria) or non-blood-borne odour from the nose, sinuses, tonsils and respiratory tract.</w:t>
      </w:r>
    </w:p>
    <w:p>
      <w:pPr>
        <w:spacing w:before="0" w:after="80"/>
      </w:pPr>
      <w:r>
        <w:rPr>
          <w:rFonts w:ascii="Calibri" w:hAnsi="Calibri"/>
          <w:b w:val="0"/>
          <w:i w:val="0"/>
          <w:color w:val="212121"/>
          <w:sz w:val="21"/>
        </w:rPr>
        <w:t>(4) Pseudohalitosis: the patient complains of malodour that cannot be perceived by others or detected objectively; it typically resolves with counselling and reassurance.</w:t>
      </w:r>
    </w:p>
    <w:p>
      <w:pPr>
        <w:spacing w:before="0" w:after="80"/>
      </w:pPr>
      <w:r>
        <w:rPr>
          <w:rFonts w:ascii="Calibri" w:hAnsi="Calibri"/>
          <w:b w:val="0"/>
          <w:i w:val="0"/>
          <w:color w:val="212121"/>
          <w:sz w:val="21"/>
        </w:rPr>
        <w:t>(5) Halitophobia: a persistent, unfounded conviction of having bad breath that continues after genuine halitosis and pseudohalitosis have been excluded or treated, requiring psychological support. A related scheme (Tangerman &amp; Winkel) simply divides genuine cases into intra-oral and extra-oral (blood-borne versus non-blood-borne).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Tongue coating: The bacterial biofilm on the posterior dorsum of the tongue is the single largest reservoir of odour-producing anaerobes and accounts for the majority of intra-oral malodour.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Periodontal disease and gingivitis: Sub-gingival Gram-negative anaerobes (Porphyromonas gingivalis, Tannerella forsythia, Treponema denticola, Prevotella) putrefy proteins to release volatile sulphur compounds — methyl mercaptan predominates in periodontal malodour.</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Xerostomia (dry mouth): Reduced salivary flow lessens mechanical cleansing, buffering and oxygenation, allowing bacterial putrefaction; causes include mouth-breathing, sleep, fasting, dehydration, ageing, Sjögren syndrome and xerogenic drugs.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Other oral pathology: Deep caries, food impaction, pericoronitis, mucosal ulcers, post-extraction sockets and unclean or ill-fitting dentures each harbour stagnant debris and bacteria.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Diet, tobacco and areca/betel use: Sulphur-rich foods (garlic, onion), smoking, and smokeless tobacco/gutka and betel-quid — widely used in India — directly add odour and promote periodontal disease and dry mouth.</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Extra-oral and systemic causes: Tonsilloliths, chronic sinusitis and post-nasal drip, gastro-oesophageal reflux, and metabolic disease (uncontrolled diabetes, hepatic and renal failure, trimethylaminuria) produce characteristic blood-borne or airway malodour.</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Bad breath is very common in adults, usually as physiological 'morning breath' or from tongue coating and early gum disease. Volatile sulphur compounds accumulate whenever oral clearance falls — on waking, during fasting, or with dehydration.</w:t>
            </w:r>
          </w:p>
          <w:p>
            <w:pPr>
              <w:spacing w:after="40" w:before="60" w:line="259" w:lineRule="auto"/>
            </w:pPr>
            <w:r>
              <w:rPr>
                <w:rFonts w:ascii="Calibri" w:hAnsi="Calibri"/>
                <w:b w:val="0"/>
                <w:i w:val="0"/>
                <w:color w:val="212121"/>
                <w:sz w:val="19"/>
              </w:rPr>
              <w:t>In a Delhi study of 300 adults, 16.7% reported bad breath even before the pandemic and 28.7% perceived oral malodour overall.</w:t>
            </w:r>
          </w:p>
          <w:p>
            <w:pPr>
              <w:spacing w:after="40" w:line="252" w:lineRule="auto"/>
            </w:pPr>
            <w:hyperlink r:id="rId9">
              <w:r>
                <w:rPr>
                  <w:rFonts w:ascii="Calibri" w:hAnsi="Calibri" w:cs="Calibri"/>
                  <w:sz w:val="18"/>
                  <w:color w:val="1155CC"/>
                  <w:u w:val="single"/>
                </w:rPr>
                <w:t xml:space="preserve">cureus.com — self-perceived halitosis, Delhi (2022)</w:t>
              </w:r>
            </w:hyperlink>
          </w:p>
          <w:p>
            <w:pPr>
              <w:spacing w:before="60" w:after="40"/>
            </w:pPr>
            <w:r>
              <w:rPr>
                <w:rFonts w:ascii="Calibri" w:hAnsi="Calibri"/>
                <w:b w:val="0"/>
                <w:i w:val="0"/>
                <w:color w:val="5A5A5A"/>
                <w:sz w:val="18"/>
              </w:rPr>
              <w:t>#halitosis  #oralmalodor  #VSC  #morningbreath  #tonguecoating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are more affected because salivary flow declines and polypharmacy (antihypertensives, antidepressants, diuretics, anticholinergics) causes xerostomia, while periodontal disease, retained roots and dentures raise bacterial load; reduced dexterity worsens plaque and tongue cleaning.</w:t>
            </w:r>
          </w:p>
          <w:p>
            <w:pPr>
              <w:spacing w:after="40" w:before="60" w:line="259" w:lineRule="auto"/>
            </w:pPr>
            <w:r>
              <w:rPr>
                <w:rFonts w:ascii="Calibri" w:hAnsi="Calibri"/>
                <w:b w:val="0"/>
                <w:i w:val="0"/>
                <w:color w:val="212121"/>
                <w:sz w:val="19"/>
              </w:rPr>
              <w:t>Severe periodontal disease — a leading cause of oral malodour — affects more than 1 billion people worldwide and rises steeply with age.</w:t>
            </w:r>
          </w:p>
          <w:p>
            <w:pPr>
              <w:spacing w:after="40" w:line="252" w:lineRule="auto"/>
            </w:pPr>
            <w:hyperlink r:id="rId10">
              <w:r>
                <w:rPr>
                  <w:rFonts w:ascii="Calibri" w:hAnsi="Calibri" w:cs="Calibri"/>
                  <w:sz w:val="18"/>
                  <w:color w:val="1155CC"/>
                  <w:u w:val="single"/>
                </w:rPr>
                <w:t xml:space="preserve">who.int — oral health</w:t>
              </w:r>
            </w:hyperlink>
          </w:p>
          <w:p>
            <w:pPr>
              <w:spacing w:before="60" w:after="40"/>
            </w:pPr>
            <w:r>
              <w:rPr>
                <w:rFonts w:ascii="Calibri" w:hAnsi="Calibri"/>
                <w:b w:val="0"/>
                <w:i w:val="0"/>
                <w:color w:val="5A5A5A"/>
                <w:sz w:val="18"/>
              </w:rPr>
              <w:t>#elderly  #xerostomia  #polypharmacy  #dentures  #periodontitis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more often perceive and seek care for halitosis. Cyclical hormonal changes raise oral volatile sulphur compounds around ovulation and menstruation ('menstrual breath'), and pregnancy gingivitis can add to malodour; pseudohalitosis and halitophobia are also reported more frequently in women.</w:t>
            </w:r>
          </w:p>
          <w:p>
            <w:pPr>
              <w:spacing w:after="40" w:before="60" w:line="259" w:lineRule="auto"/>
            </w:pPr>
            <w:r>
              <w:rPr>
                <w:rFonts w:ascii="Calibri" w:hAnsi="Calibri"/>
                <w:b w:val="0"/>
                <w:i w:val="0"/>
                <w:color w:val="212121"/>
                <w:sz w:val="19"/>
              </w:rPr>
              <w:t>Oral VSC concentrations rise mid-cycle and during menstruation owing to hormonal effects on the gingiva and saliva.</w:t>
            </w:r>
          </w:p>
          <w:p>
            <w:pPr>
              <w:spacing w:after="40" w:line="252" w:lineRule="auto"/>
            </w:pPr>
            <w:hyperlink r:id="rId11">
              <w:r>
                <w:rPr>
                  <w:rFonts w:ascii="Calibri" w:hAnsi="Calibri" w:cs="Calibri"/>
                  <w:sz w:val="18"/>
                  <w:color w:val="1155CC"/>
                  <w:u w:val="single"/>
                </w:rPr>
                <w:t xml:space="preserve">en.wikipedia.org — bad breath</w:t>
              </w:r>
            </w:hyperlink>
          </w:p>
          <w:p>
            <w:pPr>
              <w:spacing w:before="60" w:after="40"/>
            </w:pPr>
            <w:r>
              <w:rPr>
                <w:rFonts w:ascii="Calibri" w:hAnsi="Calibri"/>
                <w:b w:val="0"/>
                <w:i w:val="0"/>
                <w:color w:val="5A5A5A"/>
                <w:sz w:val="18"/>
              </w:rPr>
              <w:t>#hormonal  #menstrualbreath  #pregnancygingivitis  #selfperception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groups with limited dental access</w:t>
            </w:r>
          </w:p>
        </w:tc>
        <w:tc>
          <w:tcPr>
            <w:tcW w:type="dxa" w:w="4276"/>
            <w:vAlign w:val="top"/>
          </w:tcPr>
          <w:p>
            <w:pPr>
              <w:spacing w:after="60" w:line="259" w:lineRule="auto"/>
            </w:pPr>
            <w:r>
              <w:rPr>
                <w:rFonts w:ascii="Calibri" w:hAnsi="Calibri"/>
                <w:b w:val="0"/>
                <w:i w:val="0"/>
                <w:color w:val="212121"/>
                <w:sz w:val="19"/>
              </w:rPr>
              <w:t>Lower socioeconomic groups have more untreated caries and periodontal disease, higher tobacco and betel-quid use, and less access to professional cleaning and tongue-cleaning advice — all of which increase malodour.</w:t>
            </w:r>
          </w:p>
          <w:p>
            <w:pPr>
              <w:spacing w:after="40" w:before="60" w:line="259" w:lineRule="auto"/>
            </w:pPr>
            <w:r>
              <w:rPr>
                <w:rFonts w:ascii="Calibri" w:hAnsi="Calibri"/>
                <w:b w:val="0"/>
                <w:i w:val="0"/>
                <w:color w:val="212121"/>
                <w:sz w:val="19"/>
              </w:rPr>
              <w:t>Oral diseases affect about 3.7 billion people globally and are concentrated in disadvantaged, underserved populations.</w:t>
            </w:r>
          </w:p>
          <w:p>
            <w:pPr>
              <w:spacing w:after="40" w:line="252" w:lineRule="auto"/>
            </w:pPr>
            <w:hyperlink r:id="rId10">
              <w:r>
                <w:rPr>
                  <w:rFonts w:ascii="Calibri" w:hAnsi="Calibri" w:cs="Calibri"/>
                  <w:sz w:val="18"/>
                  <w:color w:val="1155CC"/>
                  <w:u w:val="single"/>
                </w:rPr>
                <w:t xml:space="preserve">who.int — oral health</w:t>
              </w:r>
            </w:hyperlink>
          </w:p>
          <w:p>
            <w:pPr>
              <w:spacing w:before="60" w:after="40"/>
            </w:pPr>
            <w:r>
              <w:rPr>
                <w:rFonts w:ascii="Calibri" w:hAnsi="Calibri"/>
                <w:b w:val="0"/>
                <w:i w:val="0"/>
                <w:color w:val="5A5A5A"/>
                <w:sz w:val="18"/>
              </w:rPr>
              <w:t>#socioeconomic  #accesstocare  #untreatedcaries  #tobacco</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smokeless-tobacco &amp; betel-quid users</w:t>
            </w:r>
          </w:p>
        </w:tc>
        <w:tc>
          <w:tcPr>
            <w:tcW w:type="dxa" w:w="4276"/>
            <w:vAlign w:val="top"/>
          </w:tcPr>
          <w:p>
            <w:pPr>
              <w:spacing w:after="60" w:line="259" w:lineRule="auto"/>
            </w:pPr>
            <w:r>
              <w:rPr>
                <w:rFonts w:ascii="Calibri" w:hAnsi="Calibri"/>
                <w:b w:val="0"/>
                <w:i w:val="0"/>
                <w:color w:val="212121"/>
                <w:sz w:val="19"/>
              </w:rPr>
              <w:t>India has among the world's highest use of smokeless tobacco, gutka and betel-quid (paan/areca). These cause periodontal destruction, staining, oral submucous fibrosis and xerostomia, and add their own pungent odour — a distinctly Indian driver of chronic halitosis.</w:t>
            </w:r>
          </w:p>
          <w:p>
            <w:pPr>
              <w:spacing w:after="40" w:before="60" w:line="259" w:lineRule="auto"/>
            </w:pPr>
            <w:r>
              <w:rPr>
                <w:rFonts w:ascii="Calibri" w:hAnsi="Calibri"/>
                <w:b w:val="0"/>
                <w:i w:val="0"/>
                <w:color w:val="212121"/>
                <w:sz w:val="19"/>
              </w:rPr>
              <w:t>Among Indian dental students, smoking and poor oral-hygiene practices were significantly correlated with self-perceived halitosis.</w:t>
            </w:r>
          </w:p>
          <w:p>
            <w:pPr>
              <w:spacing w:after="40" w:line="252" w:lineRule="auto"/>
            </w:pPr>
            <w:hyperlink r:id="rId12">
              <w:r>
                <w:rPr>
                  <w:rFonts w:ascii="Calibri" w:hAnsi="Calibri" w:cs="Calibri"/>
                  <w:sz w:val="18"/>
                  <w:color w:val="1155CC"/>
                  <w:u w:val="single"/>
                </w:rPr>
                <w:t xml:space="preserve">pubmed.ncbi.nlm.nih.gov/24678201 — smoking &amp; self-perceived halitosis (India)</w:t>
              </w:r>
            </w:hyperlink>
          </w:p>
          <w:p>
            <w:pPr>
              <w:spacing w:before="60" w:after="40"/>
            </w:pPr>
            <w:r>
              <w:rPr>
                <w:rFonts w:ascii="Calibri" w:hAnsi="Calibri"/>
                <w:b w:val="0"/>
                <w:i w:val="0"/>
                <w:color w:val="5A5A5A"/>
                <w:sz w:val="18"/>
              </w:rPr>
              <w:t>#smokelesstobacco  #gutka  #betelquid  #areca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Access to care</w:t>
            </w:r>
          </w:p>
        </w:tc>
        <w:tc>
          <w:tcPr>
            <w:tcW w:type="dxa" w:w="2160"/>
            <w:vAlign w:val="top"/>
          </w:tcPr>
          <w:p>
            <w:pPr>
              <w:spacing w:after="40" w:before="0" w:line="259" w:lineRule="auto"/>
            </w:pPr>
            <w:r>
              <w:rPr>
                <w:rFonts w:ascii="Calibri" w:hAnsi="Calibri"/>
                <w:b w:val="0"/>
                <w:i w:val="0"/>
                <w:color w:val="212121"/>
                <w:sz w:val="19"/>
              </w:rPr>
              <w:t>Rural &amp; peri-urban populations</w:t>
            </w:r>
          </w:p>
        </w:tc>
        <w:tc>
          <w:tcPr>
            <w:tcW w:type="dxa" w:w="4276"/>
            <w:vAlign w:val="top"/>
          </w:tcPr>
          <w:p>
            <w:pPr>
              <w:spacing w:after="60" w:line="259" w:lineRule="auto"/>
            </w:pPr>
            <w:r>
              <w:rPr>
                <w:rFonts w:ascii="Calibri" w:hAnsi="Calibri"/>
                <w:b w:val="0"/>
                <w:i w:val="0"/>
                <w:color w:val="212121"/>
                <w:sz w:val="19"/>
              </w:rPr>
              <w:t>A low dentist-to-population ratio and limited access to periodontal and preventive care in rural and peri-urban India mean gum disease, calculus and tongue coating often go untreated, sustaining malodour.</w:t>
            </w:r>
          </w:p>
          <w:p>
            <w:pPr>
              <w:spacing w:after="40" w:before="60" w:line="259" w:lineRule="auto"/>
            </w:pPr>
            <w:r>
              <w:rPr>
                <w:rFonts w:ascii="Calibri" w:hAnsi="Calibri"/>
                <w:b w:val="0"/>
                <w:i w:val="0"/>
                <w:color w:val="212121"/>
                <w:sz w:val="19"/>
              </w:rPr>
              <w:t>Untreated periodontal disease and tongue coating are the commonest sources of persistent oral malodour and are more prevalent where dental care is scarce.</w:t>
            </w:r>
          </w:p>
          <w:p>
            <w:pPr>
              <w:spacing w:before="60" w:after="40"/>
            </w:pPr>
            <w:r>
              <w:rPr>
                <w:rFonts w:ascii="Calibri" w:hAnsi="Calibri"/>
                <w:b w:val="0"/>
                <w:i w:val="0"/>
                <w:color w:val="5A5A5A"/>
                <w:sz w:val="18"/>
              </w:rPr>
              <w:t>#ruralhealth  #dentalaccess  #unmetneed</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Oral hygiene</w:t>
            </w:r>
          </w:p>
        </w:tc>
        <w:tc>
          <w:tcPr>
            <w:tcW w:type="dxa" w:w="2160"/>
            <w:vAlign w:val="top"/>
          </w:tcPr>
          <w:p>
            <w:pPr>
              <w:spacing w:after="40" w:before="0" w:line="259" w:lineRule="auto"/>
            </w:pPr>
            <w:r>
              <w:rPr>
                <w:rFonts w:ascii="Calibri" w:hAnsi="Calibri"/>
                <w:b w:val="0"/>
                <w:i w:val="0"/>
                <w:color w:val="212121"/>
                <w:sz w:val="19"/>
              </w:rPr>
              <w:t>Infrequent brushers / no tongue cleaning</w:t>
            </w:r>
          </w:p>
        </w:tc>
        <w:tc>
          <w:tcPr>
            <w:tcW w:type="dxa" w:w="4276"/>
            <w:vAlign w:val="top"/>
          </w:tcPr>
          <w:p>
            <w:pPr>
              <w:spacing w:after="60" w:line="259" w:lineRule="auto"/>
            </w:pPr>
            <w:r>
              <w:rPr>
                <w:rFonts w:ascii="Calibri" w:hAnsi="Calibri"/>
                <w:b w:val="0"/>
                <w:i w:val="0"/>
                <w:color w:val="212121"/>
                <w:sz w:val="19"/>
              </w:rPr>
              <w:t>Infrequent brushing, and especially omitting tongue cleaning and interdental cleaning, allows the posterior-tongue and interdental biofilm to putrefy proteins into volatile sulphur compounds.</w:t>
            </w:r>
          </w:p>
          <w:p>
            <w:pPr>
              <w:spacing w:after="40" w:before="60" w:line="259" w:lineRule="auto"/>
            </w:pPr>
            <w:r>
              <w:rPr>
                <w:rFonts w:ascii="Calibri" w:hAnsi="Calibri"/>
                <w:b w:val="0"/>
                <w:i w:val="0"/>
                <w:color w:val="212121"/>
                <w:sz w:val="19"/>
              </w:rPr>
              <w:t>Tongue coating alone accounts for an estimated 80–90% of intra-oral halitosis.</w:t>
            </w:r>
          </w:p>
          <w:p>
            <w:pPr>
              <w:spacing w:after="40" w:line="252" w:lineRule="auto"/>
            </w:pPr>
            <w:hyperlink r:id="rId11">
              <w:r>
                <w:rPr>
                  <w:rFonts w:ascii="Calibri" w:hAnsi="Calibri" w:cs="Calibri"/>
                  <w:sz w:val="18"/>
                  <w:color w:val="1155CC"/>
                  <w:u w:val="single"/>
                </w:rPr>
                <w:t xml:space="preserve">en.wikipedia.org — bad breath</w:t>
              </w:r>
            </w:hyperlink>
          </w:p>
          <w:p>
            <w:pPr>
              <w:spacing w:before="60" w:after="40"/>
            </w:pPr>
            <w:r>
              <w:rPr>
                <w:rFonts w:ascii="Calibri" w:hAnsi="Calibri"/>
                <w:b w:val="0"/>
                <w:i w:val="0"/>
                <w:color w:val="5A5A5A"/>
                <w:sz w:val="18"/>
              </w:rPr>
              <w:t>#oralhygiene  #tonguecleaning  #biofilm  #flossing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bidi &amp; gutka users</w:t>
            </w:r>
          </w:p>
        </w:tc>
        <w:tc>
          <w:tcPr>
            <w:tcW w:type="dxa" w:w="4276"/>
            <w:vAlign w:val="top"/>
          </w:tcPr>
          <w:p>
            <w:pPr>
              <w:spacing w:after="60" w:line="259" w:lineRule="auto"/>
            </w:pPr>
            <w:r>
              <w:rPr>
                <w:rFonts w:ascii="Calibri" w:hAnsi="Calibri"/>
                <w:b w:val="0"/>
                <w:i w:val="0"/>
                <w:color w:val="212121"/>
                <w:sz w:val="19"/>
              </w:rPr>
              <w:t>Smoking and smokeless tobacco dry the mouth, promote periodontal disease and leave a persistent tobacco odour. In Indian dental students, smoking and poor oral-hygiene practices were correlated with self-perceived halitosis.</w:t>
            </w:r>
          </w:p>
          <w:p>
            <w:pPr>
              <w:spacing w:after="40" w:before="60" w:line="259" w:lineRule="auto"/>
            </w:pPr>
            <w:r>
              <w:rPr>
                <w:rFonts w:ascii="Calibri" w:hAnsi="Calibri"/>
                <w:b w:val="0"/>
                <w:i w:val="0"/>
                <w:color w:val="212121"/>
                <w:sz w:val="19"/>
              </w:rPr>
              <w:t>Smoking and oral-hygiene practices correlated with self-perceived halitosis among Indian undergraduate dental students.</w:t>
            </w:r>
          </w:p>
          <w:p>
            <w:pPr>
              <w:spacing w:after="40" w:line="252" w:lineRule="auto"/>
            </w:pPr>
            <w:hyperlink r:id="rId12">
              <w:r>
                <w:rPr>
                  <w:rFonts w:ascii="Calibri" w:hAnsi="Calibri" w:cs="Calibri"/>
                  <w:sz w:val="18"/>
                  <w:color w:val="1155CC"/>
                  <w:u w:val="single"/>
                </w:rPr>
                <w:t xml:space="preserve">pubmed.ncbi.nlm.nih.gov/24678201 — smoking &amp; halitosis (India)</w:t>
              </w:r>
            </w:hyperlink>
          </w:p>
          <w:p>
            <w:pPr>
              <w:spacing w:before="60" w:after="40"/>
            </w:pPr>
            <w:r>
              <w:rPr>
                <w:rFonts w:ascii="Calibri" w:hAnsi="Calibri"/>
                <w:b w:val="0"/>
                <w:i w:val="0"/>
                <w:color w:val="5A5A5A"/>
                <w:sz w:val="18"/>
              </w:rPr>
              <w:t>#smoking  #tobacco  #xerostomia  #periodontitis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w:t>
            </w:r>
          </w:p>
        </w:tc>
        <w:tc>
          <w:tcPr>
            <w:tcW w:type="dxa" w:w="4276"/>
            <w:vAlign w:val="top"/>
          </w:tcPr>
          <w:p>
            <w:pPr>
              <w:spacing w:after="60" w:line="259" w:lineRule="auto"/>
            </w:pPr>
            <w:r>
              <w:rPr>
                <w:rFonts w:ascii="Calibri" w:hAnsi="Calibri"/>
                <w:b w:val="0"/>
                <w:i w:val="0"/>
                <w:color w:val="212121"/>
                <w:sz w:val="19"/>
              </w:rPr>
              <w:t>Alcohol is dehydrating and reduces salivary flow, and its metabolite acetaldehyde adds odour; heavy use also promotes gastritis/reflux and poor hygiene. Alcohol-containing mouthwashes can paradoxically worsen dryness.</w:t>
            </w:r>
          </w:p>
          <w:p>
            <w:pPr>
              <w:spacing w:after="40" w:before="60" w:line="259" w:lineRule="auto"/>
            </w:pPr>
            <w:r>
              <w:rPr>
                <w:rFonts w:ascii="Calibri" w:hAnsi="Calibri"/>
                <w:b w:val="0"/>
                <w:i w:val="0"/>
                <w:color w:val="212121"/>
                <w:sz w:val="19"/>
              </w:rPr>
              <w:t>Alcohol raises measured VSC readings, so patients must abstain for ~12 hours before Halimeter testing.</w:t>
            </w:r>
          </w:p>
          <w:p>
            <w:pPr>
              <w:spacing w:after="40" w:line="252" w:lineRule="auto"/>
            </w:pPr>
            <w:hyperlink r:id="rId11">
              <w:r>
                <w:rPr>
                  <w:rFonts w:ascii="Calibri" w:hAnsi="Calibri" w:cs="Calibri"/>
                  <w:sz w:val="18"/>
                  <w:color w:val="1155CC"/>
                  <w:u w:val="single"/>
                </w:rPr>
                <w:t xml:space="preserve">en.wikipedia.org — bad breath</w:t>
              </w:r>
            </w:hyperlink>
          </w:p>
          <w:p>
            <w:pPr>
              <w:spacing w:before="60" w:after="40"/>
            </w:pPr>
            <w:r>
              <w:rPr>
                <w:rFonts w:ascii="Calibri" w:hAnsi="Calibri"/>
                <w:b w:val="0"/>
                <w:i w:val="0"/>
                <w:color w:val="5A5A5A"/>
                <w:sz w:val="18"/>
              </w:rPr>
              <w:t>#alcohol  #dehydration  #acetaldehyde  #drymouth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Mouth-breathing</w:t>
            </w:r>
          </w:p>
        </w:tc>
        <w:tc>
          <w:tcPr>
            <w:tcW w:type="dxa" w:w="2160"/>
            <w:vAlign w:val="top"/>
          </w:tcPr>
          <w:p>
            <w:pPr>
              <w:spacing w:after="40" w:before="0" w:line="259" w:lineRule="auto"/>
            </w:pPr>
            <w:r>
              <w:rPr>
                <w:rFonts w:ascii="Calibri" w:hAnsi="Calibri"/>
                <w:b w:val="0"/>
                <w:i w:val="0"/>
                <w:color w:val="212121"/>
                <w:sz w:val="19"/>
              </w:rPr>
              <w:t>Snorers, CPAP users, nasal-obstruction patients</w:t>
            </w:r>
          </w:p>
        </w:tc>
        <w:tc>
          <w:tcPr>
            <w:tcW w:type="dxa" w:w="4276"/>
            <w:vAlign w:val="top"/>
          </w:tcPr>
          <w:p>
            <w:pPr>
              <w:spacing w:after="60" w:line="259" w:lineRule="auto"/>
            </w:pPr>
            <w:r>
              <w:rPr>
                <w:rFonts w:ascii="Calibri" w:hAnsi="Calibri"/>
                <w:b w:val="0"/>
                <w:i w:val="0"/>
                <w:color w:val="212121"/>
                <w:sz w:val="19"/>
              </w:rPr>
              <w:t>Chronic mouth-breathing from nasal obstruction, snoring or CPAP dries the oral mucosa overnight, sharply reducing salivary clearance and producing pronounced morning malodour.</w:t>
            </w:r>
          </w:p>
          <w:p>
            <w:pPr>
              <w:spacing w:after="40" w:before="60" w:line="259" w:lineRule="auto"/>
            </w:pPr>
            <w:r>
              <w:rPr>
                <w:rFonts w:ascii="Calibri" w:hAnsi="Calibri"/>
                <w:b w:val="0"/>
                <w:i w:val="0"/>
                <w:color w:val="212121"/>
                <w:sz w:val="19"/>
              </w:rPr>
              <w:t>Reduced nocturnal salivary flow with mouth-breathing is a classic cause of physiological morning breath.</w:t>
            </w:r>
          </w:p>
          <w:p>
            <w:pPr>
              <w:spacing w:before="60" w:after="40"/>
            </w:pPr>
            <w:r>
              <w:rPr>
                <w:rFonts w:ascii="Calibri" w:hAnsi="Calibri"/>
                <w:b w:val="0"/>
                <w:i w:val="0"/>
                <w:color w:val="5A5A5A"/>
                <w:sz w:val="18"/>
              </w:rPr>
              <w:t>#mouthbreathing  #snoring  #OSA  #morningbreath</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Sulphur-rich diet (garlic, onion, spices)</w:t>
            </w:r>
          </w:p>
        </w:tc>
        <w:tc>
          <w:tcPr>
            <w:tcW w:type="dxa" w:w="4276"/>
            <w:vAlign w:val="top"/>
          </w:tcPr>
          <w:p>
            <w:pPr>
              <w:spacing w:after="60" w:line="259" w:lineRule="auto"/>
            </w:pPr>
            <w:r>
              <w:rPr>
                <w:rFonts w:ascii="Calibri" w:hAnsi="Calibri"/>
                <w:b w:val="0"/>
                <w:i w:val="0"/>
                <w:color w:val="212121"/>
                <w:sz w:val="19"/>
              </w:rPr>
              <w:t>Garlic, onions and certain spices contain sulphur compounds that are absorbed and later exhaled from the lungs, causing transient malodour that oral hygiene cannot fully remove until they are metabolised.</w:t>
            </w:r>
          </w:p>
          <w:p>
            <w:pPr>
              <w:spacing w:after="40" w:before="60" w:line="259" w:lineRule="auto"/>
            </w:pPr>
            <w:r>
              <w:rPr>
                <w:rFonts w:ascii="Calibri" w:hAnsi="Calibri"/>
                <w:b w:val="0"/>
                <w:i w:val="0"/>
                <w:color w:val="212121"/>
                <w:sz w:val="19"/>
              </w:rPr>
              <w:t>Odour compounds from foods such as garlic and onion enter the bloodstream and are exhaled via the lungs, so brushing does not eliminate them.</w:t>
            </w:r>
          </w:p>
          <w:p>
            <w:pPr>
              <w:spacing w:after="40" w:line="252" w:lineRule="auto"/>
            </w:pPr>
            <w:hyperlink r:id="rId13">
              <w:r>
                <w:rPr>
                  <w:rFonts w:ascii="Calibri" w:hAnsi="Calibri" w:cs="Calibri"/>
                  <w:sz w:val="18"/>
                  <w:color w:val="1155CC"/>
                  <w:u w:val="single"/>
                </w:rPr>
                <w:t xml:space="preserve">mayoclinic.org — bad breath</w:t>
              </w:r>
            </w:hyperlink>
          </w:p>
          <w:p>
            <w:pPr>
              <w:spacing w:before="60" w:after="40"/>
            </w:pPr>
            <w:r>
              <w:rPr>
                <w:rFonts w:ascii="Calibri" w:hAnsi="Calibri"/>
                <w:b w:val="0"/>
                <w:i w:val="0"/>
                <w:color w:val="5A5A5A"/>
                <w:sz w:val="18"/>
              </w:rPr>
              <w:t>#garlic  #onion  #dietarysulfur  #exhaledodor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Hydration / fasting</w:t>
            </w:r>
          </w:p>
        </w:tc>
        <w:tc>
          <w:tcPr>
            <w:tcW w:type="dxa" w:w="2160"/>
            <w:vAlign w:val="top"/>
          </w:tcPr>
          <w:p>
            <w:pPr>
              <w:spacing w:after="40" w:before="0" w:line="259" w:lineRule="auto"/>
            </w:pPr>
            <w:r>
              <w:rPr>
                <w:rFonts w:ascii="Calibri" w:hAnsi="Calibri"/>
                <w:b w:val="0"/>
                <w:i w:val="0"/>
                <w:color w:val="212121"/>
                <w:sz w:val="19"/>
              </w:rPr>
              <w:t>Low water intake, meal-skippers, ketogenic dieters</w:t>
            </w:r>
          </w:p>
        </w:tc>
        <w:tc>
          <w:tcPr>
            <w:tcW w:type="dxa" w:w="4276"/>
            <w:vAlign w:val="top"/>
          </w:tcPr>
          <w:p>
            <w:pPr>
              <w:spacing w:after="60" w:line="259" w:lineRule="auto"/>
            </w:pPr>
            <w:r>
              <w:rPr>
                <w:rFonts w:ascii="Calibri" w:hAnsi="Calibri"/>
                <w:b w:val="0"/>
                <w:i w:val="0"/>
                <w:color w:val="212121"/>
                <w:sz w:val="19"/>
              </w:rPr>
              <w:t>Dehydration, meal-skipping and prolonged (including religious) fasting reduce salivary flow and shift metabolism toward ketone production, both causing 'hunger/fasting breath'; low-carbohydrate/ketogenic diets add an acetone odour.</w:t>
            </w:r>
          </w:p>
          <w:p>
            <w:pPr>
              <w:spacing w:after="40" w:before="60" w:line="259" w:lineRule="auto"/>
            </w:pPr>
            <w:r>
              <w:rPr>
                <w:rFonts w:ascii="Calibri" w:hAnsi="Calibri"/>
                <w:b w:val="0"/>
                <w:i w:val="0"/>
                <w:color w:val="212121"/>
                <w:sz w:val="19"/>
              </w:rPr>
              <w:t>Fasting, stress and reduced salivary flow are recognised precipitants of physiological malodour.</w:t>
            </w:r>
          </w:p>
          <w:p>
            <w:pPr>
              <w:spacing w:after="40" w:line="252" w:lineRule="auto"/>
            </w:pPr>
            <w:hyperlink r:id="rId11">
              <w:r>
                <w:rPr>
                  <w:rFonts w:ascii="Calibri" w:hAnsi="Calibri" w:cs="Calibri"/>
                  <w:sz w:val="18"/>
                  <w:color w:val="1155CC"/>
                  <w:u w:val="single"/>
                </w:rPr>
                <w:t xml:space="preserve">en.wikipedia.org — bad breath</w:t>
              </w:r>
            </w:hyperlink>
          </w:p>
          <w:p>
            <w:pPr>
              <w:spacing w:before="60" w:after="40"/>
            </w:pPr>
            <w:r>
              <w:rPr>
                <w:rFonts w:ascii="Calibri" w:hAnsi="Calibri"/>
                <w:b w:val="0"/>
                <w:i w:val="0"/>
                <w:color w:val="5A5A5A"/>
                <w:sz w:val="18"/>
              </w:rPr>
              <w:t>#dehydration  #fasting  #ketosis  #salivaryflow</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metabolic</w:t>
            </w:r>
          </w:p>
        </w:tc>
        <w:tc>
          <w:tcPr>
            <w:tcW w:type="dxa" w:w="2160"/>
            <w:vAlign w:val="top"/>
          </w:tcPr>
          <w:p>
            <w:pPr>
              <w:spacing w:after="40" w:before="0" w:line="259" w:lineRule="auto"/>
            </w:pPr>
            <w:r>
              <w:rPr>
                <w:rFonts w:ascii="Calibri" w:hAnsi="Calibri"/>
                <w:b w:val="0"/>
                <w:i w:val="0"/>
                <w:color w:val="212121"/>
                <w:sz w:val="19"/>
              </w:rPr>
              <w:t>Trimethylaminuria &amp; periodontitis-prone individuals</w:t>
            </w:r>
          </w:p>
        </w:tc>
        <w:tc>
          <w:tcPr>
            <w:tcW w:type="dxa" w:w="4276"/>
            <w:vAlign w:val="top"/>
          </w:tcPr>
          <w:p>
            <w:pPr>
              <w:spacing w:after="60" w:line="259" w:lineRule="auto"/>
            </w:pPr>
            <w:r>
              <w:rPr>
                <w:rFonts w:ascii="Calibri" w:hAnsi="Calibri"/>
                <w:b w:val="0"/>
                <w:i w:val="0"/>
                <w:color w:val="212121"/>
                <w:sz w:val="19"/>
              </w:rPr>
              <w:t>Trimethylaminuria ('fish-odour syndrome') is an inherited FMO3 defect that causes a fishy body and breath odour unrelated to oral hygiene. A familial tendency to aggressive periodontitis also predisposes to chronic oral malodour.</w:t>
            </w:r>
          </w:p>
          <w:p>
            <w:pPr>
              <w:spacing w:after="40" w:before="60" w:line="259" w:lineRule="auto"/>
            </w:pPr>
            <w:r>
              <w:rPr>
                <w:rFonts w:ascii="Calibri" w:hAnsi="Calibri"/>
                <w:b w:val="0"/>
                <w:i w:val="0"/>
                <w:color w:val="212121"/>
                <w:sz w:val="19"/>
              </w:rPr>
              <w:t>Trimethylaminuria is a recognised blood-borne (extra-oral) metabolic cause of persistent fishy breath.</w:t>
            </w:r>
          </w:p>
          <w:p>
            <w:pPr>
              <w:spacing w:after="40" w:line="252" w:lineRule="auto"/>
            </w:pPr>
            <w:hyperlink r:id="rId11">
              <w:r>
                <w:rPr>
                  <w:rFonts w:ascii="Calibri" w:hAnsi="Calibri" w:cs="Calibri"/>
                  <w:sz w:val="18"/>
                  <w:color w:val="1155CC"/>
                  <w:u w:val="single"/>
                </w:rPr>
                <w:t xml:space="preserve">en.wikipedia.org — bad breath</w:t>
              </w:r>
            </w:hyperlink>
          </w:p>
          <w:p>
            <w:pPr>
              <w:spacing w:before="60" w:after="40"/>
            </w:pPr>
            <w:r>
              <w:rPr>
                <w:rFonts w:ascii="Calibri" w:hAnsi="Calibri"/>
                <w:b w:val="0"/>
                <w:i w:val="0"/>
                <w:color w:val="5A5A5A"/>
                <w:sz w:val="18"/>
              </w:rPr>
              <w:t>#trimethylaminuria  #FMO3  #geneticperiodontitis  #fishodor</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Periodontitis / Gingivitis</w:t>
            </w:r>
          </w:p>
        </w:tc>
        <w:tc>
          <w:tcPr>
            <w:tcW w:type="dxa" w:w="2160"/>
            <w:vAlign w:val="top"/>
          </w:tcPr>
          <w:p>
            <w:pPr>
              <w:spacing w:after="40" w:before="0" w:line="259" w:lineRule="auto"/>
            </w:pPr>
            <w:r>
              <w:rPr>
                <w:rFonts w:ascii="Calibri" w:hAnsi="Calibri"/>
                <w:b w:val="0"/>
                <w:i w:val="0"/>
                <w:color w:val="212121"/>
                <w:sz w:val="19"/>
              </w:rPr>
              <w:t>Patients with active periodontal disease</w:t>
            </w:r>
          </w:p>
        </w:tc>
        <w:tc>
          <w:tcPr>
            <w:tcW w:type="dxa" w:w="4276"/>
            <w:vAlign w:val="top"/>
          </w:tcPr>
          <w:p>
            <w:pPr>
              <w:spacing w:after="60" w:line="259" w:lineRule="auto"/>
            </w:pPr>
            <w:r>
              <w:rPr>
                <w:rFonts w:ascii="Calibri" w:hAnsi="Calibri"/>
                <w:b w:val="0"/>
                <w:i w:val="0"/>
                <w:color w:val="212121"/>
                <w:sz w:val="19"/>
              </w:rPr>
              <w:t>Active periodontal disease is the strongest oral pathological cause of halitosis; deep pockets house anaerobes that release methyl mercaptan, and malodour intensity tracks pocket depth and bleeding on probing.</w:t>
            </w:r>
          </w:p>
          <w:p>
            <w:pPr>
              <w:spacing w:after="40" w:before="60" w:line="259" w:lineRule="auto"/>
            </w:pPr>
            <w:r>
              <w:rPr>
                <w:rFonts w:ascii="Calibri" w:hAnsi="Calibri"/>
                <w:b w:val="0"/>
                <w:i w:val="0"/>
                <w:color w:val="212121"/>
                <w:sz w:val="19"/>
              </w:rPr>
              <w:t>Methyl mercaptan is the predominant volatile sulphur compound in periodontal-disease-related breath.</w:t>
            </w:r>
          </w:p>
          <w:p>
            <w:pPr>
              <w:spacing w:after="40" w:line="252" w:lineRule="auto"/>
            </w:pPr>
            <w:hyperlink r:id="rId11">
              <w:r>
                <w:rPr>
                  <w:rFonts w:ascii="Calibri" w:hAnsi="Calibri" w:cs="Calibri"/>
                  <w:sz w:val="18"/>
                  <w:color w:val="1155CC"/>
                  <w:u w:val="single"/>
                </w:rPr>
                <w:t xml:space="preserve">en.wikipedia.org — bad breath</w:t>
              </w:r>
            </w:hyperlink>
          </w:p>
          <w:p>
            <w:pPr>
              <w:spacing w:before="60" w:after="40"/>
            </w:pPr>
            <w:r>
              <w:rPr>
                <w:rFonts w:ascii="Calibri" w:hAnsi="Calibri"/>
                <w:b w:val="0"/>
                <w:i w:val="0"/>
                <w:color w:val="5A5A5A"/>
                <w:sz w:val="18"/>
              </w:rPr>
              <w:t>#periodontitis  #methylmercaptan  #pockets  #BOP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Xerostomia</w:t>
            </w:r>
          </w:p>
        </w:tc>
        <w:tc>
          <w:tcPr>
            <w:tcW w:type="dxa" w:w="2160"/>
            <w:vAlign w:val="top"/>
          </w:tcPr>
          <w:p>
            <w:pPr>
              <w:spacing w:after="40" w:before="0" w:line="259" w:lineRule="auto"/>
            </w:pPr>
            <w:r>
              <w:rPr>
                <w:rFonts w:ascii="Calibri" w:hAnsi="Calibri"/>
                <w:b w:val="0"/>
                <w:i w:val="0"/>
                <w:color w:val="212121"/>
                <w:sz w:val="19"/>
              </w:rPr>
              <w:t>Sjögren syndrome / xerogenic-drug users / post-radiotherapy</w:t>
            </w:r>
          </w:p>
        </w:tc>
        <w:tc>
          <w:tcPr>
            <w:tcW w:type="dxa" w:w="4276"/>
            <w:vAlign w:val="top"/>
          </w:tcPr>
          <w:p>
            <w:pPr>
              <w:spacing w:after="60" w:line="259" w:lineRule="auto"/>
            </w:pPr>
            <w:r>
              <w:rPr>
                <w:rFonts w:ascii="Calibri" w:hAnsi="Calibri"/>
                <w:b w:val="0"/>
                <w:i w:val="0"/>
                <w:color w:val="212121"/>
                <w:sz w:val="19"/>
              </w:rPr>
              <w:t>Any cause of reduced saliva — Sjögren syndrome, head-and-neck radiotherapy, or xerogenic drugs (anticholinergics, antihistamines, antidepressants, diuretics) — removes the mouth's main self-cleansing mechanism and produces persistent malodour.</w:t>
            </w:r>
          </w:p>
          <w:p>
            <w:pPr>
              <w:spacing w:after="40" w:before="60" w:line="259" w:lineRule="auto"/>
            </w:pPr>
            <w:r>
              <w:rPr>
                <w:rFonts w:ascii="Calibri" w:hAnsi="Calibri"/>
                <w:b w:val="0"/>
                <w:i w:val="0"/>
                <w:color w:val="212121"/>
                <w:sz w:val="19"/>
              </w:rPr>
              <w:t>Reduced salivary flow lowers oral clearance and oxygenation, favouring the bacterial putrefaction that produces malodour.</w:t>
            </w:r>
          </w:p>
          <w:p>
            <w:pPr>
              <w:spacing w:after="40" w:line="252" w:lineRule="auto"/>
            </w:pPr>
            <w:hyperlink r:id="rId13">
              <w:r>
                <w:rPr>
                  <w:rFonts w:ascii="Calibri" w:hAnsi="Calibri" w:cs="Calibri"/>
                  <w:sz w:val="18"/>
                  <w:color w:val="1155CC"/>
                  <w:u w:val="single"/>
                </w:rPr>
                <w:t xml:space="preserve">mayoclinic.org — bad breath</w:t>
              </w:r>
            </w:hyperlink>
          </w:p>
          <w:p>
            <w:pPr>
              <w:spacing w:before="60" w:after="40"/>
            </w:pPr>
            <w:r>
              <w:rPr>
                <w:rFonts w:ascii="Calibri" w:hAnsi="Calibri"/>
                <w:b w:val="0"/>
                <w:i w:val="0"/>
                <w:color w:val="5A5A5A"/>
                <w:sz w:val="18"/>
              </w:rPr>
              <w:t>#xerostomia  #Sjogren  #drymouth  #medications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 (esp. uncontrolled)</w:t>
            </w:r>
          </w:p>
        </w:tc>
        <w:tc>
          <w:tcPr>
            <w:tcW w:type="dxa" w:w="4276"/>
            <w:vAlign w:val="top"/>
          </w:tcPr>
          <w:p>
            <w:pPr>
              <w:spacing w:after="60" w:line="259" w:lineRule="auto"/>
            </w:pPr>
            <w:r>
              <w:rPr>
                <w:rFonts w:ascii="Calibri" w:hAnsi="Calibri"/>
                <w:b w:val="0"/>
                <w:i w:val="0"/>
                <w:color w:val="212121"/>
                <w:sz w:val="19"/>
              </w:rPr>
              <w:t>Diabetes increases periodontal disease and dry mouth, and poorly controlled or ketotic states produce a characteristic sweet, 'fruity' acetone breath. India's large diabetic population makes this a common extra-oral contributor.</w:t>
            </w:r>
          </w:p>
          <w:p>
            <w:pPr>
              <w:spacing w:after="40" w:before="60" w:line="259" w:lineRule="auto"/>
            </w:pPr>
            <w:r>
              <w:rPr>
                <w:rFonts w:ascii="Calibri" w:hAnsi="Calibri"/>
                <w:b w:val="0"/>
                <w:i w:val="0"/>
                <w:color w:val="212121"/>
                <w:sz w:val="19"/>
              </w:rPr>
              <w:t>Diabetes is a recognised systemic cause of bad breath, classically fruity/acetone-smelling in ketosis.</w:t>
            </w:r>
          </w:p>
          <w:p>
            <w:pPr>
              <w:spacing w:after="40" w:line="252" w:lineRule="auto"/>
            </w:pPr>
            <w:hyperlink r:id="rId14">
              <w:r>
                <w:rPr>
                  <w:rFonts w:ascii="Calibri" w:hAnsi="Calibri" w:cs="Calibri"/>
                  <w:sz w:val="18"/>
                  <w:color w:val="1155CC"/>
                  <w:u w:val="single"/>
                </w:rPr>
                <w:t xml:space="preserve">my.clevelandclinic.org — bad breath (halitosis)</w:t>
              </w:r>
            </w:hyperlink>
          </w:p>
          <w:p>
            <w:pPr>
              <w:spacing w:before="60" w:after="40"/>
            </w:pPr>
            <w:r>
              <w:rPr>
                <w:rFonts w:ascii="Calibri" w:hAnsi="Calibri"/>
                <w:b w:val="0"/>
                <w:i w:val="0"/>
                <w:color w:val="5A5A5A"/>
                <w:sz w:val="18"/>
              </w:rPr>
              <w:t>#diabetes  #ketonebreath  #periodontitis  #acetone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GERD / Chronic tonsillitis &amp; sinusitis</w:t>
            </w:r>
          </w:p>
        </w:tc>
        <w:tc>
          <w:tcPr>
            <w:tcW w:type="dxa" w:w="2160"/>
            <w:vAlign w:val="top"/>
          </w:tcPr>
          <w:p>
            <w:pPr>
              <w:spacing w:after="40" w:before="0" w:line="259" w:lineRule="auto"/>
            </w:pPr>
            <w:r>
              <w:rPr>
                <w:rFonts w:ascii="Calibri" w:hAnsi="Calibri"/>
                <w:b w:val="0"/>
                <w:i w:val="0"/>
                <w:color w:val="212121"/>
                <w:sz w:val="19"/>
              </w:rPr>
              <w:t>Patients with reflux, tonsilloliths or sinus disease</w:t>
            </w:r>
          </w:p>
        </w:tc>
        <w:tc>
          <w:tcPr>
            <w:tcW w:type="dxa" w:w="4276"/>
            <w:vAlign w:val="top"/>
          </w:tcPr>
          <w:p>
            <w:pPr>
              <w:spacing w:after="60" w:line="259" w:lineRule="auto"/>
            </w:pPr>
            <w:r>
              <w:rPr>
                <w:rFonts w:ascii="Calibri" w:hAnsi="Calibri"/>
                <w:b w:val="0"/>
                <w:i w:val="0"/>
                <w:color w:val="212121"/>
                <w:sz w:val="19"/>
              </w:rPr>
              <w:t>Gastro-oesophageal reflux, chronic tonsillitis with tonsilloliths, chronic sinusitis and post-nasal drip are the commonest non-oral (airway/upper-GI) sources of malodour when the mouth is otherwise healthy.</w:t>
            </w:r>
          </w:p>
          <w:p>
            <w:pPr>
              <w:spacing w:after="40" w:before="60" w:line="259" w:lineRule="auto"/>
            </w:pPr>
            <w:r>
              <w:rPr>
                <w:rFonts w:ascii="Calibri" w:hAnsi="Calibri"/>
                <w:b w:val="0"/>
                <w:i w:val="0"/>
                <w:color w:val="212121"/>
                <w:sz w:val="19"/>
              </w:rPr>
              <w:t>Tonsilloliths (tonsil stones) are estimated to account for about 3% of halitosis cases.</w:t>
            </w:r>
          </w:p>
          <w:p>
            <w:pPr>
              <w:spacing w:after="40" w:line="252" w:lineRule="auto"/>
            </w:pPr>
            <w:hyperlink r:id="rId11">
              <w:r>
                <w:rPr>
                  <w:rFonts w:ascii="Calibri" w:hAnsi="Calibri" w:cs="Calibri"/>
                  <w:sz w:val="18"/>
                  <w:color w:val="1155CC"/>
                  <w:u w:val="single"/>
                </w:rPr>
                <w:t xml:space="preserve">en.wikipedia.org — bad breath</w:t>
              </w:r>
            </w:hyperlink>
          </w:p>
          <w:p>
            <w:pPr>
              <w:spacing w:before="60" w:after="40"/>
            </w:pPr>
            <w:r>
              <w:rPr>
                <w:rFonts w:ascii="Calibri" w:hAnsi="Calibri"/>
                <w:b w:val="0"/>
                <w:i w:val="0"/>
                <w:color w:val="5A5A5A"/>
                <w:sz w:val="18"/>
              </w:rPr>
              <w:t>#GERD  #tonsilloliths  #sinusitis  #postnasaldrip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Hepatic / Renal failure</w:t>
            </w:r>
          </w:p>
        </w:tc>
        <w:tc>
          <w:tcPr>
            <w:tcW w:type="dxa" w:w="2160"/>
            <w:vAlign w:val="top"/>
          </w:tcPr>
          <w:p>
            <w:pPr>
              <w:spacing w:after="40" w:before="0" w:line="259" w:lineRule="auto"/>
            </w:pPr>
            <w:r>
              <w:rPr>
                <w:rFonts w:ascii="Calibri" w:hAnsi="Calibri"/>
                <w:b w:val="0"/>
                <w:i w:val="0"/>
                <w:color w:val="212121"/>
                <w:sz w:val="19"/>
              </w:rPr>
              <w:t>Patients with advanced liver or kidney disease</w:t>
            </w:r>
          </w:p>
        </w:tc>
        <w:tc>
          <w:tcPr>
            <w:tcW w:type="dxa" w:w="4276"/>
            <w:vAlign w:val="top"/>
          </w:tcPr>
          <w:p>
            <w:pPr>
              <w:spacing w:after="60" w:line="259" w:lineRule="auto"/>
            </w:pPr>
            <w:r>
              <w:rPr>
                <w:rFonts w:ascii="Calibri" w:hAnsi="Calibri"/>
                <w:b w:val="0"/>
                <w:i w:val="0"/>
                <w:color w:val="212121"/>
                <w:sz w:val="19"/>
              </w:rPr>
              <w:t>Advanced liver failure produces 'fetor hepaticus' (sweetish/musty breath from dimethyl sulphide) and renal failure produces an ammoniacal, urine-like breath. Such systemic odours are blood-borne and smelled equally from the mouth and nose.</w:t>
            </w:r>
          </w:p>
          <w:p>
            <w:pPr>
              <w:spacing w:after="40" w:before="60" w:line="259" w:lineRule="auto"/>
            </w:pPr>
            <w:r>
              <w:rPr>
                <w:rFonts w:ascii="Calibri" w:hAnsi="Calibri"/>
                <w:b w:val="0"/>
                <w:i w:val="0"/>
                <w:color w:val="212121"/>
                <w:sz w:val="19"/>
              </w:rPr>
              <w:t>Fetor hepaticus (liver failure) and uraemic breath (kidney failure) are classic blood-borne systemic causes of malodour.</w:t>
            </w:r>
          </w:p>
          <w:p>
            <w:pPr>
              <w:spacing w:after="40" w:line="252" w:lineRule="auto"/>
            </w:pPr>
            <w:hyperlink r:id="rId11">
              <w:r>
                <w:rPr>
                  <w:rFonts w:ascii="Calibri" w:hAnsi="Calibri" w:cs="Calibri"/>
                  <w:sz w:val="18"/>
                  <w:color w:val="1155CC"/>
                  <w:u w:val="single"/>
                </w:rPr>
                <w:t xml:space="preserve">en.wikipedia.org — bad breath</w:t>
              </w:r>
            </w:hyperlink>
          </w:p>
          <w:p>
            <w:pPr>
              <w:spacing w:before="60" w:after="40"/>
            </w:pPr>
            <w:r>
              <w:rPr>
                <w:rFonts w:ascii="Calibri" w:hAnsi="Calibri"/>
                <w:b w:val="0"/>
                <w:i w:val="0"/>
                <w:color w:val="5A5A5A"/>
                <w:sz w:val="18"/>
              </w:rPr>
              <w:t>#fetorhepaticus  #uremicbreath  #systemic  #bloodborne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link; regular activity lowers obesity, diabetes and periodontal-disease risk, indirectly reducing pathological malodour, though exertional mouth-breathing can transiently dry the mouth.</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Sulphur-rich foods (garlic, onion), fasting/meal-skipping and low-carbohydrate diets directly cause transient malodour, while sugary, sticky foods feed plaque bacteria.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Salivary flow falls during sleep and mouth-breathing worsens it, producing physiological 'morning breath'; obstructive sleep apnoea and nocturnal reflux add to this.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and smokeless tobacco cause their own odour and drive xerostomia and periodontal disease; in Indian dental students, smoking correlated with self-perceived halitosis.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dehydrates and reduces saliva, and acetaldehyde adds odour; intake must be stopped before Halimeter testing as it falsely raises VSC readings.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Pseudohalitosis and halitophobia are psychological conditions; anxiety and stress also reduce salivary flow and can worsen genuine malodour.</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Adequate hydration maintains salivary flow — the mouth's main self-cleansing mechanism; dehydration is a direct and readily reversible cause of malodour.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Coffee and tea leave a lingering odour, and caffeine's mild diuretic and drying effect reduces saliva, contributing to dry-mouth malodour.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Oral and tongue hygiene is the single most important modifiable factor; tongue cleaning, brushing, interdental cleaning and denture care remove the biofilm responsible for most malodour.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Fasting, sulphur-rich meals, dehydration, mouth-breathing, smoking and the menstrual phase acutely provoke or intensify oral malodour.</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Minor role: the supine position promotes gastro-oesophageal reflux, which can aggravate reflux-related malodour; otherwise posture has little effect.</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Tongue coating (Winkel Tongue Coating Index)</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 (no visible coating)</w:t>
            </w:r>
          </w:p>
        </w:tc>
        <w:tc>
          <w:tcPr>
            <w:tcW w:type="dxa" w:w="1512"/>
            <w:vAlign w:val="top"/>
          </w:tcPr>
          <w:p>
            <w:pPr>
              <w:spacing w:after="40" w:before="0" w:line="259" w:lineRule="auto"/>
            </w:pPr>
            <w:r>
              <w:rPr>
                <w:rFonts w:ascii="Calibri" w:hAnsi="Calibri"/>
                <w:b w:val="0"/>
                <w:i w:val="0"/>
                <w:color w:val="212121"/>
                <w:sz w:val="19"/>
              </w:rPr>
              <w:t>Visible coating on posterior dorsum (≥ 1 per sextant)</w:t>
            </w:r>
          </w:p>
        </w:tc>
        <w:tc>
          <w:tcPr>
            <w:tcW w:type="dxa" w:w="1468"/>
            <w:vAlign w:val="top"/>
          </w:tcPr>
          <w:p>
            <w:pPr>
              <w:spacing w:after="60" w:line="259" w:lineRule="auto"/>
            </w:pPr>
            <w:r>
              <w:rPr>
                <w:rFonts w:ascii="Calibri" w:hAnsi="Calibri"/>
                <w:b w:val="0"/>
                <w:i w:val="0"/>
                <w:color w:val="212121"/>
                <w:sz w:val="19"/>
              </w:rPr>
              <w:t>Posterior tongue is the main VSC reservoir</w:t>
            </w:r>
          </w:p>
          <w:p>
            <w:pPr>
              <w:spacing w:after="40" w:line="252" w:lineRule="auto"/>
            </w:pPr>
            <w:hyperlink r:id="rId11">
              <w:r>
                <w:rPr>
                  <w:rFonts w:ascii="Calibri" w:hAnsi="Calibri" w:cs="Calibri"/>
                  <w:sz w:val="18"/>
                  <w:color w:val="1155CC"/>
                  <w:u w:val="single"/>
                </w:rPr>
                <w:t xml:space="preserve">https://en.wikipedia.org/wiki/Bad_breath</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Tooth-brushing &amp; tongue-cleaning frequency</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 2×/day brushing + daily tongue cleaning</w:t>
            </w:r>
          </w:p>
        </w:tc>
        <w:tc>
          <w:tcPr>
            <w:tcW w:type="dxa" w:w="1512"/>
            <w:vAlign w:val="top"/>
          </w:tcPr>
          <w:p>
            <w:pPr>
              <w:spacing w:after="40" w:before="0" w:line="259" w:lineRule="auto"/>
            </w:pPr>
            <w:r>
              <w:rPr>
                <w:rFonts w:ascii="Calibri" w:hAnsi="Calibri"/>
                <w:b w:val="0"/>
                <w:i w:val="0"/>
                <w:color w:val="212121"/>
                <w:sz w:val="19"/>
              </w:rPr>
              <w:t>&lt; 2×/day or no tongue cleaning</w:t>
            </w:r>
          </w:p>
        </w:tc>
        <w:tc>
          <w:tcPr>
            <w:tcW w:type="dxa" w:w="1468"/>
            <w:vAlign w:val="top"/>
          </w:tcPr>
          <w:p>
            <w:pPr>
              <w:spacing w:after="60" w:line="259" w:lineRule="auto"/>
            </w:pPr>
            <w:r>
              <w:rPr>
                <w:rFonts w:ascii="Calibri" w:hAnsi="Calibri"/>
                <w:b w:val="0"/>
                <w:i w:val="0"/>
                <w:color w:val="212121"/>
                <w:sz w:val="19"/>
              </w:rPr>
              <w:t>Infrequent brushing was linked to self-perceived halitosis in Delhi adults</w:t>
            </w:r>
          </w:p>
          <w:p>
            <w:pPr>
              <w:spacing w:after="40" w:line="252" w:lineRule="auto"/>
            </w:pPr>
            <w:hyperlink r:id="rId9">
              <w:r>
                <w:rPr>
                  <w:rFonts w:ascii="Calibri" w:hAnsi="Calibri" w:cs="Calibri"/>
                  <w:sz w:val="18"/>
                  <w:color w:val="1155CC"/>
                  <w:u w:val="single"/>
                </w:rPr>
                <w:t xml:space="preserve">https://www.cureus.com/articles/114422-self-perceived-halitosis-and-related-factors-among-the-mask-wearing-population-during-the-covid-19-pandemic-in-delhi-india-a-cross-sectional-study</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Organoleptic score (0–5)</w:t>
            </w:r>
          </w:p>
        </w:tc>
        <w:tc>
          <w:tcPr>
            <w:tcW w:type="dxa" w:w="1655"/>
            <w:vAlign w:val="top"/>
          </w:tcPr>
          <w:p>
            <w:pPr>
              <w:spacing w:after="40" w:before="0" w:line="259" w:lineRule="auto"/>
            </w:pPr>
            <w:r>
              <w:rPr>
                <w:rFonts w:ascii="Calibri" w:hAnsi="Calibri"/>
                <w:b w:val="0"/>
                <w:i w:val="0"/>
                <w:color w:val="212121"/>
                <w:sz w:val="19"/>
              </w:rPr>
              <w:t>Patients with halitosis</w:t>
            </w:r>
          </w:p>
        </w:tc>
        <w:tc>
          <w:tcPr>
            <w:tcW w:type="dxa" w:w="1512"/>
            <w:vAlign w:val="top"/>
          </w:tcPr>
          <w:p>
            <w:pPr>
              <w:spacing w:after="40" w:before="0" w:line="259" w:lineRule="auto"/>
            </w:pPr>
            <w:r>
              <w:rPr>
                <w:rFonts w:ascii="Calibri" w:hAnsi="Calibri"/>
                <w:b w:val="0"/>
                <w:i w:val="0"/>
                <w:color w:val="212121"/>
                <w:sz w:val="19"/>
              </w:rPr>
              <w:t>0–1</w:t>
            </w:r>
          </w:p>
        </w:tc>
        <w:tc>
          <w:tcPr>
            <w:tcW w:type="dxa" w:w="1512"/>
            <w:vAlign w:val="top"/>
          </w:tcPr>
          <w:p>
            <w:pPr>
              <w:spacing w:after="40" w:before="0" w:line="259" w:lineRule="auto"/>
            </w:pPr>
            <w:r>
              <w:rPr>
                <w:rFonts w:ascii="Calibri" w:hAnsi="Calibri"/>
                <w:b w:val="0"/>
                <w:i w:val="0"/>
                <w:color w:val="212121"/>
                <w:sz w:val="19"/>
              </w:rPr>
              <w:t>≥ 2 (socially noticeable)</w:t>
            </w:r>
          </w:p>
        </w:tc>
        <w:tc>
          <w:tcPr>
            <w:tcW w:type="dxa" w:w="1468"/>
            <w:vAlign w:val="top"/>
          </w:tcPr>
          <w:p>
            <w:pPr>
              <w:spacing w:after="60" w:line="259" w:lineRule="auto"/>
            </w:pPr>
            <w:r>
              <w:rPr>
                <w:rFonts w:ascii="Calibri" w:hAnsi="Calibri"/>
                <w:b w:val="0"/>
                <w:i w:val="0"/>
                <w:color w:val="212121"/>
                <w:sz w:val="19"/>
              </w:rPr>
              <w:t>Reference-standard severity grade</w:t>
            </w:r>
          </w:p>
          <w:p>
            <w:pPr>
              <w:spacing w:after="40" w:line="252" w:lineRule="auto"/>
            </w:pPr>
            <w:hyperlink r:id="rId11">
              <w:r>
                <w:rPr>
                  <w:rFonts w:ascii="Calibri" w:hAnsi="Calibri" w:cs="Calibri"/>
                  <w:sz w:val="18"/>
                  <w:color w:val="1155CC"/>
                  <w:u w:val="single"/>
                </w:rPr>
                <w:t xml:space="preserve">https://en.wikipedia.org/wiki/Bad_breath</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Halimeter VSC (hydrogen sulphide)</w:t>
            </w:r>
          </w:p>
        </w:tc>
        <w:tc>
          <w:tcPr>
            <w:tcW w:type="dxa" w:w="1655"/>
            <w:vAlign w:val="top"/>
          </w:tcPr>
          <w:p>
            <w:pPr>
              <w:spacing w:after="40" w:before="0" w:line="259" w:lineRule="auto"/>
            </w:pPr>
            <w:r>
              <w:rPr>
                <w:rFonts w:ascii="Calibri" w:hAnsi="Calibri"/>
                <w:b w:val="0"/>
                <w:i w:val="0"/>
                <w:color w:val="212121"/>
                <w:sz w:val="19"/>
              </w:rPr>
              <w:t>Patients with halitosis</w:t>
            </w:r>
          </w:p>
        </w:tc>
        <w:tc>
          <w:tcPr>
            <w:tcW w:type="dxa" w:w="1512"/>
            <w:vAlign w:val="top"/>
          </w:tcPr>
          <w:p>
            <w:pPr>
              <w:spacing w:after="40" w:before="0" w:line="259" w:lineRule="auto"/>
            </w:pPr>
            <w:r>
              <w:rPr>
                <w:rFonts w:ascii="Calibri" w:hAnsi="Calibri"/>
                <w:b w:val="0"/>
                <w:i w:val="0"/>
                <w:color w:val="212121"/>
                <w:sz w:val="19"/>
              </w:rPr>
              <w:t>&lt; 100 ppb</w:t>
            </w:r>
          </w:p>
        </w:tc>
        <w:tc>
          <w:tcPr>
            <w:tcW w:type="dxa" w:w="1512"/>
            <w:vAlign w:val="top"/>
          </w:tcPr>
          <w:p>
            <w:pPr>
              <w:spacing w:after="40" w:before="0" w:line="259" w:lineRule="auto"/>
            </w:pPr>
            <w:r>
              <w:rPr>
                <w:rFonts w:ascii="Calibri" w:hAnsi="Calibri"/>
                <w:b w:val="0"/>
                <w:i w:val="0"/>
                <w:color w:val="212121"/>
                <w:sz w:val="19"/>
              </w:rPr>
              <w:t>≥ 150 ppb</w:t>
            </w:r>
          </w:p>
        </w:tc>
        <w:tc>
          <w:tcPr>
            <w:tcW w:type="dxa" w:w="1468"/>
            <w:vAlign w:val="top"/>
          </w:tcPr>
          <w:p>
            <w:pPr>
              <w:spacing w:after="40" w:before="0" w:line="259" w:lineRule="auto"/>
            </w:pPr>
            <w:r>
              <w:rPr>
                <w:rFonts w:ascii="Calibri" w:hAnsi="Calibri"/>
                <w:b w:val="0"/>
                <w:i w:val="0"/>
                <w:color w:val="212121"/>
                <w:sz w:val="19"/>
              </w:rPr>
              <w:t>Avoid food, smoking, alcohol and rinses before testing</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Unstimulated salivary flow rate</w:t>
            </w:r>
          </w:p>
        </w:tc>
        <w:tc>
          <w:tcPr>
            <w:tcW w:type="dxa" w:w="1655"/>
            <w:vAlign w:val="top"/>
          </w:tcPr>
          <w:p>
            <w:pPr>
              <w:spacing w:after="40" w:before="0" w:line="259" w:lineRule="auto"/>
            </w:pPr>
            <w:r>
              <w:rPr>
                <w:rFonts w:ascii="Calibri" w:hAnsi="Calibri"/>
                <w:b w:val="0"/>
                <w:i w:val="0"/>
                <w:color w:val="212121"/>
                <w:sz w:val="19"/>
              </w:rPr>
              <w:t>Xerostomia, elderly</w:t>
            </w:r>
          </w:p>
        </w:tc>
        <w:tc>
          <w:tcPr>
            <w:tcW w:type="dxa" w:w="1512"/>
            <w:vAlign w:val="top"/>
          </w:tcPr>
          <w:p>
            <w:pPr>
              <w:spacing w:after="40" w:before="0" w:line="259" w:lineRule="auto"/>
            </w:pPr>
            <w:r>
              <w:rPr>
                <w:rFonts w:ascii="Calibri" w:hAnsi="Calibri"/>
                <w:b w:val="0"/>
                <w:i w:val="0"/>
                <w:color w:val="212121"/>
                <w:sz w:val="19"/>
              </w:rPr>
              <w:t>≥ 0.1 mL/min</w:t>
            </w:r>
          </w:p>
        </w:tc>
        <w:tc>
          <w:tcPr>
            <w:tcW w:type="dxa" w:w="1512"/>
            <w:vAlign w:val="top"/>
          </w:tcPr>
          <w:p>
            <w:pPr>
              <w:spacing w:after="40" w:before="0" w:line="259" w:lineRule="auto"/>
            </w:pPr>
            <w:r>
              <w:rPr>
                <w:rFonts w:ascii="Calibri" w:hAnsi="Calibri"/>
                <w:b w:val="0"/>
                <w:i w:val="0"/>
                <w:color w:val="212121"/>
                <w:sz w:val="19"/>
              </w:rPr>
              <w:t>&lt; 0.1 mL/min (hyposalivation)</w:t>
            </w:r>
          </w:p>
        </w:tc>
        <w:tc>
          <w:tcPr>
            <w:tcW w:type="dxa" w:w="1468"/>
            <w:vAlign w:val="top"/>
          </w:tcPr>
          <w:p>
            <w:pPr>
              <w:spacing w:after="40" w:before="0" w:line="259" w:lineRule="auto"/>
            </w:pPr>
            <w:r>
              <w:rPr>
                <w:rFonts w:ascii="Calibri" w:hAnsi="Calibri"/>
                <w:b w:val="0"/>
                <w:i w:val="0"/>
                <w:color w:val="212121"/>
                <w:sz w:val="19"/>
              </w:rPr>
              <w:t>Low flow reduces clearance and drives malodour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water intake</w:t>
            </w:r>
          </w:p>
        </w:tc>
        <w:tc>
          <w:tcPr>
            <w:tcW w:type="dxa" w:w="1655"/>
            <w:vAlign w:val="top"/>
          </w:tcPr>
          <w:p>
            <w:pPr>
              <w:spacing w:after="40" w:before="0" w:line="259" w:lineRule="auto"/>
            </w:pPr>
            <w:r>
              <w:rPr>
                <w:rFonts w:ascii="Calibri" w:hAnsi="Calibri"/>
                <w:b w:val="0"/>
                <w:i w:val="0"/>
                <w:color w:val="212121"/>
                <w:sz w:val="19"/>
              </w:rPr>
              <w:t>Adults, mouth-breathers</w:t>
            </w:r>
          </w:p>
        </w:tc>
        <w:tc>
          <w:tcPr>
            <w:tcW w:type="dxa" w:w="1512"/>
            <w:vAlign w:val="top"/>
          </w:tcPr>
          <w:p>
            <w:pPr>
              <w:spacing w:after="40" w:before="0" w:line="259" w:lineRule="auto"/>
            </w:pPr>
            <w:r>
              <w:rPr>
                <w:rFonts w:ascii="Calibri" w:hAnsi="Calibri"/>
                <w:b w:val="0"/>
                <w:i w:val="0"/>
                <w:color w:val="212121"/>
                <w:sz w:val="19"/>
              </w:rPr>
              <w:t>~2–3 L/day (adjust to climate/activity)</w:t>
            </w:r>
          </w:p>
        </w:tc>
        <w:tc>
          <w:tcPr>
            <w:tcW w:type="dxa" w:w="1512"/>
            <w:vAlign w:val="top"/>
          </w:tcPr>
          <w:p>
            <w:pPr>
              <w:spacing w:after="40" w:before="0" w:line="259" w:lineRule="auto"/>
            </w:pPr>
            <w:r>
              <w:rPr>
                <w:rFonts w:ascii="Calibri" w:hAnsi="Calibri"/>
                <w:b w:val="0"/>
                <w:i w:val="0"/>
                <w:color w:val="212121"/>
                <w:sz w:val="19"/>
              </w:rPr>
              <w:t>Chronic under-hydration / dry mouth</w:t>
            </w:r>
          </w:p>
        </w:tc>
        <w:tc>
          <w:tcPr>
            <w:tcW w:type="dxa" w:w="1468"/>
            <w:vAlign w:val="top"/>
          </w:tcPr>
          <w:p>
            <w:pPr>
              <w:spacing w:after="40" w:before="0" w:line="259" w:lineRule="auto"/>
            </w:pPr>
            <w:r>
              <w:rPr>
                <w:rFonts w:ascii="Calibri" w:hAnsi="Calibri"/>
                <w:b w:val="0"/>
                <w:i w:val="0"/>
                <w:color w:val="212121"/>
                <w:sz w:val="19"/>
              </w:rPr>
              <w:t>Hydration sustains protective salivary flow</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Sulphur-food / fasting exposure</w:t>
            </w:r>
          </w:p>
        </w:tc>
        <w:tc>
          <w:tcPr>
            <w:tcW w:type="dxa" w:w="1655"/>
            <w:vAlign w:val="top"/>
          </w:tcPr>
          <w:p>
            <w:pPr>
              <w:spacing w:after="40" w:before="0" w:line="259" w:lineRule="auto"/>
            </w:pPr>
            <w:r>
              <w:rPr>
                <w:rFonts w:ascii="Calibri" w:hAnsi="Calibri"/>
                <w:b w:val="0"/>
                <w:i w:val="0"/>
                <w:color w:val="212121"/>
                <w:sz w:val="19"/>
              </w:rPr>
              <w:t>Diet-related malodour</w:t>
            </w:r>
          </w:p>
        </w:tc>
        <w:tc>
          <w:tcPr>
            <w:tcW w:type="dxa" w:w="1512"/>
            <w:vAlign w:val="top"/>
          </w:tcPr>
          <w:p>
            <w:pPr>
              <w:spacing w:after="40" w:before="0" w:line="259" w:lineRule="auto"/>
            </w:pPr>
            <w:r>
              <w:rPr>
                <w:rFonts w:ascii="Calibri" w:hAnsi="Calibri"/>
                <w:b w:val="0"/>
                <w:i w:val="0"/>
                <w:color w:val="212121"/>
                <w:sz w:val="19"/>
              </w:rPr>
              <w:t>Avoid before social contact; regular meals</w:t>
            </w:r>
          </w:p>
        </w:tc>
        <w:tc>
          <w:tcPr>
            <w:tcW w:type="dxa" w:w="1512"/>
            <w:vAlign w:val="top"/>
          </w:tcPr>
          <w:p>
            <w:pPr>
              <w:spacing w:after="40" w:before="0" w:line="259" w:lineRule="auto"/>
            </w:pPr>
            <w:r>
              <w:rPr>
                <w:rFonts w:ascii="Calibri" w:hAnsi="Calibri"/>
                <w:b w:val="0"/>
                <w:i w:val="0"/>
                <w:color w:val="212121"/>
                <w:sz w:val="19"/>
              </w:rPr>
              <w:t>Garlic/onion load, prolonged fasting, ketogenic diet</w:t>
            </w:r>
          </w:p>
        </w:tc>
        <w:tc>
          <w:tcPr>
            <w:tcW w:type="dxa" w:w="1468"/>
            <w:vAlign w:val="top"/>
          </w:tcPr>
          <w:p>
            <w:pPr>
              <w:spacing w:after="60" w:line="259" w:lineRule="auto"/>
            </w:pPr>
            <w:r>
              <w:rPr>
                <w:rFonts w:ascii="Calibri" w:hAnsi="Calibri"/>
                <w:b w:val="0"/>
                <w:i w:val="0"/>
                <w:color w:val="212121"/>
                <w:sz w:val="19"/>
              </w:rPr>
              <w:t>Exhaled from the lungs; not removed by brushing</w:t>
            </w:r>
          </w:p>
          <w:p>
            <w:pPr>
              <w:spacing w:after="40" w:line="252" w:lineRule="auto"/>
            </w:pPr>
            <w:hyperlink r:id="rId13">
              <w:r>
                <w:rPr>
                  <w:rFonts w:ascii="Calibri" w:hAnsi="Calibri" w:cs="Calibri"/>
                  <w:sz w:val="18"/>
                  <w:color w:val="1155CC"/>
                  <w:u w:val="single"/>
                </w:rPr>
                <w:t xml:space="preserve">https://www.mayoclinic.org/diseases-conditions/bad-breath/symptoms-causes/syc-20350922</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(smoked or smokeless)</w:t>
            </w:r>
          </w:p>
        </w:tc>
        <w:tc>
          <w:tcPr>
            <w:tcW w:type="dxa" w:w="1655"/>
            <w:vAlign w:val="top"/>
          </w:tcPr>
          <w:p>
            <w:pPr>
              <w:spacing w:after="40" w:before="0" w:line="259" w:lineRule="auto"/>
            </w:pPr>
            <w:r>
              <w:rPr>
                <w:rFonts w:ascii="Calibri" w:hAnsi="Calibri"/>
                <w:b w:val="0"/>
                <w:i w:val="0"/>
                <w:color w:val="212121"/>
                <w:sz w:val="19"/>
              </w:rPr>
              <w:t>Teenagers, adults, elderly</w:t>
            </w:r>
          </w:p>
        </w:tc>
        <w:tc>
          <w:tcPr>
            <w:tcW w:type="dxa" w:w="1512"/>
            <w:vAlign w:val="top"/>
          </w:tcPr>
          <w:p>
            <w:pPr>
              <w:spacing w:after="40" w:before="0" w:line="259" w:lineRule="auto"/>
            </w:pPr>
            <w:r>
              <w:rPr>
                <w:rFonts w:ascii="Calibri" w:hAnsi="Calibri"/>
                <w:b w:val="0"/>
                <w:i w:val="0"/>
                <w:color w:val="212121"/>
                <w:sz w:val="19"/>
              </w:rPr>
              <w:t>0 (non-user)</w:t>
            </w:r>
          </w:p>
        </w:tc>
        <w:tc>
          <w:tcPr>
            <w:tcW w:type="dxa" w:w="1512"/>
            <w:vAlign w:val="top"/>
          </w:tcPr>
          <w:p>
            <w:pPr>
              <w:spacing w:after="40" w:before="0" w:line="259" w:lineRule="auto"/>
            </w:pPr>
            <w:r>
              <w:rPr>
                <w:rFonts w:ascii="Calibri" w:hAnsi="Calibri"/>
                <w:b w:val="0"/>
                <w:i w:val="0"/>
                <w:color w:val="212121"/>
                <w:sz w:val="19"/>
              </w:rPr>
              <w:t>Any cigarettes, bidi, gutka or betel-quid</w:t>
            </w:r>
          </w:p>
        </w:tc>
        <w:tc>
          <w:tcPr>
            <w:tcW w:type="dxa" w:w="1468"/>
            <w:vAlign w:val="top"/>
          </w:tcPr>
          <w:p>
            <w:pPr>
              <w:spacing w:after="60" w:line="259" w:lineRule="auto"/>
            </w:pPr>
            <w:r>
              <w:rPr>
                <w:rFonts w:ascii="Calibri" w:hAnsi="Calibri"/>
                <w:b w:val="0"/>
                <w:i w:val="0"/>
                <w:color w:val="212121"/>
                <w:sz w:val="19"/>
              </w:rPr>
              <w:t>Adds odour and drives periodontal disease and xerostomia</w:t>
            </w:r>
          </w:p>
          <w:p>
            <w:pPr>
              <w:spacing w:after="40" w:line="252" w:lineRule="auto"/>
            </w:pPr>
            <w:hyperlink r:id="rId12">
              <w:r>
                <w:rPr>
                  <w:rFonts w:ascii="Calibri" w:hAnsi="Calibri" w:cs="Calibri"/>
                  <w:sz w:val="18"/>
                  <w:color w:val="1155CC"/>
                  <w:u w:val="single"/>
                </w:rPr>
                <w:t xml:space="preserve">https://pubmed.ncbi.nlm.nih.gov/24678201/</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Heavy drinkers</w:t>
            </w:r>
          </w:p>
        </w:tc>
        <w:tc>
          <w:tcPr>
            <w:tcW w:type="dxa" w:w="1512"/>
            <w:vAlign w:val="top"/>
          </w:tcPr>
          <w:p>
            <w:pPr>
              <w:spacing w:after="40" w:before="0" w:line="259" w:lineRule="auto"/>
            </w:pPr>
            <w:r>
              <w:rPr>
                <w:rFonts w:ascii="Calibri" w:hAnsi="Calibri"/>
                <w:b w:val="0"/>
                <w:i w:val="0"/>
                <w:color w:val="212121"/>
                <w:sz w:val="19"/>
              </w:rPr>
              <w:t>≤ moderate; none before breath testing</w:t>
            </w:r>
          </w:p>
        </w:tc>
        <w:tc>
          <w:tcPr>
            <w:tcW w:type="dxa" w:w="1512"/>
            <w:vAlign w:val="top"/>
          </w:tcPr>
          <w:p>
            <w:pPr>
              <w:spacing w:after="40" w:before="0" w:line="259" w:lineRule="auto"/>
            </w:pPr>
            <w:r>
              <w:rPr>
                <w:rFonts w:ascii="Calibri" w:hAnsi="Calibri"/>
                <w:b w:val="0"/>
                <w:i w:val="0"/>
                <w:color w:val="212121"/>
                <w:sz w:val="19"/>
              </w:rPr>
              <w:t>Heavy/daily use; any within 12 h of a Halimeter test</w:t>
            </w:r>
          </w:p>
        </w:tc>
        <w:tc>
          <w:tcPr>
            <w:tcW w:type="dxa" w:w="1468"/>
            <w:vAlign w:val="top"/>
          </w:tcPr>
          <w:p>
            <w:pPr>
              <w:spacing w:after="60" w:line="259" w:lineRule="auto"/>
            </w:pPr>
            <w:r>
              <w:rPr>
                <w:rFonts w:ascii="Calibri" w:hAnsi="Calibri"/>
                <w:b w:val="0"/>
                <w:i w:val="0"/>
                <w:color w:val="212121"/>
                <w:sz w:val="19"/>
              </w:rPr>
              <w:t>Dehydration and falsely high VSC readings</w:t>
            </w:r>
          </w:p>
          <w:p>
            <w:pPr>
              <w:spacing w:after="40" w:line="252" w:lineRule="auto"/>
            </w:pPr>
            <w:hyperlink r:id="rId11">
              <w:r>
                <w:rPr>
                  <w:rFonts w:ascii="Calibri" w:hAnsi="Calibri" w:cs="Calibri"/>
                  <w:sz w:val="18"/>
                  <w:color w:val="1155CC"/>
                  <w:u w:val="single"/>
                </w:rPr>
                <w:t xml:space="preserve">https://en.wikipedia.org/wiki/Bad_breath</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Nocturnal mouth-breathing / snoring</w:t>
            </w:r>
          </w:p>
        </w:tc>
        <w:tc>
          <w:tcPr>
            <w:tcW w:type="dxa" w:w="1655"/>
            <w:vAlign w:val="top"/>
          </w:tcPr>
          <w:p>
            <w:pPr>
              <w:spacing w:after="40" w:before="0" w:line="259" w:lineRule="auto"/>
            </w:pPr>
            <w:r>
              <w:rPr>
                <w:rFonts w:ascii="Calibri" w:hAnsi="Calibri"/>
                <w:b w:val="0"/>
                <w:i w:val="0"/>
                <w:color w:val="212121"/>
                <w:sz w:val="19"/>
              </w:rPr>
              <w:t>Snorers, OSA, nasal obstruction</w:t>
            </w:r>
          </w:p>
        </w:tc>
        <w:tc>
          <w:tcPr>
            <w:tcW w:type="dxa" w:w="1512"/>
            <w:vAlign w:val="top"/>
          </w:tcPr>
          <w:p>
            <w:pPr>
              <w:spacing w:after="40" w:before="0" w:line="259" w:lineRule="auto"/>
            </w:pPr>
            <w:r>
              <w:rPr>
                <w:rFonts w:ascii="Calibri" w:hAnsi="Calibri"/>
                <w:b w:val="0"/>
                <w:i w:val="0"/>
                <w:color w:val="212121"/>
                <w:sz w:val="19"/>
              </w:rPr>
              <w:t>Nasal breathing; treated obstruction</w:t>
            </w:r>
          </w:p>
        </w:tc>
        <w:tc>
          <w:tcPr>
            <w:tcW w:type="dxa" w:w="1512"/>
            <w:vAlign w:val="top"/>
          </w:tcPr>
          <w:p>
            <w:pPr>
              <w:spacing w:after="40" w:before="0" w:line="259" w:lineRule="auto"/>
            </w:pPr>
            <w:r>
              <w:rPr>
                <w:rFonts w:ascii="Calibri" w:hAnsi="Calibri"/>
                <w:b w:val="0"/>
                <w:i w:val="0"/>
                <w:color w:val="212121"/>
                <w:sz w:val="19"/>
              </w:rPr>
              <w:t>Habitual mouth-breathing; untreated OSA</w:t>
            </w:r>
          </w:p>
        </w:tc>
        <w:tc>
          <w:tcPr>
            <w:tcW w:type="dxa" w:w="1468"/>
            <w:vAlign w:val="top"/>
          </w:tcPr>
          <w:p>
            <w:pPr>
              <w:spacing w:after="40" w:before="0" w:line="259" w:lineRule="auto"/>
            </w:pPr>
            <w:r>
              <w:rPr>
                <w:rFonts w:ascii="Calibri" w:hAnsi="Calibri"/>
                <w:b w:val="0"/>
                <w:i w:val="0"/>
                <w:color w:val="212121"/>
                <w:sz w:val="19"/>
              </w:rPr>
              <w:t>Overnight drying produces morning breath</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Instrumental</w:t>
            </w:r>
          </w:p>
        </w:tc>
        <w:tc>
          <w:tcPr>
            <w:tcW w:type="dxa" w:w="1036"/>
            <w:vAlign w:val="top"/>
          </w:tcPr>
          <w:p>
            <w:pPr>
              <w:spacing w:after="40" w:before="0" w:line="259" w:lineRule="auto"/>
            </w:pPr>
            <w:r>
              <w:rPr>
                <w:rFonts w:ascii="Calibri" w:hAnsi="Calibri"/>
                <w:b w:val="0"/>
                <w:i w:val="0"/>
                <w:color w:val="212121"/>
                <w:sz w:val="16"/>
              </w:rPr>
              <w:t>Volatile sulphur compounds (hydrogen sulphide)</w:t>
            </w:r>
          </w:p>
        </w:tc>
        <w:tc>
          <w:tcPr>
            <w:tcW w:type="dxa" w:w="892"/>
            <w:vAlign w:val="top"/>
          </w:tcPr>
          <w:p>
            <w:pPr>
              <w:spacing w:after="40" w:before="0" w:line="259" w:lineRule="auto"/>
            </w:pPr>
            <w:r>
              <w:rPr>
                <w:rFonts w:ascii="Calibri" w:hAnsi="Calibri"/>
                <w:b w:val="0"/>
                <w:i w:val="0"/>
                <w:color w:val="212121"/>
                <w:sz w:val="16"/>
              </w:rPr>
              <w:t>Portable sulphide monitor (Halimeter)</w:t>
            </w:r>
          </w:p>
        </w:tc>
        <w:tc>
          <w:tcPr>
            <w:tcW w:type="dxa" w:w="950"/>
            <w:vAlign w:val="top"/>
          </w:tcPr>
          <w:p>
            <w:pPr>
              <w:spacing w:after="40" w:before="0" w:line="259" w:lineRule="auto"/>
            </w:pPr>
            <w:r>
              <w:rPr>
                <w:rFonts w:ascii="Calibri" w:hAnsi="Calibri"/>
                <w:b w:val="0"/>
                <w:i w:val="0"/>
                <w:color w:val="212121"/>
                <w:sz w:val="16"/>
              </w:rPr>
              <w:t>&lt; 100 ppb</w:t>
            </w:r>
          </w:p>
        </w:tc>
        <w:tc>
          <w:tcPr>
            <w:tcW w:type="dxa" w:w="950"/>
            <w:vAlign w:val="top"/>
          </w:tcPr>
          <w:p>
            <w:pPr>
              <w:spacing w:after="40" w:before="0" w:line="259" w:lineRule="auto"/>
            </w:pPr>
            <w:r>
              <w:rPr>
                <w:rFonts w:ascii="Calibri" w:hAnsi="Calibri"/>
                <w:b w:val="0"/>
                <w:i w:val="0"/>
                <w:color w:val="212121"/>
                <w:sz w:val="16"/>
              </w:rPr>
              <w:t>≥ 150 ppb</w:t>
            </w:r>
          </w:p>
        </w:tc>
        <w:tc>
          <w:tcPr>
            <w:tcW w:type="dxa" w:w="1036"/>
            <w:vAlign w:val="top"/>
          </w:tcPr>
          <w:p>
            <w:pPr>
              <w:spacing w:after="40" w:before="0" w:line="259" w:lineRule="auto"/>
            </w:pPr>
            <w:r>
              <w:rPr>
                <w:rFonts w:ascii="Calibri" w:hAnsi="Calibri"/>
                <w:b w:val="0"/>
                <w:i w:val="0"/>
                <w:color w:val="212121"/>
                <w:sz w:val="16"/>
              </w:rPr>
              <w:t>Quantifies oral VSC for screening and monitoring of malodour</w:t>
            </w:r>
          </w:p>
        </w:tc>
        <w:tc>
          <w:tcPr>
            <w:tcW w:type="dxa" w:w="1036"/>
            <w:vAlign w:val="top"/>
          </w:tcPr>
          <w:p>
            <w:pPr>
              <w:spacing w:after="40" w:before="0" w:line="259" w:lineRule="auto"/>
            </w:pPr>
            <w:r>
              <w:rPr>
                <w:rFonts w:ascii="Calibri" w:hAnsi="Calibri"/>
                <w:b w:val="0"/>
                <w:i w:val="0"/>
                <w:color w:val="212121"/>
                <w:sz w:val="16"/>
              </w:rPr>
              <w:t>Adults with persistent halitosis, periodontitis, heavy tongue coating</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Avoid eating, smoking, alcohol and oral rinses beforehand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Instrumental</w:t>
            </w:r>
          </w:p>
        </w:tc>
        <w:tc>
          <w:tcPr>
            <w:tcW w:type="dxa" w:w="1036"/>
            <w:vAlign w:val="top"/>
          </w:tcPr>
          <w:p>
            <w:pPr>
              <w:spacing w:after="40" w:before="0" w:line="259" w:lineRule="auto"/>
            </w:pPr>
            <w:r>
              <w:rPr>
                <w:rFonts w:ascii="Calibri" w:hAnsi="Calibri"/>
                <w:b w:val="0"/>
                <w:i w:val="0"/>
                <w:color w:val="212121"/>
                <w:sz w:val="16"/>
              </w:rPr>
              <w:t>H2S, methyl mercaptan, dimethyl sulphide (separately)</w:t>
            </w:r>
          </w:p>
        </w:tc>
        <w:tc>
          <w:tcPr>
            <w:tcW w:type="dxa" w:w="892"/>
            <w:vAlign w:val="top"/>
          </w:tcPr>
          <w:p>
            <w:pPr>
              <w:spacing w:after="40" w:before="0" w:line="259" w:lineRule="auto"/>
            </w:pPr>
            <w:r>
              <w:rPr>
                <w:rFonts w:ascii="Calibri" w:hAnsi="Calibri"/>
                <w:b w:val="0"/>
                <w:i w:val="0"/>
                <w:color w:val="212121"/>
                <w:sz w:val="16"/>
              </w:rPr>
              <w:t>Gas chromatography (GC-FPD/SCD)</w:t>
            </w:r>
          </w:p>
        </w:tc>
        <w:tc>
          <w:tcPr>
            <w:tcW w:type="dxa" w:w="950"/>
            <w:vAlign w:val="top"/>
          </w:tcPr>
          <w:p>
            <w:pPr>
              <w:spacing w:after="40" w:before="0" w:line="259" w:lineRule="auto"/>
            </w:pPr>
            <w:r>
              <w:rPr>
                <w:rFonts w:ascii="Calibri" w:hAnsi="Calibri"/>
                <w:b w:val="0"/>
                <w:i w:val="0"/>
                <w:color w:val="212121"/>
                <w:sz w:val="16"/>
              </w:rPr>
              <w:t>Below odour thresholds</w:t>
            </w:r>
          </w:p>
        </w:tc>
        <w:tc>
          <w:tcPr>
            <w:tcW w:type="dxa" w:w="950"/>
            <w:vAlign w:val="top"/>
          </w:tcPr>
          <w:p>
            <w:pPr>
              <w:spacing w:after="40" w:before="0" w:line="259" w:lineRule="auto"/>
            </w:pPr>
            <w:r>
              <w:rPr>
                <w:rFonts w:ascii="Calibri" w:hAnsi="Calibri"/>
                <w:b w:val="0"/>
                <w:i w:val="0"/>
                <w:color w:val="212121"/>
                <w:sz w:val="16"/>
              </w:rPr>
              <w:t>Elevated individual VSCs</w:t>
            </w:r>
          </w:p>
        </w:tc>
        <w:tc>
          <w:tcPr>
            <w:tcW w:type="dxa" w:w="1036"/>
            <w:vAlign w:val="top"/>
          </w:tcPr>
          <w:p>
            <w:pPr>
              <w:spacing w:after="40" w:before="0" w:line="259" w:lineRule="auto"/>
            </w:pPr>
            <w:r>
              <w:rPr>
                <w:rFonts w:ascii="Calibri" w:hAnsi="Calibri"/>
                <w:b w:val="0"/>
                <w:i w:val="0"/>
                <w:color w:val="212121"/>
                <w:sz w:val="16"/>
              </w:rPr>
              <w:t>Definitive; high methyl mercaptan suggests a periodontal source, high dimethyl sulphide suggests a blood-borne/extra-oral source</w:t>
            </w:r>
          </w:p>
        </w:tc>
        <w:tc>
          <w:tcPr>
            <w:tcW w:type="dxa" w:w="1036"/>
            <w:vAlign w:val="top"/>
          </w:tcPr>
          <w:p>
            <w:pPr>
              <w:spacing w:after="40" w:before="0" w:line="259" w:lineRule="auto"/>
            </w:pPr>
            <w:r>
              <w:rPr>
                <w:rFonts w:ascii="Calibri" w:hAnsi="Calibri"/>
                <w:b w:val="0"/>
                <w:i w:val="0"/>
                <w:color w:val="212121"/>
                <w:sz w:val="16"/>
              </w:rPr>
              <w:t>Refractory or suspected extra-oral halitosis; research</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Reference method; not widely available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 / Enzymatic</w:t>
            </w:r>
          </w:p>
        </w:tc>
        <w:tc>
          <w:tcPr>
            <w:tcW w:type="dxa" w:w="1036"/>
            <w:vAlign w:val="top"/>
          </w:tcPr>
          <w:p>
            <w:pPr>
              <w:spacing w:after="40" w:before="0" w:line="259" w:lineRule="auto"/>
            </w:pPr>
            <w:r>
              <w:rPr>
                <w:rFonts w:ascii="Calibri" w:hAnsi="Calibri"/>
                <w:b w:val="0"/>
                <w:i w:val="0"/>
                <w:color w:val="212121"/>
                <w:sz w:val="16"/>
              </w:rPr>
              <w:t>Proteolytic anaerobes</w:t>
            </w:r>
          </w:p>
        </w:tc>
        <w:tc>
          <w:tcPr>
            <w:tcW w:type="dxa" w:w="892"/>
            <w:vAlign w:val="top"/>
          </w:tcPr>
          <w:p>
            <w:pPr>
              <w:spacing w:after="40" w:before="0" w:line="259" w:lineRule="auto"/>
            </w:pPr>
            <w:r>
              <w:rPr>
                <w:rFonts w:ascii="Calibri" w:hAnsi="Calibri"/>
                <w:b w:val="0"/>
                <w:i w:val="0"/>
                <w:color w:val="212121"/>
                <w:sz w:val="16"/>
              </w:rPr>
              <w:t>BANA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Detects P. gingivalis / T. forsythia / T. denticola linked to periodontal malodour</w:t>
            </w:r>
          </w:p>
        </w:tc>
        <w:tc>
          <w:tcPr>
            <w:tcW w:type="dxa" w:w="1036"/>
            <w:vAlign w:val="top"/>
          </w:tcPr>
          <w:p>
            <w:pPr>
              <w:spacing w:after="40" w:before="0" w:line="259" w:lineRule="auto"/>
            </w:pPr>
            <w:r>
              <w:rPr>
                <w:rFonts w:ascii="Calibri" w:hAnsi="Calibri"/>
                <w:b w:val="0"/>
                <w:i w:val="0"/>
                <w:color w:val="212121"/>
                <w:sz w:val="16"/>
              </w:rPr>
              <w:t>Periodontitis patients, heavy tongue coating</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Correlates with tongue and periodontal-pocket load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Capillary/blood glucose, HbA1c, urine/blood ketones</w:t>
            </w:r>
          </w:p>
        </w:tc>
        <w:tc>
          <w:tcPr>
            <w:tcW w:type="dxa" w:w="892"/>
            <w:vAlign w:val="top"/>
          </w:tcPr>
          <w:p>
            <w:pPr>
              <w:spacing w:after="40" w:before="0" w:line="259" w:lineRule="auto"/>
            </w:pPr>
            <w:r>
              <w:rPr>
                <w:rFonts w:ascii="Calibri" w:hAnsi="Calibri"/>
                <w:b w:val="0"/>
                <w:i w:val="0"/>
                <w:color w:val="212121"/>
                <w:sz w:val="16"/>
              </w:rPr>
              <w:t>Metabolic screen</w:t>
            </w:r>
          </w:p>
        </w:tc>
        <w:tc>
          <w:tcPr>
            <w:tcW w:type="dxa" w:w="950"/>
            <w:vAlign w:val="top"/>
          </w:tcPr>
          <w:p>
            <w:pPr>
              <w:spacing w:after="40" w:before="0" w:line="259" w:lineRule="auto"/>
            </w:pPr>
            <w:r>
              <w:rPr>
                <w:rFonts w:ascii="Calibri" w:hAnsi="Calibri"/>
                <w:b w:val="0"/>
                <w:i w:val="0"/>
                <w:color w:val="212121"/>
                <w:sz w:val="16"/>
              </w:rPr>
              <w:t>FBS 70–99 mg/dL; HbA1c &lt; 5.7%; ketones negative</w:t>
            </w:r>
          </w:p>
        </w:tc>
        <w:tc>
          <w:tcPr>
            <w:tcW w:type="dxa" w:w="950"/>
            <w:vAlign w:val="top"/>
          </w:tcPr>
          <w:p>
            <w:pPr>
              <w:spacing w:after="40" w:before="0" w:line="259" w:lineRule="auto"/>
            </w:pPr>
            <w:r>
              <w:rPr>
                <w:rFonts w:ascii="Calibri" w:hAnsi="Calibri"/>
                <w:b w:val="0"/>
                <w:i w:val="0"/>
                <w:color w:val="212121"/>
                <w:sz w:val="16"/>
              </w:rPr>
              <w:t>Hyperglycaemia; positive ketones</w:t>
            </w:r>
          </w:p>
        </w:tc>
        <w:tc>
          <w:tcPr>
            <w:tcW w:type="dxa" w:w="1036"/>
            <w:vAlign w:val="top"/>
          </w:tcPr>
          <w:p>
            <w:pPr>
              <w:spacing w:after="40" w:before="0" w:line="259" w:lineRule="auto"/>
            </w:pPr>
            <w:r>
              <w:rPr>
                <w:rFonts w:ascii="Calibri" w:hAnsi="Calibri"/>
                <w:b w:val="0"/>
                <w:i w:val="0"/>
                <w:color w:val="212121"/>
                <w:sz w:val="16"/>
              </w:rPr>
              <w:t>Fruity/acetone breath may indicate uncontrolled diabetes or ketosis</w:t>
            </w:r>
          </w:p>
        </w:tc>
        <w:tc>
          <w:tcPr>
            <w:tcW w:type="dxa" w:w="1036"/>
            <w:vAlign w:val="top"/>
          </w:tcPr>
          <w:p>
            <w:pPr>
              <w:spacing w:after="40" w:before="0" w:line="259" w:lineRule="auto"/>
            </w:pPr>
            <w:r>
              <w:rPr>
                <w:rFonts w:ascii="Calibri" w:hAnsi="Calibri"/>
                <w:b w:val="0"/>
                <w:i w:val="0"/>
                <w:color w:val="212121"/>
                <w:sz w:val="16"/>
              </w:rPr>
              <w:t>Diabetics, fasting/keto dieters, fruity-breath cases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Extra-oral workup</w:t>
            </w:r>
          </w:p>
        </w:tc>
        <w:tc>
          <w:tcPr>
            <w:tcW w:type="dxa" w:w="720"/>
            <w:vAlign w:val="top"/>
          </w:tcPr>
          <w:p>
            <w:pPr>
              <w:spacing w:after="40" w:before="0" w:line="259" w:lineRule="auto"/>
            </w:pPr>
            <w:r>
              <w:rPr>
                <w:rFonts w:ascii="Calibri" w:hAnsi="Calibri"/>
                <w:b w:val="0"/>
                <w:i w:val="0"/>
                <w:color w:val="212121"/>
                <w:sz w:val="16"/>
              </w:rPr>
              <w:t>Screens for a systemic (blood-borne) cause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urea, creatinine, LFTs, ammonia</w:t>
            </w:r>
          </w:p>
        </w:tc>
        <w:tc>
          <w:tcPr>
            <w:tcW w:type="dxa" w:w="892"/>
            <w:vAlign w:val="top"/>
          </w:tcPr>
          <w:p>
            <w:pPr>
              <w:spacing w:after="40" w:before="0" w:line="259" w:lineRule="auto"/>
            </w:pPr>
            <w:r>
              <w:rPr>
                <w:rFonts w:ascii="Calibri" w:hAnsi="Calibri"/>
                <w:b w:val="0"/>
                <w:i w:val="0"/>
                <w:color w:val="212121"/>
                <w:sz w:val="16"/>
              </w:rPr>
              <w:t>Renal &amp; hepatic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Uraemia / hepatic dysfunction</w:t>
            </w:r>
          </w:p>
        </w:tc>
        <w:tc>
          <w:tcPr>
            <w:tcW w:type="dxa" w:w="1036"/>
            <w:vAlign w:val="top"/>
          </w:tcPr>
          <w:p>
            <w:pPr>
              <w:spacing w:after="40" w:before="0" w:line="259" w:lineRule="auto"/>
            </w:pPr>
            <w:r>
              <w:rPr>
                <w:rFonts w:ascii="Calibri" w:hAnsi="Calibri"/>
                <w:b w:val="0"/>
                <w:i w:val="0"/>
                <w:color w:val="212121"/>
                <w:sz w:val="16"/>
              </w:rPr>
              <w:t>Ammoniacal (uraemic) or 'fetor hepaticus' breath points to renal or hepatic failure</w:t>
            </w:r>
          </w:p>
        </w:tc>
        <w:tc>
          <w:tcPr>
            <w:tcW w:type="dxa" w:w="1036"/>
            <w:vAlign w:val="top"/>
          </w:tcPr>
          <w:p>
            <w:pPr>
              <w:spacing w:after="40" w:before="0" w:line="259" w:lineRule="auto"/>
            </w:pPr>
            <w:r>
              <w:rPr>
                <w:rFonts w:ascii="Calibri" w:hAnsi="Calibri"/>
                <w:b w:val="0"/>
                <w:i w:val="0"/>
                <w:color w:val="212121"/>
                <w:sz w:val="16"/>
              </w:rPr>
              <w:t>Systemic-odour cases smelled equally from mouth and nose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Extra-oral workup</w:t>
            </w:r>
          </w:p>
        </w:tc>
        <w:tc>
          <w:tcPr>
            <w:tcW w:type="dxa" w:w="720"/>
            <w:vAlign w:val="top"/>
          </w:tcPr>
          <w:p>
            <w:pPr>
              <w:spacing w:after="40" w:before="0" w:line="259" w:lineRule="auto"/>
            </w:pPr>
            <w:r>
              <w:rPr>
                <w:rFonts w:ascii="Calibri" w:hAnsi="Calibri"/>
                <w:b w:val="0"/>
                <w:i w:val="0"/>
                <w:color w:val="212121"/>
                <w:sz w:val="16"/>
              </w:rPr>
              <w:t>Order when the mouth is healthy but odour persists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 Endoscopy</w:t>
            </w:r>
          </w:p>
        </w:tc>
        <w:tc>
          <w:tcPr>
            <w:tcW w:type="dxa" w:w="1036"/>
            <w:vAlign w:val="top"/>
          </w:tcPr>
          <w:p>
            <w:pPr>
              <w:spacing w:after="40" w:before="0" w:line="259" w:lineRule="auto"/>
            </w:pPr>
            <w:r>
              <w:rPr>
                <w:rFonts w:ascii="Calibri" w:hAnsi="Calibri"/>
                <w:b w:val="0"/>
                <w:i w:val="0"/>
                <w:color w:val="212121"/>
                <w:sz w:val="16"/>
              </w:rPr>
              <w:t>Nasal, sinus and tonsillar assessment</w:t>
            </w:r>
          </w:p>
        </w:tc>
        <w:tc>
          <w:tcPr>
            <w:tcW w:type="dxa" w:w="892"/>
            <w:vAlign w:val="top"/>
          </w:tcPr>
          <w:p>
            <w:pPr>
              <w:spacing w:after="40" w:before="0" w:line="259" w:lineRule="auto"/>
            </w:pPr>
            <w:r>
              <w:rPr>
                <w:rFonts w:ascii="Calibri" w:hAnsi="Calibri"/>
                <w:b w:val="0"/>
                <w:i w:val="0"/>
                <w:color w:val="212121"/>
                <w:sz w:val="16"/>
              </w:rPr>
              <w:t>ENT examination ± nasal endoscopy / CT</w:t>
            </w:r>
          </w:p>
        </w:tc>
        <w:tc>
          <w:tcPr>
            <w:tcW w:type="dxa" w:w="950"/>
            <w:vAlign w:val="top"/>
          </w:tcPr>
          <w:p>
            <w:pPr>
              <w:spacing w:after="40" w:before="0" w:line="259" w:lineRule="auto"/>
            </w:pPr>
            <w:r>
              <w:rPr>
                <w:rFonts w:ascii="Calibri" w:hAnsi="Calibri"/>
                <w:b w:val="0"/>
                <w:i w:val="0"/>
                <w:color w:val="212121"/>
                <w:sz w:val="16"/>
              </w:rPr>
              <w:t>No obstruction or concretions</w:t>
            </w:r>
          </w:p>
        </w:tc>
        <w:tc>
          <w:tcPr>
            <w:tcW w:type="dxa" w:w="950"/>
            <w:vAlign w:val="top"/>
          </w:tcPr>
          <w:p>
            <w:pPr>
              <w:spacing w:after="40" w:before="0" w:line="259" w:lineRule="auto"/>
            </w:pPr>
            <w:r>
              <w:rPr>
                <w:rFonts w:ascii="Calibri" w:hAnsi="Calibri"/>
                <w:b w:val="0"/>
                <w:i w:val="0"/>
                <w:color w:val="212121"/>
                <w:sz w:val="16"/>
              </w:rPr>
              <w:t>Tonsilloliths, sinusitis, post-nasal drip</w:t>
            </w:r>
          </w:p>
        </w:tc>
        <w:tc>
          <w:tcPr>
            <w:tcW w:type="dxa" w:w="1036"/>
            <w:vAlign w:val="top"/>
          </w:tcPr>
          <w:p>
            <w:pPr>
              <w:spacing w:after="40" w:before="0" w:line="259" w:lineRule="auto"/>
            </w:pPr>
            <w:r>
              <w:rPr>
                <w:rFonts w:ascii="Calibri" w:hAnsi="Calibri"/>
                <w:b w:val="0"/>
                <w:i w:val="0"/>
                <w:color w:val="212121"/>
                <w:sz w:val="16"/>
              </w:rPr>
              <w:t>Identifies a non-oral airway source; nose-only odour localises to the nasal/sinus tract</w:t>
            </w:r>
          </w:p>
        </w:tc>
        <w:tc>
          <w:tcPr>
            <w:tcW w:type="dxa" w:w="1036"/>
            <w:vAlign w:val="top"/>
          </w:tcPr>
          <w:p>
            <w:pPr>
              <w:spacing w:after="40" w:before="0" w:line="259" w:lineRule="auto"/>
            </w:pPr>
            <w:r>
              <w:rPr>
                <w:rFonts w:ascii="Calibri" w:hAnsi="Calibri"/>
                <w:b w:val="0"/>
                <w:i w:val="0"/>
                <w:color w:val="212121"/>
                <w:sz w:val="16"/>
              </w:rPr>
              <w:t>Nose-only odour, chronic sinusitis/tonsillitis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Extra-oral workup</w:t>
            </w:r>
          </w:p>
        </w:tc>
        <w:tc>
          <w:tcPr>
            <w:tcW w:type="dxa" w:w="720"/>
            <w:vAlign w:val="top"/>
          </w:tcPr>
          <w:p>
            <w:pPr>
              <w:spacing w:after="40" w:before="0" w:line="259" w:lineRule="auto"/>
            </w:pPr>
            <w:r>
              <w:rPr>
                <w:rFonts w:ascii="Calibri" w:hAnsi="Calibri"/>
                <w:b w:val="0"/>
                <w:i w:val="0"/>
                <w:color w:val="212121"/>
                <w:sz w:val="16"/>
              </w:rPr>
              <w:t>Consider when intra-oral exam is unremarkable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&amp; pattern</w:t>
            </w:r>
          </w:p>
        </w:tc>
        <w:tc>
          <w:tcPr>
            <w:tcW w:type="dxa" w:w="979"/>
            <w:vAlign w:val="top"/>
          </w:tcPr>
          <w:p>
            <w:pPr>
              <w:spacing w:after="40" w:before="0" w:line="259" w:lineRule="auto"/>
            </w:pPr>
            <w:r>
              <w:rPr>
                <w:rFonts w:ascii="Calibri" w:hAnsi="Calibri"/>
                <w:b w:val="0"/>
                <w:i w:val="0"/>
                <w:color w:val="212121"/>
                <w:sz w:val="16"/>
              </w:rPr>
              <w:t>Self-reported malodour; timing (morning vs all-day); confirmed by others?</w:t>
            </w:r>
          </w:p>
        </w:tc>
        <w:tc>
          <w:tcPr>
            <w:tcW w:type="dxa" w:w="950"/>
            <w:vAlign w:val="top"/>
          </w:tcPr>
          <w:p>
            <w:pPr>
              <w:spacing w:after="40" w:before="0" w:line="259" w:lineRule="auto"/>
            </w:pPr>
            <w:r>
              <w:rPr>
                <w:rFonts w:ascii="Calibri" w:hAnsi="Calibri"/>
                <w:b w:val="0"/>
                <w:i w:val="0"/>
                <w:color w:val="212121"/>
                <w:sz w:val="16"/>
              </w:rPr>
              <w:t>No odour; not confirmed by others</w:t>
            </w:r>
          </w:p>
        </w:tc>
        <w:tc>
          <w:tcPr>
            <w:tcW w:type="dxa" w:w="950"/>
            <w:vAlign w:val="top"/>
          </w:tcPr>
          <w:p>
            <w:pPr>
              <w:spacing w:after="40" w:before="0" w:line="259" w:lineRule="auto"/>
            </w:pPr>
            <w:r>
              <w:rPr>
                <w:rFonts w:ascii="Calibri" w:hAnsi="Calibri"/>
                <w:b w:val="0"/>
                <w:i w:val="0"/>
                <w:color w:val="212121"/>
                <w:sz w:val="16"/>
              </w:rPr>
              <w:t>Persistent odour confirmed by others</w:t>
            </w:r>
          </w:p>
        </w:tc>
        <w:tc>
          <w:tcPr>
            <w:tcW w:type="dxa" w:w="1036"/>
            <w:vAlign w:val="top"/>
          </w:tcPr>
          <w:p>
            <w:pPr>
              <w:spacing w:after="40" w:before="0" w:line="259" w:lineRule="auto"/>
            </w:pPr>
            <w:r>
              <w:rPr>
                <w:rFonts w:ascii="Calibri" w:hAnsi="Calibri"/>
                <w:b w:val="0"/>
                <w:i w:val="0"/>
                <w:color w:val="212121"/>
                <w:sz w:val="16"/>
              </w:rPr>
              <w:t>Distinguishes genuine halitosis from pseudohalitosis/halitophobia</w:t>
            </w:r>
          </w:p>
        </w:tc>
        <w:tc>
          <w:tcPr>
            <w:tcW w:type="dxa" w:w="1036"/>
            <w:vAlign w:val="top"/>
          </w:tcPr>
          <w:p>
            <w:pPr>
              <w:spacing w:after="40" w:before="0" w:line="259" w:lineRule="auto"/>
            </w:pPr>
            <w:r>
              <w:rPr>
                <w:rFonts w:ascii="Calibri" w:hAnsi="Calibri"/>
                <w:b w:val="0"/>
                <w:i w:val="0"/>
                <w:color w:val="212121"/>
                <w:sz w:val="16"/>
              </w:rPr>
              <w:t>All patients presenting with bad breath</w:t>
            </w:r>
          </w:p>
        </w:tc>
        <w:tc>
          <w:tcPr>
            <w:tcW w:type="dxa" w:w="720"/>
            <w:vAlign w:val="top"/>
          </w:tcPr>
          <w:p>
            <w:pPr>
              <w:spacing w:after="40" w:before="0" w:line="259" w:lineRule="auto"/>
            </w:pPr>
            <w:r>
              <w:rPr>
                <w:rFonts w:ascii="Calibri" w:hAnsi="Calibri"/>
                <w:b w:val="0"/>
                <w:i w:val="0"/>
                <w:color w:val="212121"/>
                <w:sz w:val="16"/>
              </w:rPr>
              <w:t>Hygiene;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Self-assessment is unreliable due to olfactory adaptation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 &amp; dietary history</w:t>
            </w:r>
          </w:p>
        </w:tc>
        <w:tc>
          <w:tcPr>
            <w:tcW w:type="dxa" w:w="979"/>
            <w:vAlign w:val="top"/>
          </w:tcPr>
          <w:p>
            <w:pPr>
              <w:spacing w:after="40" w:before="0" w:line="259" w:lineRule="auto"/>
            </w:pPr>
            <w:r>
              <w:rPr>
                <w:rFonts w:ascii="Calibri" w:hAnsi="Calibri"/>
                <w:b w:val="0"/>
                <w:i w:val="0"/>
                <w:color w:val="212121"/>
                <w:sz w:val="16"/>
              </w:rPr>
              <w:t>Tobacco/areca/alcohol, xerogenic drugs, garlic/onion, fasting, GERD/ENT symptoms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1 risk factor present</w:t>
            </w:r>
          </w:p>
        </w:tc>
        <w:tc>
          <w:tcPr>
            <w:tcW w:type="dxa" w:w="1036"/>
            <w:vAlign w:val="top"/>
          </w:tcPr>
          <w:p>
            <w:pPr>
              <w:spacing w:after="40" w:before="0" w:line="259" w:lineRule="auto"/>
            </w:pPr>
            <w:r>
              <w:rPr>
                <w:rFonts w:ascii="Calibri" w:hAnsi="Calibri"/>
                <w:b w:val="0"/>
                <w:i w:val="0"/>
                <w:color w:val="212121"/>
                <w:sz w:val="16"/>
              </w:rPr>
              <w:t>Identifies provoking and modifiable factors</w:t>
            </w:r>
          </w:p>
        </w:tc>
        <w:tc>
          <w:tcPr>
            <w:tcW w:type="dxa" w:w="1036"/>
            <w:vAlign w:val="top"/>
          </w:tcPr>
          <w:p>
            <w:pPr>
              <w:spacing w:after="40" w:before="0" w:line="259" w:lineRule="auto"/>
            </w:pPr>
            <w:r>
              <w:rPr>
                <w:rFonts w:ascii="Calibri" w:hAnsi="Calibri"/>
                <w:b w:val="0"/>
                <w:i w:val="0"/>
                <w:color w:val="212121"/>
                <w:sz w:val="16"/>
              </w:rPr>
              <w:t>Smokers, betel-quid users, fasting individuals, refluxers</w:t>
            </w:r>
          </w:p>
        </w:tc>
        <w:tc>
          <w:tcPr>
            <w:tcW w:type="dxa" w:w="720"/>
            <w:vAlign w:val="top"/>
          </w:tcPr>
          <w:p>
            <w:pPr>
              <w:spacing w:after="40" w:before="0" w:line="259" w:lineRule="auto"/>
            </w:pPr>
            <w:r>
              <w:rPr>
                <w:rFonts w:ascii="Calibri" w:hAnsi="Calibri"/>
                <w:b w:val="0"/>
                <w:i w:val="0"/>
                <w:color w:val="212121"/>
                <w:sz w:val="16"/>
              </w:rPr>
              <w:t>Food; Smoking; 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targeted lifestyle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Organoleptic</w:t>
            </w:r>
          </w:p>
        </w:tc>
        <w:tc>
          <w:tcPr>
            <w:tcW w:type="dxa" w:w="950"/>
            <w:vAlign w:val="top"/>
          </w:tcPr>
          <w:p>
            <w:pPr>
              <w:spacing w:after="40" w:before="0" w:line="259" w:lineRule="auto"/>
            </w:pPr>
            <w:r>
              <w:rPr>
                <w:rFonts w:ascii="Calibri" w:hAnsi="Calibri"/>
                <w:b w:val="0"/>
                <w:i w:val="0"/>
                <w:color w:val="212121"/>
                <w:sz w:val="16"/>
              </w:rPr>
              <w:t>Examiner odour assessment (0–5)</w:t>
            </w:r>
          </w:p>
        </w:tc>
        <w:tc>
          <w:tcPr>
            <w:tcW w:type="dxa" w:w="979"/>
            <w:vAlign w:val="top"/>
          </w:tcPr>
          <w:p>
            <w:pPr>
              <w:spacing w:after="40" w:before="0" w:line="259" w:lineRule="auto"/>
            </w:pPr>
            <w:r>
              <w:rPr>
                <w:rFonts w:ascii="Calibri" w:hAnsi="Calibri"/>
                <w:b w:val="0"/>
                <w:i w:val="0"/>
                <w:color w:val="212121"/>
                <w:sz w:val="16"/>
              </w:rPr>
              <w:t>Mouth versus nose odour intensity</w:t>
            </w:r>
          </w:p>
        </w:tc>
        <w:tc>
          <w:tcPr>
            <w:tcW w:type="dxa" w:w="950"/>
            <w:vAlign w:val="top"/>
          </w:tcPr>
          <w:p>
            <w:pPr>
              <w:spacing w:after="40" w:before="0" w:line="259" w:lineRule="auto"/>
            </w:pPr>
            <w:r>
              <w:rPr>
                <w:rFonts w:ascii="Calibri" w:hAnsi="Calibri"/>
                <w:b w:val="0"/>
                <w:i w:val="0"/>
                <w:color w:val="212121"/>
                <w:sz w:val="16"/>
              </w:rPr>
              <w:t>0–1</w:t>
            </w:r>
          </w:p>
        </w:tc>
        <w:tc>
          <w:tcPr>
            <w:tcW w:type="dxa" w:w="950"/>
            <w:vAlign w:val="top"/>
          </w:tcPr>
          <w:p>
            <w:pPr>
              <w:spacing w:after="40" w:before="0" w:line="259" w:lineRule="auto"/>
            </w:pPr>
            <w:r>
              <w:rPr>
                <w:rFonts w:ascii="Calibri" w:hAnsi="Calibri"/>
                <w:b w:val="0"/>
                <w:i w:val="0"/>
                <w:color w:val="212121"/>
                <w:sz w:val="16"/>
              </w:rPr>
              <w:t>≥ 2</w:t>
            </w:r>
          </w:p>
        </w:tc>
        <w:tc>
          <w:tcPr>
            <w:tcW w:type="dxa" w:w="1036"/>
            <w:vAlign w:val="top"/>
          </w:tcPr>
          <w:p>
            <w:pPr>
              <w:spacing w:after="40" w:before="0" w:line="259" w:lineRule="auto"/>
            </w:pPr>
            <w:r>
              <w:rPr>
                <w:rFonts w:ascii="Calibri" w:hAnsi="Calibri"/>
                <w:b w:val="0"/>
                <w:i w:val="0"/>
                <w:color w:val="212121"/>
                <w:sz w:val="16"/>
              </w:rPr>
              <w:t>Grades severity and localises source (mouth-only odour = intra-oral)</w:t>
            </w:r>
          </w:p>
        </w:tc>
        <w:tc>
          <w:tcPr>
            <w:tcW w:type="dxa" w:w="1036"/>
            <w:vAlign w:val="top"/>
          </w:tcPr>
          <w:p>
            <w:pPr>
              <w:spacing w:after="40" w:before="0" w:line="259" w:lineRule="auto"/>
            </w:pPr>
            <w:r>
              <w:rPr>
                <w:rFonts w:ascii="Calibri" w:hAnsi="Calibri"/>
                <w:b w:val="0"/>
                <w:i w:val="0"/>
                <w:color w:val="212121"/>
                <w:sz w:val="16"/>
              </w:rPr>
              <w:t>Confirmed halitosis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Reference standard for genuine malodour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Intra-oral examination</w:t>
            </w:r>
          </w:p>
        </w:tc>
        <w:tc>
          <w:tcPr>
            <w:tcW w:type="dxa" w:w="950"/>
            <w:vAlign w:val="top"/>
          </w:tcPr>
          <w:p>
            <w:pPr>
              <w:spacing w:after="40" w:before="0" w:line="259" w:lineRule="auto"/>
            </w:pPr>
            <w:r>
              <w:rPr>
                <w:rFonts w:ascii="Calibri" w:hAnsi="Calibri"/>
                <w:b w:val="0"/>
                <w:i w:val="0"/>
                <w:color w:val="212121"/>
                <w:sz w:val="16"/>
              </w:rPr>
              <w:t>Tongue &amp; periodontal assessment</w:t>
            </w:r>
          </w:p>
        </w:tc>
        <w:tc>
          <w:tcPr>
            <w:tcW w:type="dxa" w:w="979"/>
            <w:vAlign w:val="top"/>
          </w:tcPr>
          <w:p>
            <w:pPr>
              <w:spacing w:after="40" w:before="0" w:line="259" w:lineRule="auto"/>
            </w:pPr>
            <w:r>
              <w:rPr>
                <w:rFonts w:ascii="Calibri" w:hAnsi="Calibri"/>
                <w:b w:val="0"/>
                <w:i w:val="0"/>
                <w:color w:val="212121"/>
                <w:sz w:val="16"/>
              </w:rPr>
              <w:t>Posterior tongue coating; probing depth; bleeding on probing; caries; dentures; salivary pool</w:t>
            </w:r>
          </w:p>
        </w:tc>
        <w:tc>
          <w:tcPr>
            <w:tcW w:type="dxa" w:w="950"/>
            <w:vAlign w:val="top"/>
          </w:tcPr>
          <w:p>
            <w:pPr>
              <w:spacing w:after="40" w:before="0" w:line="259" w:lineRule="auto"/>
            </w:pPr>
            <w:r>
              <w:rPr>
                <w:rFonts w:ascii="Calibri" w:hAnsi="Calibri"/>
                <w:b w:val="0"/>
                <w:i w:val="0"/>
                <w:color w:val="212121"/>
                <w:sz w:val="16"/>
              </w:rPr>
              <w:t>Clean tongue, healthy gingiva, moist mucosa</w:t>
            </w:r>
          </w:p>
        </w:tc>
        <w:tc>
          <w:tcPr>
            <w:tcW w:type="dxa" w:w="950"/>
            <w:vAlign w:val="top"/>
          </w:tcPr>
          <w:p>
            <w:pPr>
              <w:spacing w:after="40" w:before="0" w:line="259" w:lineRule="auto"/>
            </w:pPr>
            <w:r>
              <w:rPr>
                <w:rFonts w:ascii="Calibri" w:hAnsi="Calibri"/>
                <w:b w:val="0"/>
                <w:i w:val="0"/>
                <w:color w:val="212121"/>
                <w:sz w:val="16"/>
              </w:rPr>
              <w:t>Heavy coating, pockets/BOP, caries, dry mucosa</w:t>
            </w:r>
          </w:p>
        </w:tc>
        <w:tc>
          <w:tcPr>
            <w:tcW w:type="dxa" w:w="1036"/>
            <w:vAlign w:val="top"/>
          </w:tcPr>
          <w:p>
            <w:pPr>
              <w:spacing w:after="40" w:before="0" w:line="259" w:lineRule="auto"/>
            </w:pPr>
            <w:r>
              <w:rPr>
                <w:rFonts w:ascii="Calibri" w:hAnsi="Calibri"/>
                <w:b w:val="0"/>
                <w:i w:val="0"/>
                <w:color w:val="212121"/>
                <w:sz w:val="16"/>
              </w:rPr>
              <w:t>Localises the dominant oral source of malodour</w:t>
            </w:r>
          </w:p>
        </w:tc>
        <w:tc>
          <w:tcPr>
            <w:tcW w:type="dxa" w:w="1036"/>
            <w:vAlign w:val="top"/>
          </w:tcPr>
          <w:p>
            <w:pPr>
              <w:spacing w:after="40" w:before="0" w:line="259" w:lineRule="auto"/>
            </w:pPr>
            <w:r>
              <w:rPr>
                <w:rFonts w:ascii="Calibri" w:hAnsi="Calibri"/>
                <w:b w:val="0"/>
                <w:i w:val="0"/>
                <w:color w:val="212121"/>
                <w:sz w:val="16"/>
              </w:rPr>
              <w:t>Tongue-coated, periodontitis, xerostomia, denture-wearers</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Winkel Tongue Coating Index can be recorded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Psychological screen</w:t>
            </w:r>
          </w:p>
        </w:tc>
        <w:tc>
          <w:tcPr>
            <w:tcW w:type="dxa" w:w="950"/>
            <w:vAlign w:val="top"/>
          </w:tcPr>
          <w:p>
            <w:pPr>
              <w:spacing w:after="40" w:before="0" w:line="259" w:lineRule="auto"/>
            </w:pPr>
            <w:r>
              <w:rPr>
                <w:rFonts w:ascii="Calibri" w:hAnsi="Calibri"/>
                <w:b w:val="0"/>
                <w:i w:val="0"/>
                <w:color w:val="212121"/>
                <w:sz w:val="16"/>
              </w:rPr>
              <w:t>Perception vs objective odour</w:t>
            </w:r>
          </w:p>
        </w:tc>
        <w:tc>
          <w:tcPr>
            <w:tcW w:type="dxa" w:w="979"/>
            <w:vAlign w:val="top"/>
          </w:tcPr>
          <w:p>
            <w:pPr>
              <w:spacing w:after="40" w:before="0" w:line="259" w:lineRule="auto"/>
            </w:pPr>
            <w:r>
              <w:rPr>
                <w:rFonts w:ascii="Calibri" w:hAnsi="Calibri"/>
                <w:b w:val="0"/>
                <w:i w:val="0"/>
                <w:color w:val="212121"/>
                <w:sz w:val="16"/>
              </w:rPr>
              <w:t>Level of concern versus measurable malodour</w:t>
            </w:r>
          </w:p>
        </w:tc>
        <w:tc>
          <w:tcPr>
            <w:tcW w:type="dxa" w:w="950"/>
            <w:vAlign w:val="top"/>
          </w:tcPr>
          <w:p>
            <w:pPr>
              <w:spacing w:after="40" w:before="0" w:line="259" w:lineRule="auto"/>
            </w:pPr>
            <w:r>
              <w:rPr>
                <w:rFonts w:ascii="Calibri" w:hAnsi="Calibri"/>
                <w:b w:val="0"/>
                <w:i w:val="0"/>
                <w:color w:val="212121"/>
                <w:sz w:val="16"/>
              </w:rPr>
              <w:t>Concordant</w:t>
            </w:r>
          </w:p>
        </w:tc>
        <w:tc>
          <w:tcPr>
            <w:tcW w:type="dxa" w:w="950"/>
            <w:vAlign w:val="top"/>
          </w:tcPr>
          <w:p>
            <w:pPr>
              <w:spacing w:after="40" w:before="0" w:line="259" w:lineRule="auto"/>
            </w:pPr>
            <w:r>
              <w:rPr>
                <w:rFonts w:ascii="Calibri" w:hAnsi="Calibri"/>
                <w:b w:val="0"/>
                <w:i w:val="0"/>
                <w:color w:val="212121"/>
                <w:sz w:val="16"/>
              </w:rPr>
              <w:t>High concern with no detectable odour</w:t>
            </w:r>
          </w:p>
        </w:tc>
        <w:tc>
          <w:tcPr>
            <w:tcW w:type="dxa" w:w="1036"/>
            <w:vAlign w:val="top"/>
          </w:tcPr>
          <w:p>
            <w:pPr>
              <w:spacing w:after="40" w:before="0" w:line="259" w:lineRule="auto"/>
            </w:pPr>
            <w:r>
              <w:rPr>
                <w:rFonts w:ascii="Calibri" w:hAnsi="Calibri"/>
                <w:b w:val="0"/>
                <w:i w:val="0"/>
                <w:color w:val="212121"/>
                <w:sz w:val="16"/>
              </w:rPr>
              <w:t>Flags pseudohalitosis/halitophobia for counselling or referral</w:t>
            </w:r>
          </w:p>
        </w:tc>
        <w:tc>
          <w:tcPr>
            <w:tcW w:type="dxa" w:w="1036"/>
            <w:vAlign w:val="top"/>
          </w:tcPr>
          <w:p>
            <w:pPr>
              <w:spacing w:after="40" w:before="0" w:line="259" w:lineRule="auto"/>
            </w:pPr>
            <w:r>
              <w:rPr>
                <w:rFonts w:ascii="Calibri" w:hAnsi="Calibri"/>
                <w:b w:val="0"/>
                <w:i w:val="0"/>
                <w:color w:val="212121"/>
                <w:sz w:val="16"/>
              </w:rPr>
              <w:t>Patients with a normal exam but persistent complaint</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Avoid unnecessary dental treatment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Perceived unpleasant breath odour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complaint; often first noticed by family, peers or colleagues rather than the patient.</w:t>
            </w:r>
          </w:p>
        </w:tc>
      </w:tr>
      <w:tr>
        <w:trPr>
          <w:cantSplit/>
        </w:trPr>
        <w:tc>
          <w:tcPr>
            <w:tcW w:type="dxa" w:w="2304"/>
            <w:vAlign w:val="top"/>
          </w:tcPr>
          <w:p>
            <w:pPr>
              <w:spacing w:after="40" w:before="0" w:line="259" w:lineRule="auto"/>
            </w:pPr>
            <w:r>
              <w:rPr>
                <w:rFonts w:ascii="Calibri" w:hAnsi="Calibri"/>
                <w:b/>
                <w:i w:val="0"/>
                <w:color w:val="212121"/>
                <w:sz w:val="19"/>
              </w:rPr>
              <w:t>Bad or altered taste (metallic/bitter/sour)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Dysgeusia from bacterial by-products, tongue coating or reflux.</w:t>
            </w:r>
          </w:p>
        </w:tc>
      </w:tr>
      <w:tr>
        <w:trPr>
          <w:cantSplit/>
        </w:trPr>
        <w:tc>
          <w:tcPr>
            <w:tcW w:type="dxa" w:w="2304"/>
            <w:vAlign w:val="top"/>
          </w:tcPr>
          <w:p>
            <w:pPr>
              <w:spacing w:after="40" w:before="0" w:line="259" w:lineRule="auto"/>
            </w:pPr>
            <w:r>
              <w:rPr>
                <w:rFonts w:ascii="Calibri" w:hAnsi="Calibri"/>
                <w:b/>
                <w:i w:val="0"/>
                <w:color w:val="212121"/>
                <w:sz w:val="19"/>
              </w:rPr>
              <w:t>Dry-mouth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Xerostomia reduces clearance and is both a cause and a symptom of malodour.</w:t>
            </w:r>
          </w:p>
        </w:tc>
      </w:tr>
      <w:tr>
        <w:trPr>
          <w:cantSplit/>
        </w:trPr>
        <w:tc>
          <w:tcPr>
            <w:tcW w:type="dxa" w:w="2304"/>
            <w:vAlign w:val="top"/>
          </w:tcPr>
          <w:p>
            <w:pPr>
              <w:spacing w:after="40" w:before="0" w:line="259" w:lineRule="auto"/>
            </w:pPr>
            <w:r>
              <w:rPr>
                <w:rFonts w:ascii="Calibri" w:hAnsi="Calibri"/>
                <w:b/>
                <w:i w:val="0"/>
                <w:color w:val="212121"/>
                <w:sz w:val="19"/>
              </w:rPr>
              <w:t>Thick/ropy saliva or coated-tongue feeling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posterior-tongue biofilm and low salivary flow.</w:t>
            </w:r>
          </w:p>
        </w:tc>
      </w:tr>
      <w:tr>
        <w:trPr>
          <w:cantSplit/>
        </w:trPr>
        <w:tc>
          <w:tcPr>
            <w:tcW w:type="dxa" w:w="2304"/>
            <w:vAlign w:val="top"/>
          </w:tcPr>
          <w:p>
            <w:pPr>
              <w:spacing w:after="40" w:before="0" w:line="259" w:lineRule="auto"/>
            </w:pPr>
            <w:r>
              <w:rPr>
                <w:rFonts w:ascii="Calibri" w:hAnsi="Calibri"/>
                <w:b/>
                <w:i w:val="0"/>
                <w:color w:val="212121"/>
                <w:sz w:val="19"/>
              </w:rPr>
              <w:t>Social embarrassment / self-consciousness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Others stepping back or covering the nose; avoidance of close conversation.</w:t>
            </w:r>
          </w:p>
        </w:tc>
      </w:tr>
      <w:tr>
        <w:trPr>
          <w:cantSplit/>
        </w:trPr>
        <w:tc>
          <w:tcPr>
            <w:tcW w:type="dxa" w:w="2304"/>
            <w:vAlign w:val="top"/>
          </w:tcPr>
          <w:p>
            <w:pPr>
              <w:spacing w:after="40" w:before="0" w:line="259" w:lineRule="auto"/>
            </w:pPr>
            <w:r>
              <w:rPr>
                <w:rFonts w:ascii="Calibri" w:hAnsi="Calibri"/>
                <w:b/>
                <w:i w:val="0"/>
                <w:color w:val="212121"/>
                <w:sz w:val="19"/>
              </w:rPr>
              <w:t>Repeated use of mints, gum or mouthwash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Compensatory masking behaviour that gives only short-lived relief.</w:t>
            </w:r>
          </w:p>
        </w:tc>
      </w:tr>
      <w:tr>
        <w:trPr>
          <w:cantSplit/>
        </w:trPr>
        <w:tc>
          <w:tcPr>
            <w:tcW w:type="dxa" w:w="2304"/>
            <w:vAlign w:val="top"/>
          </w:tcPr>
          <w:p>
            <w:pPr>
              <w:spacing w:after="40" w:before="0" w:line="259" w:lineRule="auto"/>
            </w:pPr>
            <w:r>
              <w:rPr>
                <w:rFonts w:ascii="Calibri" w:hAnsi="Calibri"/>
                <w:b/>
                <w:i w:val="0"/>
                <w:color w:val="212121"/>
                <w:sz w:val="19"/>
              </w:rPr>
              <w:t>Heartburn / acid regurgitation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Points to a gastro-oesophageal (reflux) contribution.</w:t>
            </w:r>
          </w:p>
        </w:tc>
      </w:tr>
      <w:tr>
        <w:trPr>
          <w:cantSplit/>
        </w:trPr>
        <w:tc>
          <w:tcPr>
            <w:tcW w:type="dxa" w:w="2304"/>
            <w:vAlign w:val="top"/>
          </w:tcPr>
          <w:p>
            <w:pPr>
              <w:spacing w:after="40" w:before="0" w:line="259" w:lineRule="auto"/>
            </w:pPr>
            <w:r>
              <w:rPr>
                <w:rFonts w:ascii="Calibri" w:hAnsi="Calibri"/>
                <w:b/>
                <w:i w:val="0"/>
                <w:color w:val="212121"/>
                <w:sz w:val="19"/>
              </w:rPr>
              <w:t>Nasal blockage / post-nasal drip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a nasal or sinus (extra-oral) source.</w:t>
            </w:r>
          </w:p>
        </w:tc>
      </w:tr>
      <w:tr>
        <w:trPr>
          <w:cantSplit/>
        </w:trPr>
        <w:tc>
          <w:tcPr>
            <w:tcW w:type="dxa" w:w="2304"/>
            <w:vAlign w:val="top"/>
          </w:tcPr>
          <w:p>
            <w:pPr>
              <w:spacing w:after="40" w:before="0" w:line="259" w:lineRule="auto"/>
            </w:pPr>
            <w:r>
              <w:rPr>
                <w:rFonts w:ascii="Calibri" w:hAnsi="Calibri"/>
                <w:b/>
                <w:i w:val="0"/>
                <w:color w:val="212121"/>
                <w:sz w:val="19"/>
              </w:rPr>
              <w:t>Persistent conviction of odour despite reassurance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Characteristic of halitophobia.</w:t>
            </w:r>
          </w:p>
        </w:tc>
      </w:tr>
      <w:tr>
        <w:trPr>
          <w:cantSplit/>
        </w:trPr>
        <w:tc>
          <w:tcPr>
            <w:tcW w:type="dxa" w:w="2304"/>
            <w:vAlign w:val="top"/>
          </w:tcPr>
          <w:p>
            <w:pPr>
              <w:spacing w:after="40" w:before="0" w:line="259" w:lineRule="auto"/>
            </w:pPr>
            <w:r>
              <w:rPr>
                <w:rFonts w:ascii="Calibri" w:hAnsi="Calibri"/>
                <w:b/>
                <w:i w:val="0"/>
                <w:color w:val="212121"/>
                <w:sz w:val="19"/>
              </w:rPr>
              <w:t>Fruity/acetone or fishy breath sensation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ketosis/diabetes or trimethylaminuria/uraemia (systemic causes).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Detectable oral malodour on organoleptic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confirmation; graded 0–5.</w:t>
            </w:r>
          </w:p>
        </w:tc>
      </w:tr>
      <w:tr>
        <w:trPr>
          <w:cantSplit/>
        </w:trPr>
        <w:tc>
          <w:tcPr>
            <w:tcW w:type="dxa" w:w="3456"/>
            <w:vAlign w:val="top"/>
          </w:tcPr>
          <w:p>
            <w:pPr>
              <w:spacing w:after="40" w:before="0" w:line="259" w:lineRule="auto"/>
            </w:pPr>
            <w:r>
              <w:rPr>
                <w:rFonts w:ascii="Calibri" w:hAnsi="Calibri"/>
                <w:b/>
                <w:i w:val="0"/>
                <w:color w:val="212121"/>
                <w:sz w:val="19"/>
              </w:rPr>
              <w:t>Heavy posterior tongue coating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principal intra-oral source of volatile sulphur compounds.</w:t>
            </w:r>
          </w:p>
        </w:tc>
      </w:tr>
      <w:tr>
        <w:trPr>
          <w:cantSplit/>
        </w:trPr>
        <w:tc>
          <w:tcPr>
            <w:tcW w:type="dxa" w:w="3456"/>
            <w:vAlign w:val="top"/>
          </w:tcPr>
          <w:p>
            <w:pPr>
              <w:spacing w:after="40" w:before="0" w:line="259" w:lineRule="auto"/>
            </w:pPr>
            <w:r>
              <w:rPr>
                <w:rFonts w:ascii="Calibri" w:hAnsi="Calibri"/>
                <w:b/>
                <w:i w:val="0"/>
                <w:color w:val="212121"/>
                <w:sz w:val="19"/>
              </w:rPr>
              <w:t>Gingival inflammation, bleeding on probing, pockets, calculus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Marker of periodontal malodour (methyl mercaptan).</w:t>
            </w:r>
          </w:p>
        </w:tc>
      </w:tr>
      <w:tr>
        <w:trPr>
          <w:cantSplit/>
        </w:trPr>
        <w:tc>
          <w:tcPr>
            <w:tcW w:type="dxa" w:w="3456"/>
            <w:vAlign w:val="top"/>
          </w:tcPr>
          <w:p>
            <w:pPr>
              <w:spacing w:after="40" w:before="0" w:line="259" w:lineRule="auto"/>
            </w:pPr>
            <w:r>
              <w:rPr>
                <w:rFonts w:ascii="Calibri" w:hAnsi="Calibri"/>
                <w:b/>
                <w:i w:val="0"/>
                <w:color w:val="212121"/>
                <w:sz w:val="19"/>
              </w:rPr>
              <w:t>Dental caries, food impaction or defective restorations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Stagnation sites harbouring bacteria and debris.</w:t>
            </w:r>
          </w:p>
        </w:tc>
      </w:tr>
      <w:tr>
        <w:trPr>
          <w:cantSplit/>
        </w:trPr>
        <w:tc>
          <w:tcPr>
            <w:tcW w:type="dxa" w:w="3456"/>
            <w:vAlign w:val="top"/>
          </w:tcPr>
          <w:p>
            <w:pPr>
              <w:spacing w:after="40" w:before="0" w:line="259" w:lineRule="auto"/>
            </w:pPr>
            <w:r>
              <w:rPr>
                <w:rFonts w:ascii="Calibri" w:hAnsi="Calibri"/>
                <w:b/>
                <w:i w:val="0"/>
                <w:color w:val="212121"/>
                <w:sz w:val="19"/>
              </w:rPr>
              <w:t>Dry mucosa / reduced salivary pool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xerostomia and reduced oral clearance.</w:t>
            </w:r>
          </w:p>
        </w:tc>
      </w:tr>
      <w:tr>
        <w:trPr>
          <w:cantSplit/>
        </w:trPr>
        <w:tc>
          <w:tcPr>
            <w:tcW w:type="dxa" w:w="3456"/>
            <w:vAlign w:val="top"/>
          </w:tcPr>
          <w:p>
            <w:pPr>
              <w:spacing w:after="40" w:before="0" w:line="259" w:lineRule="auto"/>
            </w:pPr>
            <w:r>
              <w:rPr>
                <w:rFonts w:ascii="Calibri" w:hAnsi="Calibri"/>
                <w:b/>
                <w:i w:val="0"/>
                <w:color w:val="212121"/>
                <w:sz w:val="19"/>
              </w:rPr>
              <w:t>Elevated Halimeter VSC / abnormal gas-chromatography reading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Instrumental confirmation of malodour.</w:t>
            </w:r>
          </w:p>
        </w:tc>
      </w:tr>
      <w:tr>
        <w:trPr>
          <w:cantSplit/>
        </w:trPr>
        <w:tc>
          <w:tcPr>
            <w:tcW w:type="dxa" w:w="3456"/>
            <w:vAlign w:val="top"/>
          </w:tcPr>
          <w:p>
            <w:pPr>
              <w:spacing w:after="40" w:before="0" w:line="259" w:lineRule="auto"/>
            </w:pPr>
            <w:r>
              <w:rPr>
                <w:rFonts w:ascii="Calibri" w:hAnsi="Calibri"/>
                <w:b/>
                <w:i w:val="0"/>
                <w:color w:val="212121"/>
                <w:sz w:val="19"/>
              </w:rPr>
              <w:t>Tonsilloliths (whitish tonsillar concretions)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An extra-oral (tonsillar) source of odour.</w:t>
            </w:r>
          </w:p>
        </w:tc>
      </w:tr>
      <w:tr>
        <w:trPr>
          <w:cantSplit/>
        </w:trPr>
        <w:tc>
          <w:tcPr>
            <w:tcW w:type="dxa" w:w="3456"/>
            <w:vAlign w:val="top"/>
          </w:tcPr>
          <w:p>
            <w:pPr>
              <w:spacing w:after="40" w:before="0" w:line="259" w:lineRule="auto"/>
            </w:pPr>
            <w:r>
              <w:rPr>
                <w:rFonts w:ascii="Calibri" w:hAnsi="Calibri"/>
                <w:b/>
                <w:i w:val="0"/>
                <w:color w:val="212121"/>
                <w:sz w:val="19"/>
              </w:rPr>
              <w:t>Denture plaque / denture stomatitis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unclean or ill-fitting dentures.</w:t>
            </w:r>
          </w:p>
        </w:tc>
      </w:tr>
      <w:tr>
        <w:trPr>
          <w:cantSplit/>
        </w:trPr>
        <w:tc>
          <w:tcPr>
            <w:tcW w:type="dxa" w:w="3456"/>
            <w:vAlign w:val="top"/>
          </w:tcPr>
          <w:p>
            <w:pPr>
              <w:spacing w:after="40" w:before="0" w:line="259" w:lineRule="auto"/>
            </w:pPr>
            <w:r>
              <w:rPr>
                <w:rFonts w:ascii="Calibri" w:hAnsi="Calibri"/>
                <w:b/>
                <w:i w:val="0"/>
                <w:color w:val="212121"/>
                <w:sz w:val="19"/>
              </w:rPr>
              <w:t>Characteristic systemic breath (fetor hepaticus, uraemic, ketotic)</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Indicates hepatic, renal or metabolic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socially significant oral malodour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of the underlying oral disease (periodontitis with attachment loss, caries)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tongue coating and biofilm accumulation</w:t>
            </w:r>
          </w:p>
        </w:tc>
        <w:tc>
          <w:tcPr>
            <w:tcW w:type="dxa" w:w="2980"/>
            <w:vAlign w:val="top"/>
          </w:tcPr>
          <w:p>
            <w:pPr>
              <w:spacing w:after="40" w:before="0" w:line="259" w:lineRule="auto"/>
            </w:pPr>
            <w:r>
              <w:rPr>
                <w:rFonts w:ascii="Calibri" w:hAnsi="Calibri"/>
                <w:b w:val="0"/>
                <w:i w:val="0"/>
                <w:color w:val="212121"/>
                <w:sz w:val="19"/>
              </w:rPr>
              <w:t>Direct consequences of the oral source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embarrassment, avoidance and impaired personal/professional interaction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and lowered self-esteem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Development of pseudohalitosis or halitophobia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Over-use of mints, chewing gum and alcohol-based mouthwashes (which can worsen dryness)</w:t>
            </w:r>
          </w:p>
        </w:tc>
        <w:tc>
          <w:tcPr>
            <w:tcW w:type="dxa" w:w="2980"/>
            <w:vAlign w:val="top"/>
          </w:tcPr>
          <w:p>
            <w:pPr>
              <w:spacing w:after="40" w:before="0" w:line="259" w:lineRule="auto"/>
            </w:pPr>
            <w:r>
              <w:rPr>
                <w:rFonts w:ascii="Calibri" w:hAnsi="Calibri"/>
                <w:b w:val="0"/>
                <w:i w:val="0"/>
                <w:color w:val="212121"/>
                <w:sz w:val="19"/>
              </w:rPr>
              <w:t>Psychosocial and behavioural fallout of persistent malodour.</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anxiety, depression, obsessive-compulsive or social-phobic behaviour and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diagnosis of serious systemic disease (uncontrolled diabetes, hepatic or renal failure, malignancy) when an extra-oral source is overlooked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Unnecessary or repeated dental treatment in halitophobia</w:t>
            </w:r>
          </w:p>
        </w:tc>
        <w:tc>
          <w:tcPr>
            <w:tcW w:type="dxa" w:w="2980"/>
            <w:vAlign w:val="top"/>
          </w:tcPr>
          <w:p>
            <w:pPr>
              <w:spacing w:after="40" w:before="0" w:line="259" w:lineRule="auto"/>
            </w:pPr>
            <w:r>
              <w:rPr>
                <w:rFonts w:ascii="Calibri" w:hAnsi="Calibri"/>
                <w:b w:val="0"/>
                <w:i w:val="0"/>
                <w:color w:val="212121"/>
                <w:sz w:val="19"/>
              </w:rPr>
              <w:t>Long-term disabling or missed-diagnosis outcomes.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Periodontal disease (gingivitis/periodontitis)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strongest oral pathological cause; sub-gingival anaerobes release methyl mercaptan.</w:t>
            </w:r>
          </w:p>
        </w:tc>
      </w:tr>
      <w:tr>
        <w:trPr>
          <w:cantSplit/>
        </w:trPr>
        <w:tc>
          <w:tcPr>
            <w:tcW w:type="dxa" w:w="2232"/>
            <w:vAlign w:val="top"/>
          </w:tcPr>
          <w:p>
            <w:pPr>
              <w:spacing w:after="40" w:before="0" w:line="259" w:lineRule="auto"/>
            </w:pPr>
            <w:r>
              <w:rPr>
                <w:rFonts w:ascii="Calibri" w:hAnsi="Calibri"/>
                <w:b/>
                <w:i w:val="0"/>
                <w:color w:val="212121"/>
                <w:sz w:val="19"/>
              </w:rPr>
              <w:t>Xerostomia / salivary hypofunction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Reduced saliva removes the mouth's main self-cleansing mechanism.</w:t>
            </w:r>
          </w:p>
        </w:tc>
      </w:tr>
      <w:tr>
        <w:trPr>
          <w:cantSplit/>
        </w:trPr>
        <w:tc>
          <w:tcPr>
            <w:tcW w:type="dxa" w:w="2232"/>
            <w:vAlign w:val="top"/>
          </w:tcPr>
          <w:p>
            <w:pPr>
              <w:spacing w:after="40" w:before="0" w:line="259" w:lineRule="auto"/>
            </w:pPr>
            <w:r>
              <w:rPr>
                <w:rFonts w:ascii="Calibri" w:hAnsi="Calibri"/>
                <w:b/>
                <w:i w:val="0"/>
                <w:color w:val="212121"/>
                <w:sz w:val="19"/>
              </w:rPr>
              <w:t>Dental caries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Stagnant debris and bacteria within cavities add odour.</w:t>
            </w:r>
          </w:p>
        </w:tc>
      </w:tr>
      <w:tr>
        <w:trPr>
          <w:cantSplit/>
        </w:trPr>
        <w:tc>
          <w:tcPr>
            <w:tcW w:type="dxa" w:w="2232"/>
            <w:vAlign w:val="top"/>
          </w:tcPr>
          <w:p>
            <w:pPr>
              <w:spacing w:after="40" w:before="0" w:line="259" w:lineRule="auto"/>
            </w:pPr>
            <w:r>
              <w:rPr>
                <w:rFonts w:ascii="Calibri" w:hAnsi="Calibri"/>
                <w:b/>
                <w:i w:val="0"/>
                <w:color w:val="212121"/>
                <w:sz w:val="19"/>
              </w:rPr>
              <w:t>Chronic tonsillitis / tonsilloliths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common extra-oral (tonsillar) source of malodour.</w:t>
            </w:r>
          </w:p>
          <w:p>
            <w:pPr>
              <w:spacing w:after="40" w:before="0" w:line="259" w:lineRule="auto"/>
            </w:pPr>
            <w:r>
              <w:rPr>
                <w:rFonts w:ascii="Calibri" w:hAnsi="Calibri"/>
                <w:b/>
                <w:i w:val="0"/>
                <w:color w:val="212121"/>
                <w:sz w:val="19"/>
              </w:rPr>
              <w:t>~3% of cases</w:t>
            </w:r>
          </w:p>
        </w:tc>
      </w:tr>
      <w:tr>
        <w:trPr>
          <w:cantSplit/>
        </w:trPr>
        <w:tc>
          <w:tcPr>
            <w:tcW w:type="dxa" w:w="2232"/>
            <w:vAlign w:val="top"/>
          </w:tcPr>
          <w:p>
            <w:pPr>
              <w:spacing w:after="40" w:before="0" w:line="259" w:lineRule="auto"/>
            </w:pPr>
            <w:r>
              <w:rPr>
                <w:rFonts w:ascii="Calibri" w:hAnsi="Calibri"/>
                <w:b/>
                <w:i w:val="0"/>
                <w:color w:val="212121"/>
                <w:sz w:val="19"/>
              </w:rPr>
              <w:t>Chronic sinusitis / post-nasal drip</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Nasal/sinus source; typically produces nose-only odour.</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 (GERD)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Refluxed gas and acid contribute to malodour.</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Ketosis gives fruity breath; also increases periodontal disease and dry mouth.</w:t>
            </w:r>
          </w:p>
        </w:tc>
      </w:tr>
      <w:tr>
        <w:trPr>
          <w:cantSplit/>
        </w:trPr>
        <w:tc>
          <w:tcPr>
            <w:tcW w:type="dxa" w:w="2232"/>
            <w:vAlign w:val="top"/>
          </w:tcPr>
          <w:p>
            <w:pPr>
              <w:spacing w:after="40" w:before="0" w:line="259" w:lineRule="auto"/>
            </w:pPr>
            <w:r>
              <w:rPr>
                <w:rFonts w:ascii="Calibri" w:hAnsi="Calibri"/>
                <w:b/>
                <w:i w:val="0"/>
                <w:color w:val="212121"/>
                <w:sz w:val="19"/>
              </w:rPr>
              <w:t>Halitophobia / anxiety disorders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psychological conviction of odour, frequent among those seeking care.</w:t>
            </w:r>
          </w:p>
          <w:p>
            <w:pPr>
              <w:spacing w:after="40" w:before="0" w:line="259" w:lineRule="auto"/>
            </w:pPr>
            <w:r>
              <w:rPr>
                <w:rFonts w:ascii="Calibri" w:hAnsi="Calibri"/>
                <w:b/>
                <w:i w:val="0"/>
                <w:color w:val="212121"/>
                <w:sz w:val="19"/>
              </w:rPr>
              <w:t>~25% of care-seekers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bad breath comes from the tongue and gums, not the stomach, and is largely preventable with daily oral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Clean the posterior tongue daily with a scraper or brush, in addition to brushing teeth twice daily and cleaning between teeth.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a dental check-up and professional cleaning every 6 months, and treat gum disease and caries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rely on mints, gum or mouthwash to mask odour, as they give only short-lived relief.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of a non-oral cause (fruity, fishy or ammoniacal breath, or odour despite a healthy mouth) and seek medical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Remember that self-assessment is unreliable; confirm concerns with a trusted person or a clinician.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Tobacco/betel-quid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gum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Denture-wearers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to reduce obesity and type-2-diabetes risk, which indirectly lowers gum disease and dry-mouth-related malodour.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Carry water and breathe through the nose during exercise to limit exercise-related mouth drying.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regular activity with not smoking and good hydration for the greatest oral-health benefit.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Before social or work commitments, limit garlic, raw onion and other strongly sulphurous foods, whose odour is exhaled from the lungs for hours.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skipping meals and prolonged fasting where possible, as these produce 'hunger breath'.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sugary, sticky and refined foods that feed plaque bacteria.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fibrous fruits and vegetables and chew sugar-free gum after meals to stimulate cleansing saliva.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betel-quid, paan and areca-nut chewing.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diet-related malodour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Fasting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High-sugar-diet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Betel-quid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Brush and clean the tongue before sleeping to reduce overnight bacterial putrefaction and morning breath.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nasal obstruction and evaluate snoring or sleep apnoea to reduce mouth-breathing.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hydrated and avoid heavy, sulphur-rich or late meals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Remove and clean dentures overnight.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Mouth-breathers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 / OSA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severe morning breath</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forms of tobacco — cigarettes, bidis and smokeless tobacco/gutka — which cause odour, dry mouth and gum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nicotine-replacement therapy)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breath, taste and gum health to improve after quitting.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professional periodontal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Smokeless-tobacco/gutka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Betel-quid chewers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Periodontitis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as it dehydrates the mouth and its breakdown products add odour.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Rehydrate with water when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alcohol-containing mouthwashes if you have a dry mouth, as they worsen dryness.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drink alcohol before a clinical breath (Halimeter) test.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dry mouth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due for breath testing</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those convinced of bad breath despite a normal examination and objective testing (halitophobia/pseudohalitosis), give clear reassurance backed by organoleptic and Halimeter results.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support or cognitive-behavioural therapy and, where needed, referral, rather than repeated dental procedures.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anxiety and stress, which reduce salivary flow and can worsen genuine malodour.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pseudohalitosis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halitophobia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or stressed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Clean the posterior dorsum of the tongue daily with a scraper; this targets the main reservoir of odour-causing bacteria.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Brush twice daily with fluoride toothpaste and clean interdentally every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 antibacterial rinse (chlorhexidine, or cetylpyridinium/zinc) as a short-term adjunct.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professional scaling and treat periodontal pockets, caries and defective restorations.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Clean dentures thoroughly and remove them overnight; maintain hydration for salivary flow.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tongue coating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Periodontitis/gingivitis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Xerostomia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ureus.com/articles/114422-self-perceived-halitosis-and-related-factors-among-the-mask-wearing-population-during-the-covid-19-pandemic-in-delhi-india-a-cross-sectional-study" TargetMode="External"/><Relationship Id="rId10" Type="http://schemas.openxmlformats.org/officeDocument/2006/relationships/hyperlink" Target="https://www.who.int/news-room/fact-sheets/detail/oral-health" TargetMode="External"/><Relationship Id="rId11" Type="http://schemas.openxmlformats.org/officeDocument/2006/relationships/hyperlink" Target="https://en.wikipedia.org/wiki/Bad_breath" TargetMode="External"/><Relationship Id="rId12" Type="http://schemas.openxmlformats.org/officeDocument/2006/relationships/hyperlink" Target="https://pubmed.ncbi.nlm.nih.gov/24678201/" TargetMode="External"/><Relationship Id="rId13" Type="http://schemas.openxmlformats.org/officeDocument/2006/relationships/hyperlink" Target="https://www.mayoclinic.org/diseases-conditions/bad-breath/symptoms-causes/syc-20350922" TargetMode="External"/><Relationship Id="rId14" Type="http://schemas.openxmlformats.org/officeDocument/2006/relationships/hyperlink" Target="https://my.clevelandclinic.org/health/diseases/17771-bad-breath-halit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