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Impacted Third Molar</w:t>
      </w:r>
    </w:p>
    <w:p>
      <w:pPr>
        <w:spacing w:before="0" w:after="160"/>
      </w:pPr>
      <w:r>
        <w:rPr>
          <w:rFonts w:ascii="Calibri" w:hAnsi="Calibri"/>
          <w:b/>
          <w:i w:val="0"/>
          <w:color w:val="212121"/>
          <w:sz w:val="22"/>
        </w:rPr>
        <w:t xml:space="preserve">AKA </w:t>
      </w:r>
      <w:r>
        <w:rPr>
          <w:rFonts w:ascii="Calibri" w:hAnsi="Calibri"/>
          <w:b w:val="0"/>
          <w:i w:val="0"/>
          <w:color w:val="212121"/>
          <w:sz w:val="22"/>
        </w:rPr>
        <w:t>i.e., Impacted wisdom tooth, Third molar impaction, Retained/unerupted wisdom tooth (most often the lower/mandibular 'wisdom tooth'); described by overlying tissue (soft-tissue, partial-bony, complete-bony) and classified by angulation (Winter: mesioangular, vertical, horizontal, distoangular) and by ramus relationship and depth (Pell &amp; Gregory Class I-III, Position A-C)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third molar (wisdom tooth) is 'impacted' when it fails to erupt fully into a normal functional position within the expected time because it is blocked by the adjacent second molar, by overlying bone or soft tissue, or because it lies in an abnormal angulation. Impaction most commonly affects the mandibular (lower) third molars, which usually attempt to erupt between about 17 and 25 years of age. Impactions are graded by the covering tissue (soft-tissue, partial-bony or complete-bony) and by radiographic classifications - the angle of the tooth (Winter's classification) and its relationship to the ramus and depth in bone (Pell &amp; Gregory classification). Many impacted third molars stay asymptomatic, but they are a leading cause of pericoronitis, decay of the tooth and its neighbour, and other local pathology.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Impaction of third molars is common worldwide and in India. A 2024 systematic review with meta-analysis estimated a pooled prevalence of about 36.9% of individuals (and 46.4% of third molars), with a slight female predominance. Indian hospital- and clinic-based radiographic surveys report a broadly similar and sometimes higher burden: a Delhi-NCR study cited an incidence range of roughly 9.5% to 68% across populations, and among orthodontic patients in central India about 52% had at least one impacted tooth. Lower (mandibular) third molars are impacted far more often than upper ones, and the mesioangular and vertical angulations are the most frequently reported patterns in Indian series - one Bhopal survey found mandibular vertical (41.4%) and mesioangular (33.3%) impactions to be commonest.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Impacted third molar is a clinical and radiographic diagnosis made on dental examination; there is no confirmatory blood test. It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a wisdom tooth that has not fully erupted by the mid-20s, or of recurrent pain, swelling, food-trapping, bad taste or difficulty cleaning at the very back of the jaw;</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Intra-oral examination showing a partially erupted or clinically absent third molar, an inflamed gum flap (operculum), food/plaque packing, or decay on the distal surface of the second molar;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Classification of the eruption state as soft-tissue, partial-bony or complete-bony impaction;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panoramic radiograph (OPG) as the standard first-line image to confirm impaction and define angulation (Winter), depth and ramus relationship (Pell &amp; Gregory), and the relationship of the roots to the inferior alveolar (dental) nerve canal;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Intra-oral periapical (IOPA) radiographs for fine local detail of the crown, roots and the adjacent second molar;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Cone-beam CT (CBCT) when radiographic signs suggest the roots are intimately related to the inferior alveolar canal, to plan surgery and reduce the risk of nerve injury;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for associated pathology - pericoronitis, distal caries or periodontal pocketing on the second molar, a dentigerous (follicular) cyst (a pericoronal radiolucency wider than about 2.5-3 mm) or resorption of the adjacent tooth root.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Third molar impactions are described in three complementary ways - by the tissue that covers the tooth, by its angulation (Winter), and by its position relative to the ramus and occlusal plane (Pell &amp; Gregory) - and, for management, by whether they are symptomatic or disease-free:</w:t>
      </w:r>
    </w:p>
    <w:p>
      <w:pPr>
        <w:spacing w:before="0" w:after="80"/>
      </w:pPr>
      <w:r>
        <w:rPr>
          <w:rFonts w:ascii="Calibri" w:hAnsi="Calibri"/>
          <w:b w:val="0"/>
          <w:i w:val="0"/>
          <w:color w:val="212121"/>
          <w:sz w:val="21"/>
        </w:rPr>
        <w:t>(1) By angulation (Winter's classification) - the inclination of the third molar's long axis relative to the second molar: mesioangular (tilted forward toward the second molar; the commonest and usually the easiest to remove), vertical (upright), horizontal (lying on its side), and distoangular (tilted backward toward the ramus; often the most difficult to remove), with rarer buccoangular, linguoangular, inverted and transverse positions.</w:t>
      </w:r>
    </w:p>
    <w:p>
      <w:pPr>
        <w:spacing w:before="0" w:after="80"/>
      </w:pPr>
      <w:r>
        <w:rPr>
          <w:rFonts w:ascii="Calibri" w:hAnsi="Calibri"/>
          <w:b w:val="0"/>
          <w:i w:val="0"/>
          <w:color w:val="212121"/>
          <w:sz w:val="21"/>
        </w:rPr>
        <w:t>(2) By ramus relationship and depth (Pell &amp; Gregory classification) - Class I to III grade how much of the crown is obstructed by the anterior border of the mandibular ramus (Class I lies fully anterior to the ramus with space, Class III is wholly within the ramus), while Position A to C grade the depth of the tooth relative to the occlusal plane of the second molar (A is high/level, C lies deep below its cervical line).</w:t>
      </w:r>
    </w:p>
    <w:p>
      <w:pPr>
        <w:spacing w:before="0" w:after="80"/>
      </w:pPr>
      <w:r>
        <w:rPr>
          <w:rFonts w:ascii="Calibri" w:hAnsi="Calibri"/>
          <w:b w:val="0"/>
          <w:i w:val="0"/>
          <w:color w:val="212121"/>
          <w:sz w:val="21"/>
        </w:rPr>
        <w:t>(3) By overlying tissue - soft-tissue impaction (crown covered only by gum/operculum), partial-bony impaction (crown partly covered by bone) and complete-bony (full-bony) impaction (the tooth is encased in bone); this predicts surgical difficulty.</w:t>
      </w:r>
    </w:p>
    <w:p>
      <w:pPr>
        <w:spacing w:before="0" w:after="80"/>
      </w:pPr>
      <w:r>
        <w:rPr>
          <w:rFonts w:ascii="Calibri" w:hAnsi="Calibri"/>
          <w:b w:val="0"/>
          <w:i w:val="0"/>
          <w:color w:val="212121"/>
          <w:sz w:val="21"/>
        </w:rPr>
        <w:t>(4) By clinical state - asymptomatic and disease-free versus symptomatic or associated with pathology (pericoronitis, caries, cyst, resorption). This distinction, not the mere presence of an impaction, drives the decision to remove or to retain and monitor the tooth.</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Insufficient retromolar space (jaw-size reduction): Softer, highly processed modern diets and reduced masticatory load are associated with smaller jaws, so the last tooth to erupt frequently has no room - the fundamental cause of impaction.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Late eruption timing: Third molars erupt last (about 17-25 years), by which age the dental arch is already fully occupied, predisposing the tooth to blockage.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Physical obstruction and abnormal angulation: The developing third molar is blocked by the adjacent second molar, by dense overlying bone or thick soft tissue, or forms at a mesioangular or horizontal angle that prevents normal eruption.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Arch-length/tooth-size discordance: A mismatch between large teeth and a short arch (crowding) leaves inadequate space for the third molar.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Local obstacles and pathology: Retained deciduous teeth, supernumerary teeth, odontomas, cysts or dense scar tissue can mechanically obstruct eruption.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and developmental factors: Jaw size, tooth size, eruption pattern and third-molar agenesis are strongly heritable, and syndromes such as cleidocranial dysplasia markedly increase impaction.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Ethnic variation in craniofacial form: Population differences in jaw and arch morphology alter space availability and hence impaction rates.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(about 18-25 years)</w:t>
            </w:r>
          </w:p>
        </w:tc>
        <w:tc>
          <w:tcPr>
            <w:tcW w:type="dxa" w:w="4276"/>
            <w:vAlign w:val="top"/>
          </w:tcPr>
          <w:p>
            <w:pPr>
              <w:spacing w:after="60" w:line="259" w:lineRule="auto"/>
            </w:pPr>
            <w:r>
              <w:rPr>
                <w:rFonts w:ascii="Calibri" w:hAnsi="Calibri"/>
                <w:b w:val="0"/>
                <w:i w:val="0"/>
                <w:color w:val="212121"/>
                <w:sz w:val="19"/>
              </w:rPr>
              <w:t>This is when third molars attempt to erupt, so partial eruption, an inflamed operculum and food-trapping are commonest, making young adults the peak group for pericoronitis and symptomatic wisdom teeth.</w:t>
            </w:r>
          </w:p>
          <w:p>
            <w:pPr>
              <w:spacing w:after="40" w:before="60" w:line="259" w:lineRule="auto"/>
            </w:pPr>
            <w:r>
              <w:rPr>
                <w:rFonts w:ascii="Calibri" w:hAnsi="Calibri"/>
                <w:b w:val="0"/>
                <w:i w:val="0"/>
                <w:color w:val="212121"/>
                <w:sz w:val="19"/>
              </w:rPr>
              <w:t>Third molars erupt at about 17-25 years and are a common cause of pain and infection in young adults, the peak window for symptomatic third-molar disease.</w:t>
            </w:r>
          </w:p>
          <w:p>
            <w:pPr>
              <w:spacing w:after="40" w:line="252" w:lineRule="auto"/>
            </w:pPr>
            <w:hyperlink r:id="rId9">
              <w:r>
                <w:rPr>
                  <w:rFonts w:ascii="Calibri" w:hAnsi="Calibri" w:cs="Calibri"/>
                  <w:sz w:val="18"/>
                  <w:color w:val="1155CC"/>
                  <w:u w:val="single"/>
                </w:rPr>
                <w:t xml:space="preserve">pubmed.ncbi.nlm.nih.gov/37577450 - risk factors for symptomatic third molars</w:t>
              </w:r>
            </w:hyperlink>
          </w:p>
          <w:p>
            <w:pPr>
              <w:spacing w:before="60" w:after="40"/>
            </w:pPr>
            <w:r>
              <w:rPr>
                <w:rFonts w:ascii="Calibri" w:hAnsi="Calibri"/>
                <w:b w:val="0"/>
                <w:i w:val="0"/>
                <w:color w:val="5A5A5A"/>
                <w:sz w:val="18"/>
              </w:rPr>
              <w:t>#wisdomtooth  #pericoronitis  #youngadults  #eruption  #thirdmolar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(mid-20s to 40s)</w:t>
            </w:r>
          </w:p>
        </w:tc>
        <w:tc>
          <w:tcPr>
            <w:tcW w:type="dxa" w:w="4276"/>
            <w:vAlign w:val="top"/>
          </w:tcPr>
          <w:p>
            <w:pPr>
              <w:spacing w:after="60" w:line="259" w:lineRule="auto"/>
            </w:pPr>
            <w:r>
              <w:rPr>
                <w:rFonts w:ascii="Calibri" w:hAnsi="Calibri"/>
                <w:b w:val="0"/>
                <w:i w:val="0"/>
                <w:color w:val="212121"/>
                <w:sz w:val="19"/>
              </w:rPr>
              <w:t>Retained impactions that were left in situ increasingly present with distal decay of the second molar, periodontal pocketing or cyst formation; surgical removal also becomes more difficult and morbid with age as roots complete and bone becomes denser.</w:t>
            </w:r>
          </w:p>
          <w:p>
            <w:pPr>
              <w:spacing w:after="40" w:before="60" w:line="259" w:lineRule="auto"/>
            </w:pPr>
            <w:r>
              <w:rPr>
                <w:rFonts w:ascii="Calibri" w:hAnsi="Calibri"/>
                <w:b w:val="0"/>
                <w:i w:val="0"/>
                <w:color w:val="212121"/>
                <w:sz w:val="19"/>
              </w:rPr>
              <w:t>Wisdom teeth usually appear in the late teens or early 20s but can cause problems at any age.</w:t>
            </w:r>
          </w:p>
          <w:p>
            <w:pPr>
              <w:spacing w:after="40" w:line="252" w:lineRule="auto"/>
            </w:pPr>
            <w:hyperlink r:id="rId10">
              <w:r>
                <w:rPr>
                  <w:rFonts w:ascii="Calibri" w:hAnsi="Calibri" w:cs="Calibri"/>
                  <w:sz w:val="18"/>
                  <w:color w:val="1155CC"/>
                  <w:u w:val="single"/>
                </w:rPr>
                <w:t xml:space="preserve">nhs.uk - wisdom tooth removal</w:t>
              </w:r>
            </w:hyperlink>
          </w:p>
          <w:p>
            <w:pPr>
              <w:spacing w:before="60" w:after="40"/>
            </w:pPr>
            <w:r>
              <w:rPr>
                <w:rFonts w:ascii="Calibri" w:hAnsi="Calibri"/>
                <w:b w:val="0"/>
                <w:i w:val="0"/>
                <w:color w:val="5A5A5A"/>
                <w:sz w:val="18"/>
              </w:rPr>
              <w:t>#retainedimpaction  #distalcaries  #surgicaldifficulty  #adults  #monitoring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Long-retained impactions in older adults carry a small ongoing risk of cyst or resorption and, if removal is needed, higher surgical morbidity and slower healing; conversely, many deeply buried, disease-free teeth are best left monitored rather than removed.</w:t>
            </w:r>
          </w:p>
          <w:p>
            <w:pPr>
              <w:spacing w:after="40" w:before="60" w:line="259" w:lineRule="auto"/>
            </w:pPr>
            <w:r>
              <w:rPr>
                <w:rFonts w:ascii="Calibri" w:hAnsi="Calibri"/>
                <w:b w:val="0"/>
                <w:i w:val="0"/>
                <w:color w:val="212121"/>
                <w:sz w:val="19"/>
              </w:rPr>
              <w:t>In pathology-free impacted teeth the balance often favours monitoring over surgery, especially as age and comorbidity raise operative risk.</w:t>
            </w:r>
          </w:p>
          <w:p>
            <w:pPr>
              <w:spacing w:after="40" w:line="252" w:lineRule="auto"/>
            </w:pPr>
            <w:hyperlink r:id="rId11">
              <w:r>
                <w:rPr>
                  <w:rFonts w:ascii="Calibri" w:hAnsi="Calibri" w:cs="Calibri"/>
                  <w:sz w:val="18"/>
                  <w:color w:val="1155CC"/>
                  <w:u w:val="single"/>
                </w:rPr>
                <w:t xml:space="preserve">nice.org.uk - TA1 recommendations (retain disease-free teeth)</w:t>
              </w:r>
            </w:hyperlink>
          </w:p>
          <w:p>
            <w:pPr>
              <w:spacing w:before="60" w:after="40"/>
            </w:pPr>
            <w:r>
              <w:rPr>
                <w:rFonts w:ascii="Calibri" w:hAnsi="Calibri"/>
                <w:b w:val="0"/>
                <w:i w:val="0"/>
                <w:color w:val="5A5A5A"/>
                <w:sz w:val="18"/>
              </w:rPr>
              <w:t>#elderly  #retention  #surgicalrisk  #delayedhealing  #monitoring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Earlier cessation of jaw growth in women can leave relatively less retromolar space, and meta-analytic data show a modestly higher likelihood of impaction; several series also report a female predominance among patients presenting with pericoronitis.</w:t>
            </w:r>
          </w:p>
          <w:p>
            <w:pPr>
              <w:spacing w:after="40" w:before="60" w:line="259" w:lineRule="auto"/>
            </w:pPr>
            <w:r>
              <w:rPr>
                <w:rFonts w:ascii="Calibri" w:hAnsi="Calibri"/>
                <w:b w:val="0"/>
                <w:i w:val="0"/>
                <w:color w:val="212121"/>
                <w:sz w:val="19"/>
              </w:rPr>
              <w:t>A 2024 meta-analysis found women slightly more likely to have impacted third molars (odds ratio 1.173, 95% CI 1.021-1.347).</w:t>
            </w:r>
          </w:p>
          <w:p>
            <w:pPr>
              <w:spacing w:after="40" w:line="252" w:lineRule="auto"/>
            </w:pPr>
            <w:hyperlink r:id="rId12">
              <w:r>
                <w:rPr>
                  <w:rFonts w:ascii="Calibri" w:hAnsi="Calibri" w:cs="Calibri"/>
                  <w:sz w:val="18"/>
                  <w:color w:val="1155CC"/>
                  <w:u w:val="single"/>
                </w:rPr>
                <w:t xml:space="preserve">pubmed.ncbi.nlm.nih.gov/39768456 - worldwide prevalence meta-analysis</w:t>
              </w:r>
            </w:hyperlink>
          </w:p>
          <w:p>
            <w:pPr>
              <w:spacing w:before="60" w:after="40"/>
            </w:pPr>
            <w:r>
              <w:rPr>
                <w:rFonts w:ascii="Calibri" w:hAnsi="Calibri"/>
                <w:b w:val="0"/>
                <w:i w:val="0"/>
                <w:color w:val="5A5A5A"/>
                <w:sz w:val="18"/>
              </w:rPr>
              <w:t>#female  #jawgrowth  #impactionrisk  #pericoronitis  #retromolarspace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rural populations</w:t>
            </w:r>
          </w:p>
        </w:tc>
        <w:tc>
          <w:tcPr>
            <w:tcW w:type="dxa" w:w="4276"/>
            <w:vAlign w:val="top"/>
          </w:tcPr>
          <w:p>
            <w:pPr>
              <w:spacing w:after="60" w:line="259" w:lineRule="auto"/>
            </w:pPr>
            <w:r>
              <w:rPr>
                <w:rFonts w:ascii="Calibri" w:hAnsi="Calibri"/>
                <w:b w:val="0"/>
                <w:i w:val="0"/>
                <w:color w:val="212121"/>
                <w:sz w:val="19"/>
              </w:rPr>
              <w:t>Limited access to routine dental review and radiography means impactions are found late, often only once pericoronitis or distal decay of the second molar has developed, and elective removal is deferred.</w:t>
            </w:r>
          </w:p>
          <w:p>
            <w:pPr>
              <w:spacing w:after="40" w:before="60" w:line="259" w:lineRule="auto"/>
            </w:pPr>
            <w:r>
              <w:rPr>
                <w:rFonts w:ascii="Calibri" w:hAnsi="Calibri"/>
                <w:b w:val="0"/>
                <w:i w:val="0"/>
                <w:color w:val="212121"/>
                <w:sz w:val="19"/>
              </w:rPr>
              <w:t>Untreated dental disease and unmet treatment need cluster in lower-income and rural Indian populations with limited access to dental care.</w:t>
            </w:r>
          </w:p>
          <w:p>
            <w:pPr>
              <w:spacing w:before="60" w:after="40"/>
            </w:pPr>
            <w:r>
              <w:rPr>
                <w:rFonts w:ascii="Calibri" w:hAnsi="Calibri"/>
                <w:b w:val="0"/>
                <w:i w:val="0"/>
                <w:color w:val="5A5A5A"/>
                <w:sz w:val="18"/>
              </w:rPr>
              <w:t>#accesstocare  #ruralhealth  #latepresentation  #unmetneed  #healthinequity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access</w:t>
            </w:r>
          </w:p>
        </w:tc>
        <w:tc>
          <w:tcPr>
            <w:tcW w:type="dxa" w:w="2160"/>
            <w:vAlign w:val="top"/>
          </w:tcPr>
          <w:p>
            <w:pPr>
              <w:spacing w:after="40" w:before="0" w:line="259" w:lineRule="auto"/>
            </w:pPr>
            <w:r>
              <w:rPr>
                <w:rFonts w:ascii="Calibri" w:hAnsi="Calibri"/>
                <w:b w:val="0"/>
                <w:i w:val="0"/>
                <w:color w:val="212121"/>
                <w:sz w:val="19"/>
              </w:rPr>
              <w:t>Rural India (dentist-scarce areas)</w:t>
            </w:r>
          </w:p>
        </w:tc>
        <w:tc>
          <w:tcPr>
            <w:tcW w:type="dxa" w:w="4276"/>
            <w:vAlign w:val="top"/>
          </w:tcPr>
          <w:p>
            <w:pPr>
              <w:spacing w:after="60" w:line="259" w:lineRule="auto"/>
            </w:pPr>
            <w:r>
              <w:rPr>
                <w:rFonts w:ascii="Calibri" w:hAnsi="Calibri"/>
                <w:b w:val="0"/>
                <w:i w:val="0"/>
                <w:color w:val="212121"/>
                <w:sz w:val="19"/>
              </w:rPr>
              <w:t>Dentists and oral surgeons in India are heavily concentrated in cities, so rural patients frequently reach care only when an impacted tooth is already causing recurrent infection or has damaged the adjacent tooth.</w:t>
            </w:r>
          </w:p>
          <w:p>
            <w:pPr>
              <w:spacing w:after="40" w:before="60" w:line="259" w:lineRule="auto"/>
            </w:pPr>
            <w:r>
              <w:rPr>
                <w:rFonts w:ascii="Calibri" w:hAnsi="Calibri"/>
                <w:b w:val="0"/>
                <w:i w:val="0"/>
                <w:color w:val="212121"/>
                <w:sz w:val="19"/>
              </w:rPr>
              <w:t>An urban-concentrated dental workforce leaves large rural populations without timely diagnosis or elective management of impacted third molars.</w:t>
            </w:r>
          </w:p>
          <w:p>
            <w:pPr>
              <w:spacing w:before="60" w:after="40"/>
            </w:pPr>
            <w:r>
              <w:rPr>
                <w:rFonts w:ascii="Calibri" w:hAnsi="Calibri"/>
                <w:b w:val="0"/>
                <w:i w:val="0"/>
                <w:color w:val="5A5A5A"/>
                <w:sz w:val="18"/>
              </w:rPr>
              <w:t>#ruralindia  #dentistdensity  #accessgap  #delayedcare  #emergencydental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 South Asian populations</w:t>
            </w:r>
          </w:p>
        </w:tc>
        <w:tc>
          <w:tcPr>
            <w:tcW w:type="dxa" w:w="4276"/>
            <w:vAlign w:val="top"/>
          </w:tcPr>
          <w:p>
            <w:pPr>
              <w:spacing w:after="60" w:line="259" w:lineRule="auto"/>
            </w:pPr>
            <w:r>
              <w:rPr>
                <w:rFonts w:ascii="Calibri" w:hAnsi="Calibri"/>
                <w:b w:val="0"/>
                <w:i w:val="0"/>
                <w:color w:val="212121"/>
                <w:sz w:val="19"/>
              </w:rPr>
              <w:t>Craniofacial and arch morphology, together with widespread crowding, give Indian populations a high impaction burden, dominated by lower (mandibular) teeth in mesioangular and vertical positions.</w:t>
            </w:r>
          </w:p>
          <w:p>
            <w:pPr>
              <w:spacing w:after="40" w:before="60" w:line="259" w:lineRule="auto"/>
            </w:pPr>
            <w:r>
              <w:rPr>
                <w:rFonts w:ascii="Calibri" w:hAnsi="Calibri"/>
                <w:b w:val="0"/>
                <w:i w:val="0"/>
                <w:color w:val="212121"/>
                <w:sz w:val="19"/>
              </w:rPr>
              <w:t>An Indian (Bhopal) radiographic study found mandibular impactions were most often vertical (41.4%) then mesioangular (33.3%), and maxillary impactions most often vertical (67.4%).</w:t>
            </w:r>
          </w:p>
          <w:p>
            <w:pPr>
              <w:spacing w:after="40" w:line="252" w:lineRule="auto"/>
            </w:pPr>
            <w:hyperlink r:id="rId13">
              <w:r>
                <w:rPr>
                  <w:rFonts w:ascii="Calibri" w:hAnsi="Calibri" w:cs="Calibri"/>
                  <w:sz w:val="18"/>
                  <w:color w:val="1155CC"/>
                  <w:u w:val="single"/>
                </w:rPr>
                <w:t xml:space="preserve">pubmed.ncbi.nlm.nih.gov/25737922 - incidence of impacted third molars, India</w:t>
              </w:r>
            </w:hyperlink>
          </w:p>
          <w:p>
            <w:pPr>
              <w:spacing w:before="60" w:after="40"/>
            </w:pPr>
            <w:r>
              <w:rPr>
                <w:rFonts w:ascii="Calibri" w:hAnsi="Calibri"/>
                <w:b w:val="0"/>
                <w:i w:val="0"/>
                <w:color w:val="5A5A5A"/>
                <w:sz w:val="18"/>
              </w:rPr>
              <w:t>#indianpopulation  #mesioangular  #mandibular  #crowding  #angulation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People with poor plaque control around a partially erupted tooth</w:t>
            </w:r>
          </w:p>
        </w:tc>
        <w:tc>
          <w:tcPr>
            <w:tcW w:type="dxa" w:w="4276"/>
            <w:vAlign w:val="top"/>
          </w:tcPr>
          <w:p>
            <w:pPr>
              <w:spacing w:after="60" w:line="259" w:lineRule="auto"/>
            </w:pPr>
            <w:r>
              <w:rPr>
                <w:rFonts w:ascii="Calibri" w:hAnsi="Calibri"/>
                <w:b w:val="0"/>
                <w:i w:val="0"/>
                <w:color w:val="212121"/>
                <w:sz w:val="19"/>
              </w:rPr>
              <w:t>A partly erupted third molar has a gum flap (operculum) and a deep, un-cleansable pocket that traps food and plaque; poor hygiene there precipitates pericoronitis and decays both the impacted tooth and the distal surface of the second molar.</w:t>
            </w:r>
          </w:p>
          <w:p>
            <w:pPr>
              <w:spacing w:after="40" w:before="60" w:line="259" w:lineRule="auto"/>
            </w:pPr>
            <w:r>
              <w:rPr>
                <w:rFonts w:ascii="Calibri" w:hAnsi="Calibri"/>
                <w:b w:val="0"/>
                <w:i w:val="0"/>
                <w:color w:val="212121"/>
                <w:sz w:val="19"/>
              </w:rPr>
              <w:t>Plaque accumulation and food impaction under the operculum are the principal local predisposing factors for pericoronitis of the lower third molar.</w:t>
            </w:r>
          </w:p>
          <w:p>
            <w:pPr>
              <w:spacing w:after="40" w:line="252" w:lineRule="auto"/>
            </w:pPr>
            <w:hyperlink r:id="rId14">
              <w:r>
                <w:rPr>
                  <w:rFonts w:ascii="Calibri" w:hAnsi="Calibri" w:cs="Calibri"/>
                  <w:sz w:val="18"/>
                  <w:color w:val="1155CC"/>
                  <w:u w:val="single"/>
                </w:rPr>
                <w:t xml:space="preserve">pubmed.ncbi.nlm.nih.gov/12731606 - predisposing factors of pericoronitis</w:t>
              </w:r>
            </w:hyperlink>
          </w:p>
          <w:p>
            <w:pPr>
              <w:spacing w:before="60" w:after="40"/>
            </w:pPr>
            <w:r>
              <w:rPr>
                <w:rFonts w:ascii="Calibri" w:hAnsi="Calibri"/>
                <w:b w:val="0"/>
                <w:i w:val="0"/>
                <w:color w:val="5A5A5A"/>
                <w:sz w:val="18"/>
              </w:rPr>
              <w:t>#oralhygiene  #operculum  #plaque  #pericoronitis  #foodpacking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 bidi smokers</w:t>
            </w:r>
          </w:p>
        </w:tc>
        <w:tc>
          <w:tcPr>
            <w:tcW w:type="dxa" w:w="4276"/>
            <w:vAlign w:val="top"/>
          </w:tcPr>
          <w:p>
            <w:pPr>
              <w:spacing w:after="60" w:line="259" w:lineRule="auto"/>
            </w:pPr>
            <w:r>
              <w:rPr>
                <w:rFonts w:ascii="Calibri" w:hAnsi="Calibri"/>
                <w:b w:val="0"/>
                <w:i w:val="0"/>
                <w:color w:val="212121"/>
                <w:sz w:val="19"/>
              </w:rPr>
              <w:t>Smoking promotes plaque-driven inflammation and periodontal breakdown around the operculum, impairs neutrophil function and wound healing, and is a recognised risk factor for pericoronitis and for dry socket and delayed infection after removal.</w:t>
            </w:r>
          </w:p>
          <w:p>
            <w:pPr>
              <w:spacing w:after="40" w:before="60" w:line="259" w:lineRule="auto"/>
            </w:pPr>
            <w:r>
              <w:rPr>
                <w:rFonts w:ascii="Calibri" w:hAnsi="Calibri"/>
                <w:b w:val="0"/>
                <w:i w:val="0"/>
                <w:color w:val="212121"/>
                <w:sz w:val="19"/>
              </w:rPr>
              <w:t>Smoking worsens pericoronitis and is a well-known risk factor for post-extraction complications such as alveolar osteitis (dry socket).</w:t>
            </w:r>
          </w:p>
          <w:p>
            <w:pPr>
              <w:spacing w:before="60" w:after="40"/>
            </w:pPr>
            <w:r>
              <w:rPr>
                <w:rFonts w:ascii="Calibri" w:hAnsi="Calibri"/>
                <w:b w:val="0"/>
                <w:i w:val="0"/>
                <w:color w:val="5A5A5A"/>
                <w:sz w:val="18"/>
              </w:rPr>
              <w:t>#smoking  #bidi  #drysocket  #impairedhealing  #periodontal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Smokeless tobacco / areca chewing</w:t>
            </w:r>
          </w:p>
        </w:tc>
        <w:tc>
          <w:tcPr>
            <w:tcW w:type="dxa" w:w="2160"/>
            <w:vAlign w:val="top"/>
          </w:tcPr>
          <w:p>
            <w:pPr>
              <w:spacing w:after="40" w:before="0" w:line="259" w:lineRule="auto"/>
            </w:pPr>
            <w:r>
              <w:rPr>
                <w:rFonts w:ascii="Calibri" w:hAnsi="Calibri"/>
                <w:b w:val="0"/>
                <w:i w:val="0"/>
                <w:color w:val="212121"/>
                <w:sz w:val="19"/>
              </w:rPr>
              <w:t>Betel-quid, gutka and areca-nut chewers</w:t>
            </w:r>
          </w:p>
        </w:tc>
        <w:tc>
          <w:tcPr>
            <w:tcW w:type="dxa" w:w="4276"/>
            <w:vAlign w:val="top"/>
          </w:tcPr>
          <w:p>
            <w:pPr>
              <w:spacing w:after="60" w:line="259" w:lineRule="auto"/>
            </w:pPr>
            <w:r>
              <w:rPr>
                <w:rFonts w:ascii="Calibri" w:hAnsi="Calibri"/>
                <w:b w:val="0"/>
                <w:i w:val="0"/>
                <w:color w:val="212121"/>
                <w:sz w:val="19"/>
              </w:rPr>
              <w:t>Very common in India, smokeless tobacco and areca-nut/betel-quid chewing cause periodontal breakdown, mucosal disease and reduced mouth opening, all of which worsen hygiene and inflammation around a partially erupted third molar.</w:t>
            </w:r>
          </w:p>
          <w:p>
            <w:pPr>
              <w:spacing w:after="40" w:before="60" w:line="259" w:lineRule="auto"/>
            </w:pPr>
            <w:r>
              <w:rPr>
                <w:rFonts w:ascii="Calibri" w:hAnsi="Calibri"/>
                <w:b w:val="0"/>
                <w:i w:val="0"/>
                <w:color w:val="212121"/>
                <w:sz w:val="19"/>
              </w:rPr>
              <w:t>Areca-nut and smokeless-tobacco use, highly prevalent in South-East Asia, damage the periodontium and mucosa and can limit mouth opening, aggravating third-molar problems.</w:t>
            </w:r>
          </w:p>
          <w:p>
            <w:pPr>
              <w:spacing w:before="60" w:after="40"/>
            </w:pPr>
            <w:r>
              <w:rPr>
                <w:rFonts w:ascii="Calibri" w:hAnsi="Calibri"/>
                <w:b w:val="0"/>
                <w:i w:val="0"/>
                <w:color w:val="5A5A5A"/>
                <w:sz w:val="18"/>
              </w:rPr>
              <w:t>#arecanut  #gutka  #betelquid  #smokelesstobacco  #periodontal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Sugar intake / food packing</w:t>
            </w:r>
          </w:p>
        </w:tc>
        <w:tc>
          <w:tcPr>
            <w:tcW w:type="dxa" w:w="2160"/>
            <w:vAlign w:val="top"/>
          </w:tcPr>
          <w:p>
            <w:pPr>
              <w:spacing w:after="40" w:before="0" w:line="259" w:lineRule="auto"/>
            </w:pPr>
            <w:r>
              <w:rPr>
                <w:rFonts w:ascii="Calibri" w:hAnsi="Calibri"/>
                <w:b w:val="0"/>
                <w:i w:val="0"/>
                <w:color w:val="212121"/>
                <w:sz w:val="19"/>
              </w:rPr>
              <w:t>High free-sugar and sticky-snack consumers</w:t>
            </w:r>
          </w:p>
        </w:tc>
        <w:tc>
          <w:tcPr>
            <w:tcW w:type="dxa" w:w="4276"/>
            <w:vAlign w:val="top"/>
          </w:tcPr>
          <w:p>
            <w:pPr>
              <w:spacing w:after="60" w:line="259" w:lineRule="auto"/>
            </w:pPr>
            <w:r>
              <w:rPr>
                <w:rFonts w:ascii="Calibri" w:hAnsi="Calibri"/>
                <w:b w:val="0"/>
                <w:i w:val="0"/>
                <w:color w:val="212121"/>
                <w:sz w:val="19"/>
              </w:rPr>
              <w:t>Frequent free sugars and sticky refined carbohydrates that lodge in the pocket behind and beneath a partially erupted tooth feed acid-producing bacteria, driving pericoronitis flares and decay of the second molar.</w:t>
            </w:r>
          </w:p>
          <w:p>
            <w:pPr>
              <w:spacing w:after="40" w:before="60" w:line="259" w:lineRule="auto"/>
            </w:pPr>
            <w:r>
              <w:rPr>
                <w:rFonts w:ascii="Calibri" w:hAnsi="Calibri"/>
                <w:b w:val="0"/>
                <w:i w:val="0"/>
                <w:color w:val="212121"/>
                <w:sz w:val="19"/>
              </w:rPr>
              <w:t>Free sugars are the essential dietary cause of dental caries, the decay that afflicts the impacted tooth and its neighbour.</w:t>
            </w:r>
          </w:p>
          <w:p>
            <w:pPr>
              <w:spacing w:after="40" w:line="252" w:lineRule="auto"/>
            </w:pPr>
            <w:hyperlink r:id="rId15">
              <w:r>
                <w:rPr>
                  <w:rFonts w:ascii="Calibri" w:hAnsi="Calibri" w:cs="Calibri"/>
                  <w:sz w:val="18"/>
                  <w:color w:val="1155CC"/>
                  <w:u w:val="single"/>
                </w:rPr>
                <w:t xml:space="preserve">who.int - oral health fact sheet (sugars &amp; caries)</w:t>
              </w:r>
            </w:hyperlink>
          </w:p>
          <w:p>
            <w:pPr>
              <w:spacing w:before="60" w:after="40"/>
            </w:pPr>
            <w:r>
              <w:rPr>
                <w:rFonts w:ascii="Calibri" w:hAnsi="Calibri"/>
                <w:b w:val="0"/>
                <w:i w:val="0"/>
                <w:color w:val="5A5A5A"/>
                <w:sz w:val="18"/>
              </w:rPr>
              <w:t>#freesugars  #stickyfoods  #caries  #foodpacking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 consistency</w:t>
            </w:r>
          </w:p>
        </w:tc>
        <w:tc>
          <w:tcPr>
            <w:tcW w:type="dxa" w:w="2160"/>
            <w:vAlign w:val="top"/>
          </w:tcPr>
          <w:p>
            <w:pPr>
              <w:spacing w:after="40" w:before="0" w:line="259" w:lineRule="auto"/>
            </w:pPr>
            <w:r>
              <w:rPr>
                <w:rFonts w:ascii="Calibri" w:hAnsi="Calibri"/>
                <w:b w:val="0"/>
                <w:i w:val="0"/>
                <w:color w:val="212121"/>
                <w:sz w:val="19"/>
              </w:rPr>
              <w:t>Soft, highly processed 'modern' diet</w:t>
            </w:r>
          </w:p>
        </w:tc>
        <w:tc>
          <w:tcPr>
            <w:tcW w:type="dxa" w:w="4276"/>
            <w:vAlign w:val="top"/>
          </w:tcPr>
          <w:p>
            <w:pPr>
              <w:spacing w:after="60" w:line="259" w:lineRule="auto"/>
            </w:pPr>
            <w:r>
              <w:rPr>
                <w:rFonts w:ascii="Calibri" w:hAnsi="Calibri"/>
                <w:b w:val="0"/>
                <w:i w:val="0"/>
                <w:color w:val="212121"/>
                <w:sz w:val="19"/>
              </w:rPr>
              <w:t>A soft, refined diet reduces chewing forces and is linked to reduced jaw growth, shrinking the retromolar space available for the last molar and increasing the likelihood of impaction over generations.</w:t>
            </w:r>
          </w:p>
          <w:p>
            <w:pPr>
              <w:spacing w:after="40" w:before="60" w:line="259" w:lineRule="auto"/>
            </w:pPr>
            <w:r>
              <w:rPr>
                <w:rFonts w:ascii="Calibri" w:hAnsi="Calibri"/>
                <w:b w:val="0"/>
                <w:i w:val="0"/>
                <w:color w:val="212121"/>
                <w:sz w:val="19"/>
              </w:rPr>
              <w:t>Reduced masticatory load from soft modern diets is a recognised contributor to smaller jaws and third-molar impaction.</w:t>
            </w:r>
          </w:p>
          <w:p>
            <w:pPr>
              <w:spacing w:before="60" w:after="40"/>
            </w:pPr>
            <w:r>
              <w:rPr>
                <w:rFonts w:ascii="Calibri" w:hAnsi="Calibri"/>
                <w:b w:val="0"/>
                <w:i w:val="0"/>
                <w:color w:val="5A5A5A"/>
                <w:sz w:val="18"/>
              </w:rPr>
              <w:t>#softdiet  #jawgrowth  #masticatoryload  #evolutionary  #retromolarspace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jaw morphology</w:t>
            </w:r>
          </w:p>
        </w:tc>
        <w:tc>
          <w:tcPr>
            <w:tcW w:type="dxa" w:w="2160"/>
            <w:vAlign w:val="top"/>
          </w:tcPr>
          <w:p>
            <w:pPr>
              <w:spacing w:after="40" w:before="0" w:line="259" w:lineRule="auto"/>
            </w:pPr>
            <w:r>
              <w:rPr>
                <w:rFonts w:ascii="Calibri" w:hAnsi="Calibri"/>
                <w:b w:val="0"/>
                <w:i w:val="0"/>
                <w:color w:val="212121"/>
                <w:sz w:val="19"/>
              </w:rPr>
              <w:t>Small-jaw / crowded-arch and third-molar-agenesis families</w:t>
            </w:r>
          </w:p>
        </w:tc>
        <w:tc>
          <w:tcPr>
            <w:tcW w:type="dxa" w:w="4276"/>
            <w:vAlign w:val="top"/>
          </w:tcPr>
          <w:p>
            <w:pPr>
              <w:spacing w:after="60" w:line="259" w:lineRule="auto"/>
            </w:pPr>
            <w:r>
              <w:rPr>
                <w:rFonts w:ascii="Calibri" w:hAnsi="Calibri"/>
                <w:b w:val="0"/>
                <w:i w:val="0"/>
                <w:color w:val="212121"/>
                <w:sz w:val="19"/>
              </w:rPr>
              <w:t>Jaw size, tooth size, arch length, eruption pattern and even congenital absence of third molars are strongly heritable, so a family history of impacted or missing wisdom teeth or of crowding raises individual risk.</w:t>
            </w:r>
          </w:p>
          <w:p>
            <w:pPr>
              <w:spacing w:after="40" w:before="60" w:line="259" w:lineRule="auto"/>
            </w:pPr>
            <w:r>
              <w:rPr>
                <w:rFonts w:ascii="Calibri" w:hAnsi="Calibri"/>
                <w:b w:val="0"/>
                <w:i w:val="0"/>
                <w:color w:val="212121"/>
                <w:sz w:val="19"/>
              </w:rPr>
              <w:t>Space-related and developmental predictors (jaw and arch dimensions, angulation) strongly determine whether a third molar impacts, per systematic review.</w:t>
            </w:r>
          </w:p>
          <w:p>
            <w:pPr>
              <w:spacing w:after="40" w:line="252" w:lineRule="auto"/>
            </w:pPr>
            <w:hyperlink r:id="rId16">
              <w:r>
                <w:rPr>
                  <w:rFonts w:ascii="Calibri" w:hAnsi="Calibri" w:cs="Calibri"/>
                  <w:sz w:val="18"/>
                  <w:color w:val="1155CC"/>
                  <w:u w:val="single"/>
                </w:rPr>
                <w:t xml:space="preserve">pubmed.ncbi.nlm.nih.gov/26561441 - predictors of third molar impaction (review)</w:t>
              </w:r>
            </w:hyperlink>
          </w:p>
          <w:p>
            <w:pPr>
              <w:spacing w:before="60" w:after="40"/>
            </w:pPr>
            <w:r>
              <w:rPr>
                <w:rFonts w:ascii="Calibri" w:hAnsi="Calibri"/>
                <w:b w:val="0"/>
                <w:i w:val="0"/>
                <w:color w:val="5A5A5A"/>
                <w:sz w:val="18"/>
              </w:rPr>
              <w:t>#heredity  #jawsize  #crowding  #agenesis  #eruptionpattern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Recurrent pericoronitis</w:t>
            </w:r>
          </w:p>
        </w:tc>
        <w:tc>
          <w:tcPr>
            <w:tcW w:type="dxa" w:w="2160"/>
            <w:vAlign w:val="top"/>
          </w:tcPr>
          <w:p>
            <w:pPr>
              <w:spacing w:after="40" w:before="0" w:line="259" w:lineRule="auto"/>
            </w:pPr>
            <w:r>
              <w:rPr>
                <w:rFonts w:ascii="Calibri" w:hAnsi="Calibri"/>
                <w:b w:val="0"/>
                <w:i w:val="0"/>
                <w:color w:val="212121"/>
                <w:sz w:val="19"/>
              </w:rPr>
              <w:t>Patients with repeated operculum infections</w:t>
            </w:r>
          </w:p>
        </w:tc>
        <w:tc>
          <w:tcPr>
            <w:tcW w:type="dxa" w:w="4276"/>
            <w:vAlign w:val="top"/>
          </w:tcPr>
          <w:p>
            <w:pPr>
              <w:spacing w:after="60" w:line="259" w:lineRule="auto"/>
            </w:pPr>
            <w:r>
              <w:rPr>
                <w:rFonts w:ascii="Calibri" w:hAnsi="Calibri"/>
                <w:b w:val="0"/>
                <w:i w:val="0"/>
                <w:color w:val="212121"/>
                <w:sz w:val="19"/>
              </w:rPr>
              <w:t>Recurrent pericoronitis around a lower third molar is the commonest symptomatic presentation and, from the second episode onward, is itself a recognised indication for surgical removal of the tooth.</w:t>
            </w:r>
          </w:p>
          <w:p>
            <w:pPr>
              <w:spacing w:after="40" w:before="60" w:line="259" w:lineRule="auto"/>
            </w:pPr>
            <w:r>
              <w:rPr>
                <w:rFonts w:ascii="Calibri" w:hAnsi="Calibri"/>
                <w:b w:val="0"/>
                <w:i w:val="0"/>
                <w:color w:val="212121"/>
                <w:sz w:val="19"/>
              </w:rPr>
              <w:t>NICE advises that a first, non-severe episode of pericoronitis is not an indication for surgery, but 'second or subsequent episodes should be considered the appropriate indication for surgery'.</w:t>
            </w:r>
          </w:p>
          <w:p>
            <w:pPr>
              <w:spacing w:after="40" w:line="252" w:lineRule="auto"/>
            </w:pPr>
            <w:hyperlink r:id="rId11">
              <w:r>
                <w:rPr>
                  <w:rFonts w:ascii="Calibri" w:hAnsi="Calibri" w:cs="Calibri"/>
                  <w:sz w:val="18"/>
                  <w:color w:val="1155CC"/>
                  <w:u w:val="single"/>
                </w:rPr>
                <w:t xml:space="preserve">nice.org.uk - TA1 recommendations (pericoronitis)</w:t>
              </w:r>
            </w:hyperlink>
          </w:p>
          <w:p>
            <w:pPr>
              <w:spacing w:before="60" w:after="40"/>
            </w:pPr>
            <w:r>
              <w:rPr>
                <w:rFonts w:ascii="Calibri" w:hAnsi="Calibri"/>
                <w:b w:val="0"/>
                <w:i w:val="0"/>
                <w:color w:val="5A5A5A"/>
                <w:sz w:val="18"/>
              </w:rPr>
              <w:t>#pericoronitis  #recurrentinfection  #removalindication  #operculum  #NICE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Distal caries / periodontal defect of the second molar</w:t>
            </w:r>
          </w:p>
        </w:tc>
        <w:tc>
          <w:tcPr>
            <w:tcW w:type="dxa" w:w="2160"/>
            <w:vAlign w:val="top"/>
          </w:tcPr>
          <w:p>
            <w:pPr>
              <w:spacing w:after="40" w:before="0" w:line="259" w:lineRule="auto"/>
            </w:pPr>
            <w:r>
              <w:rPr>
                <w:rFonts w:ascii="Calibri" w:hAnsi="Calibri"/>
                <w:b w:val="0"/>
                <w:i w:val="0"/>
                <w:color w:val="212121"/>
                <w:sz w:val="19"/>
              </w:rPr>
              <w:t>Mesioangular/horizontal impaction against the second molar</w:t>
            </w:r>
          </w:p>
        </w:tc>
        <w:tc>
          <w:tcPr>
            <w:tcW w:type="dxa" w:w="4276"/>
            <w:vAlign w:val="top"/>
          </w:tcPr>
          <w:p>
            <w:pPr>
              <w:spacing w:after="60" w:line="259" w:lineRule="auto"/>
            </w:pPr>
            <w:r>
              <w:rPr>
                <w:rFonts w:ascii="Calibri" w:hAnsi="Calibri"/>
                <w:b w:val="0"/>
                <w:i w:val="0"/>
                <w:color w:val="212121"/>
                <w:sz w:val="19"/>
              </w:rPr>
              <w:t>A forward-tilted (mesioangular or horizontal) impacted tooth holds plaque against the distal surface and root of the second molar, causing decay and a periodontal pocket there - one of the strongest reasons to remove the wisdom tooth.</w:t>
            </w:r>
          </w:p>
          <w:p>
            <w:pPr>
              <w:spacing w:after="40" w:before="60" w:line="259" w:lineRule="auto"/>
            </w:pPr>
            <w:r>
              <w:rPr>
                <w:rFonts w:ascii="Calibri" w:hAnsi="Calibri"/>
                <w:b w:val="0"/>
                <w:i w:val="0"/>
                <w:color w:val="212121"/>
                <w:sz w:val="19"/>
              </w:rPr>
              <w:t>Unrestorable caries and non-treatable pulpal/periapical disease of, or caused by, the third molar are listed by NICE among the pathologies that justify removal.</w:t>
            </w:r>
          </w:p>
          <w:p>
            <w:pPr>
              <w:spacing w:after="40" w:line="252" w:lineRule="auto"/>
            </w:pPr>
            <w:hyperlink r:id="rId11">
              <w:r>
                <w:rPr>
                  <w:rFonts w:ascii="Calibri" w:hAnsi="Calibri" w:cs="Calibri"/>
                  <w:sz w:val="18"/>
                  <w:color w:val="1155CC"/>
                  <w:u w:val="single"/>
                </w:rPr>
                <w:t xml:space="preserve">nice.org.uk - TA1 recommendations (indications for removal)</w:t>
              </w:r>
            </w:hyperlink>
          </w:p>
          <w:p>
            <w:pPr>
              <w:spacing w:before="60" w:after="40"/>
            </w:pPr>
            <w:r>
              <w:rPr>
                <w:rFonts w:ascii="Calibri" w:hAnsi="Calibri"/>
                <w:b w:val="0"/>
                <w:i w:val="0"/>
                <w:color w:val="5A5A5A"/>
                <w:sz w:val="18"/>
              </w:rPr>
              <w:t>#distalcaries  #secondmolar  #periodontalpocket  #mesioangular  #plaquetrap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Dentigerous cyst / follicular pathology</w:t>
            </w:r>
          </w:p>
        </w:tc>
        <w:tc>
          <w:tcPr>
            <w:tcW w:type="dxa" w:w="2160"/>
            <w:vAlign w:val="top"/>
          </w:tcPr>
          <w:p>
            <w:pPr>
              <w:spacing w:after="40" w:before="0" w:line="259" w:lineRule="auto"/>
            </w:pPr>
            <w:r>
              <w:rPr>
                <w:rFonts w:ascii="Calibri" w:hAnsi="Calibri"/>
                <w:b w:val="0"/>
                <w:i w:val="0"/>
                <w:color w:val="212121"/>
                <w:sz w:val="19"/>
              </w:rPr>
              <w:t>Impactions with an enlarged pericoronal follicle</w:t>
            </w:r>
          </w:p>
        </w:tc>
        <w:tc>
          <w:tcPr>
            <w:tcW w:type="dxa" w:w="4276"/>
            <w:vAlign w:val="top"/>
          </w:tcPr>
          <w:p>
            <w:pPr>
              <w:spacing w:after="60" w:line="259" w:lineRule="auto"/>
            </w:pPr>
            <w:r>
              <w:rPr>
                <w:rFonts w:ascii="Calibri" w:hAnsi="Calibri"/>
                <w:b w:val="0"/>
                <w:i w:val="0"/>
                <w:color w:val="212121"/>
                <w:sz w:val="19"/>
              </w:rPr>
              <w:t>Fluid can accumulate in the dental follicle around the crown of an unerupted third molar to form a dentigerous cyst; impacted teeth are the commonest cause of these cysts and can rarely give rise to odontogenic tumours, warranting removal and histology.</w:t>
            </w:r>
          </w:p>
          <w:p>
            <w:pPr>
              <w:spacing w:after="40" w:before="60" w:line="259" w:lineRule="auto"/>
            </w:pPr>
            <w:r>
              <w:rPr>
                <w:rFonts w:ascii="Calibri" w:hAnsi="Calibri"/>
                <w:b w:val="0"/>
                <w:i w:val="0"/>
                <w:color w:val="212121"/>
                <w:sz w:val="19"/>
              </w:rPr>
              <w:t>An impacted wisdom tooth can develop a fluid-filled cyst that damages bone and adjacent teeth if left untreated.</w:t>
            </w:r>
          </w:p>
          <w:p>
            <w:pPr>
              <w:spacing w:after="40" w:line="252" w:lineRule="auto"/>
            </w:pPr>
            <w:hyperlink r:id="rId10">
              <w:r>
                <w:rPr>
                  <w:rFonts w:ascii="Calibri" w:hAnsi="Calibri" w:cs="Calibri"/>
                  <w:sz w:val="18"/>
                  <w:color w:val="1155CC"/>
                  <w:u w:val="single"/>
                </w:rPr>
                <w:t xml:space="preserve">nhs.uk - wisdom tooth removal (cyst formation)</w:t>
              </w:r>
            </w:hyperlink>
          </w:p>
          <w:p>
            <w:pPr>
              <w:spacing w:before="60" w:after="40"/>
            </w:pPr>
            <w:r>
              <w:rPr>
                <w:rFonts w:ascii="Calibri" w:hAnsi="Calibri"/>
                <w:b w:val="0"/>
                <w:i w:val="0"/>
                <w:color w:val="5A5A5A"/>
                <w:sz w:val="18"/>
              </w:rPr>
              <w:t>#dentigerouscyst  #follicle  #odontogeniccyst  #boneloss  #histology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 immunosuppression</w:t>
            </w:r>
          </w:p>
        </w:tc>
        <w:tc>
          <w:tcPr>
            <w:tcW w:type="dxa" w:w="2160"/>
            <w:vAlign w:val="top"/>
          </w:tcPr>
          <w:p>
            <w:pPr>
              <w:spacing w:after="40" w:before="0" w:line="259" w:lineRule="auto"/>
            </w:pPr>
            <w:r>
              <w:rPr>
                <w:rFonts w:ascii="Calibri" w:hAnsi="Calibri"/>
                <w:b w:val="0"/>
                <w:i w:val="0"/>
                <w:color w:val="212121"/>
                <w:sz w:val="19"/>
              </w:rPr>
              <w:t>Uncontrolled diabetics and immunocompromised patients</w:t>
            </w:r>
          </w:p>
        </w:tc>
        <w:tc>
          <w:tcPr>
            <w:tcW w:type="dxa" w:w="4276"/>
            <w:vAlign w:val="top"/>
          </w:tcPr>
          <w:p>
            <w:pPr>
              <w:spacing w:after="60" w:line="259" w:lineRule="auto"/>
            </w:pPr>
            <w:r>
              <w:rPr>
                <w:rFonts w:ascii="Calibri" w:hAnsi="Calibri"/>
                <w:b w:val="0"/>
                <w:i w:val="0"/>
                <w:color w:val="212121"/>
                <w:sz w:val="19"/>
              </w:rPr>
              <w:t>Hyperglycaemia and immunosuppression blunt local defences and healing, so pericoronitis is more severe and more likely to spread, and post-extraction infection and dry socket are more frequent - a bidirectional loop as infection also worsens glycaemic control.</w:t>
            </w:r>
          </w:p>
          <w:p>
            <w:pPr>
              <w:spacing w:after="40" w:before="60" w:line="259" w:lineRule="auto"/>
            </w:pPr>
            <w:r>
              <w:rPr>
                <w:rFonts w:ascii="Calibri" w:hAnsi="Calibri"/>
                <w:b w:val="0"/>
                <w:i w:val="0"/>
                <w:color w:val="212121"/>
                <w:sz w:val="19"/>
              </w:rPr>
              <w:t>Diabetes and immunosuppression predispose to more severe odontogenic infection and to slower, complicated healing after third-molar surgery.</w:t>
            </w:r>
          </w:p>
          <w:p>
            <w:pPr>
              <w:spacing w:before="60" w:after="40"/>
            </w:pPr>
            <w:r>
              <w:rPr>
                <w:rFonts w:ascii="Calibri" w:hAnsi="Calibri"/>
                <w:b w:val="0"/>
                <w:i w:val="0"/>
                <w:color w:val="5A5A5A"/>
                <w:sz w:val="18"/>
              </w:rPr>
              <w:t>#diabetes  #immunosuppression  #spreadinginfection  #delayedhealing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Orthodontic patients</w:t>
            </w:r>
          </w:p>
        </w:tc>
        <w:tc>
          <w:tcPr>
            <w:tcW w:type="dxa" w:w="2160"/>
            <w:vAlign w:val="top"/>
          </w:tcPr>
          <w:p>
            <w:pPr>
              <w:spacing w:after="40" w:before="0" w:line="259" w:lineRule="auto"/>
            </w:pPr>
            <w:r>
              <w:rPr>
                <w:rFonts w:ascii="Calibri" w:hAnsi="Calibri"/>
                <w:b w:val="0"/>
                <w:i w:val="0"/>
                <w:color w:val="212121"/>
                <w:sz w:val="19"/>
              </w:rPr>
              <w:t>Patients with malocclusion / undergoing orthodontics</w:t>
            </w:r>
          </w:p>
        </w:tc>
        <w:tc>
          <w:tcPr>
            <w:tcW w:type="dxa" w:w="4276"/>
            <w:vAlign w:val="top"/>
          </w:tcPr>
          <w:p>
            <w:pPr>
              <w:spacing w:after="60" w:line="259" w:lineRule="auto"/>
            </w:pPr>
            <w:r>
              <w:rPr>
                <w:rFonts w:ascii="Calibri" w:hAnsi="Calibri"/>
                <w:b w:val="0"/>
                <w:i w:val="0"/>
                <w:color w:val="212121"/>
                <w:sz w:val="19"/>
              </w:rPr>
              <w:t>Impacted and missing third molars are very common in orthodontic populations and can complicate space management and treatment planning, so they are routinely screened for on pre-treatment radiographs.</w:t>
            </w:r>
          </w:p>
          <w:p>
            <w:pPr>
              <w:spacing w:after="40" w:before="60" w:line="259" w:lineRule="auto"/>
            </w:pPr>
            <w:r>
              <w:rPr>
                <w:rFonts w:ascii="Calibri" w:hAnsi="Calibri"/>
                <w:b w:val="0"/>
                <w:i w:val="0"/>
                <w:color w:val="212121"/>
                <w:sz w:val="19"/>
              </w:rPr>
              <w:t>Among orthodontic patients in central India, about 52.3% had at least one impacted tooth.</w:t>
            </w:r>
          </w:p>
          <w:p>
            <w:pPr>
              <w:spacing w:after="40" w:line="252" w:lineRule="auto"/>
            </w:pPr>
            <w:hyperlink r:id="rId17">
              <w:r>
                <w:rPr>
                  <w:rFonts w:ascii="Calibri" w:hAnsi="Calibri" w:cs="Calibri"/>
                  <w:sz w:val="18"/>
                  <w:color w:val="1155CC"/>
                  <w:u w:val="single"/>
                </w:rPr>
                <w:t xml:space="preserve">pubmed.ncbi.nlm.nih.gov/31169156 - impacted third molars in orthodontic patients</w:t>
              </w:r>
            </w:hyperlink>
          </w:p>
          <w:p>
            <w:pPr>
              <w:spacing w:before="60" w:after="40"/>
            </w:pPr>
            <w:r>
              <w:rPr>
                <w:rFonts w:ascii="Calibri" w:hAnsi="Calibri"/>
                <w:b w:val="0"/>
                <w:i w:val="0"/>
                <w:color w:val="5A5A5A"/>
                <w:sz w:val="18"/>
              </w:rPr>
              <w:t>#orthodontics  #malocclusion  #treatmentplanning  #screening  #crowding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Exercise has no direct effect on impaction; the only relevant link is indirect - an impacted third molar weakens the mandibular angle, so a blow during contact or collision sport can more readily fracture the jaw at that site, a risk reduced by a well-fitted mouthguard.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matters twice over: soft, refined modern diets reduce chewing load and jaw growth (favouring impaction), while frequent free sugars and food packing in the un-cleansable pocket drive pericoronitis and decay of the impacted tooth and its neighbour.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causal role, but acute pericoronitis pain and post-operative pain after wisdom-tooth removal commonly disturb sleep for a few nights.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(and smokeless tobacco/areca use) worsens plaque-related inflammation and periodontal breakdown around the operculum, impairs healing, and is a leading risk factor for pericoronitis and for dry socket and delayed infection after extraction.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in impaction; heavy use is linked to poor oral hygiene, and peri-operatively it can impair healing and interact with analgesics and antibiotics, so it is best avoided around surgery.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Dental anxiety and phobia delay assessment and needed removal so problems recur; acute infection and the prospect of oral surgery are themselves stressful, and severe pain impairs mood, concentration and sleep.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Optimal fluoride (in toothpaste and, where available, water) reduces the pericoronal and distal-second-molar caries associated with impaction, and warm salt-water/chlorhexidine irrigation of the operculum relieves acute pericoronitis.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itself has no meaningful role; any harm comes from the sugar and acidity of sweetened tea, coffee and soft drinks, which are cariogenic to the vulnerable pericoronal area.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 hygiene is the key modifiable factor: effective cleaning of the partially erupted tooth and the pocket behind the second molar - with brushing, interdental aids and irrigation - prevents the pericoronitis and distal caries that make impactions symptomatic.</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provokers of symptoms are partial eruption with a traumatised operculum, food and debris impaction, mesioangular/horizontal angulation, biting of the operculum by the opposing upper tooth, and intercurrent upper-respiratory infection, stress or fatigue lowering resistance.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does not cause impaction; the only association is that trismus (limited mouth opening) from acute pericoronitis restricts jaw movement and access for cleaning until the infection settles.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Toothbrushing frequency (with fluoride toothpaste)</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Twice daily with fluoride toothpaste</w:t>
            </w:r>
          </w:p>
        </w:tc>
        <w:tc>
          <w:tcPr>
            <w:tcW w:type="dxa" w:w="1512"/>
            <w:vAlign w:val="top"/>
          </w:tcPr>
          <w:p>
            <w:pPr>
              <w:spacing w:after="40" w:before="0" w:line="259" w:lineRule="auto"/>
            </w:pPr>
            <w:r>
              <w:rPr>
                <w:rFonts w:ascii="Calibri" w:hAnsi="Calibri"/>
                <w:b w:val="0"/>
                <w:i w:val="0"/>
                <w:color w:val="212121"/>
                <w:sz w:val="19"/>
              </w:rPr>
              <w:t>Once daily or less / no fluoride</w:t>
            </w:r>
          </w:p>
        </w:tc>
        <w:tc>
          <w:tcPr>
            <w:tcW w:type="dxa" w:w="1468"/>
            <w:vAlign w:val="top"/>
          </w:tcPr>
          <w:p>
            <w:pPr>
              <w:spacing w:after="60" w:line="259" w:lineRule="auto"/>
            </w:pPr>
            <w:r>
              <w:rPr>
                <w:rFonts w:ascii="Calibri" w:hAnsi="Calibri"/>
                <w:b w:val="0"/>
                <w:i w:val="0"/>
                <w:color w:val="212121"/>
                <w:sz w:val="19"/>
              </w:rPr>
              <w:t>Effective brushing plus interdental cleaning protects the vulnerable pericoronal area</w:t>
            </w:r>
          </w:p>
          <w:p>
            <w:pPr>
              <w:spacing w:after="40" w:line="252" w:lineRule="auto"/>
            </w:pPr>
            <w:hyperlink r:id="rId15">
              <w:r>
                <w:rPr>
                  <w:rFonts w:ascii="Calibri" w:hAnsi="Calibri" w:cs="Calibri"/>
                  <w:sz w:val="18"/>
                  <w:color w:val="1155CC"/>
                  <w:u w:val="single"/>
                </w:rPr>
                <w:t xml:space="preserve">https://www.who.int/news-room/fact-sheets/detail/oral-health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Operculum / pericoronal inflammation</w:t>
            </w:r>
          </w:p>
        </w:tc>
        <w:tc>
          <w:tcPr>
            <w:tcW w:type="dxa" w:w="1655"/>
            <w:vAlign w:val="top"/>
          </w:tcPr>
          <w:p>
            <w:pPr>
              <w:spacing w:after="40" w:before="0" w:line="259" w:lineRule="auto"/>
            </w:pPr>
            <w:r>
              <w:rPr>
                <w:rFonts w:ascii="Calibri" w:hAnsi="Calibri"/>
                <w:b w:val="0"/>
                <w:i w:val="0"/>
                <w:color w:val="212121"/>
                <w:sz w:val="19"/>
              </w:rPr>
              <w:t>Partially erupted third molar</w:t>
            </w:r>
          </w:p>
        </w:tc>
        <w:tc>
          <w:tcPr>
            <w:tcW w:type="dxa" w:w="1512"/>
            <w:vAlign w:val="top"/>
          </w:tcPr>
          <w:p>
            <w:pPr>
              <w:spacing w:after="40" w:before="0" w:line="259" w:lineRule="auto"/>
            </w:pPr>
            <w:r>
              <w:rPr>
                <w:rFonts w:ascii="Calibri" w:hAnsi="Calibri"/>
                <w:b w:val="0"/>
                <w:i w:val="0"/>
                <w:color w:val="212121"/>
                <w:sz w:val="19"/>
              </w:rPr>
              <w:t>Healthy, no swelling or pus</w:t>
            </w:r>
          </w:p>
        </w:tc>
        <w:tc>
          <w:tcPr>
            <w:tcW w:type="dxa" w:w="1512"/>
            <w:vAlign w:val="top"/>
          </w:tcPr>
          <w:p>
            <w:pPr>
              <w:spacing w:after="40" w:before="0" w:line="259" w:lineRule="auto"/>
            </w:pPr>
            <w:r>
              <w:rPr>
                <w:rFonts w:ascii="Calibri" w:hAnsi="Calibri"/>
                <w:b w:val="0"/>
                <w:i w:val="0"/>
                <w:color w:val="212121"/>
                <w:sz w:val="19"/>
              </w:rPr>
              <w:t>Red, swollen or discharging operculum with food packing</w:t>
            </w:r>
          </w:p>
        </w:tc>
        <w:tc>
          <w:tcPr>
            <w:tcW w:type="dxa" w:w="1468"/>
            <w:vAlign w:val="top"/>
          </w:tcPr>
          <w:p>
            <w:pPr>
              <w:spacing w:after="40" w:before="0" w:line="259" w:lineRule="auto"/>
            </w:pPr>
            <w:r>
              <w:rPr>
                <w:rFonts w:ascii="Calibri" w:hAnsi="Calibri"/>
                <w:b w:val="0"/>
                <w:i w:val="0"/>
                <w:color w:val="212121"/>
                <w:sz w:val="19"/>
              </w:rPr>
              <w:t>An inflamed operculum signals pericoronitis and poor local plaque control</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Eruption status and angulation (Winter)</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Fully erupted and functional, or absent</w:t>
            </w:r>
          </w:p>
        </w:tc>
        <w:tc>
          <w:tcPr>
            <w:tcW w:type="dxa" w:w="1512"/>
            <w:vAlign w:val="top"/>
          </w:tcPr>
          <w:p>
            <w:pPr>
              <w:spacing w:after="40" w:before="0" w:line="259" w:lineRule="auto"/>
            </w:pPr>
            <w:r>
              <w:rPr>
                <w:rFonts w:ascii="Calibri" w:hAnsi="Calibri"/>
                <w:b w:val="0"/>
                <w:i w:val="0"/>
                <w:color w:val="212121"/>
                <w:sz w:val="19"/>
              </w:rPr>
              <w:t>Partial eruption, mesioangular or horizontal angle</w:t>
            </w:r>
          </w:p>
        </w:tc>
        <w:tc>
          <w:tcPr>
            <w:tcW w:type="dxa" w:w="1468"/>
            <w:vAlign w:val="top"/>
          </w:tcPr>
          <w:p>
            <w:pPr>
              <w:spacing w:after="40" w:before="0" w:line="259" w:lineRule="auto"/>
            </w:pPr>
            <w:r>
              <w:rPr>
                <w:rFonts w:ascii="Calibri" w:hAnsi="Calibri"/>
                <w:b w:val="0"/>
                <w:i w:val="0"/>
                <w:color w:val="212121"/>
                <w:sz w:val="19"/>
              </w:rPr>
              <w:t>Partial eruption with mesio/horizontal tilt most often becomes symptomatic</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Prior pericoronitis episodes</w:t>
            </w:r>
          </w:p>
        </w:tc>
        <w:tc>
          <w:tcPr>
            <w:tcW w:type="dxa" w:w="1655"/>
            <w:vAlign w:val="top"/>
          </w:tcPr>
          <w:p>
            <w:pPr>
              <w:spacing w:after="40" w:before="0" w:line="259" w:lineRule="auto"/>
            </w:pPr>
            <w:r>
              <w:rPr>
                <w:rFonts w:ascii="Calibri" w:hAnsi="Calibri"/>
                <w:b w:val="0"/>
                <w:i w:val="0"/>
                <w:color w:val="212121"/>
                <w:sz w:val="19"/>
              </w:rPr>
              <w:t>Lower third molar</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 2 episodes</w:t>
            </w:r>
          </w:p>
        </w:tc>
        <w:tc>
          <w:tcPr>
            <w:tcW w:type="dxa" w:w="1468"/>
            <w:vAlign w:val="top"/>
          </w:tcPr>
          <w:p>
            <w:pPr>
              <w:spacing w:after="60" w:line="259" w:lineRule="auto"/>
            </w:pPr>
            <w:r>
              <w:rPr>
                <w:rFonts w:ascii="Calibri" w:hAnsi="Calibri"/>
                <w:b w:val="0"/>
                <w:i w:val="0"/>
                <w:color w:val="212121"/>
                <w:sz w:val="19"/>
              </w:rPr>
              <w:t>A second or subsequent episode is an accepted indication for removal</w:t>
            </w:r>
          </w:p>
          <w:p>
            <w:pPr>
              <w:spacing w:after="40" w:line="252" w:lineRule="auto"/>
            </w:pPr>
            <w:hyperlink r:id="rId11">
              <w:r>
                <w:rPr>
                  <w:rFonts w:ascii="Calibri" w:hAnsi="Calibri" w:cs="Calibri"/>
                  <w:sz w:val="18"/>
                  <w:color w:val="1155CC"/>
                  <w:u w:val="single"/>
                </w:rPr>
                <w:t xml:space="preserve">https://www.nice.org.uk/guidance/ta1/chapter/1-Recommendations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Distal caries / pocket of the second molar</w:t>
            </w:r>
          </w:p>
        </w:tc>
        <w:tc>
          <w:tcPr>
            <w:tcW w:type="dxa" w:w="1655"/>
            <w:vAlign w:val="top"/>
          </w:tcPr>
          <w:p>
            <w:pPr>
              <w:spacing w:after="40" w:before="0" w:line="259" w:lineRule="auto"/>
            </w:pPr>
            <w:r>
              <w:rPr>
                <w:rFonts w:ascii="Calibri" w:hAnsi="Calibri"/>
                <w:b w:val="0"/>
                <w:i w:val="0"/>
                <w:color w:val="212121"/>
                <w:sz w:val="19"/>
              </w:rPr>
              <w:t>Mesioangular/horizontal impaction</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Caries or deep pocket on the distal of the second molar</w:t>
            </w:r>
          </w:p>
        </w:tc>
        <w:tc>
          <w:tcPr>
            <w:tcW w:type="dxa" w:w="1468"/>
            <w:vAlign w:val="top"/>
          </w:tcPr>
          <w:p>
            <w:pPr>
              <w:spacing w:after="60" w:line="259" w:lineRule="auto"/>
            </w:pPr>
            <w:r>
              <w:rPr>
                <w:rFonts w:ascii="Calibri" w:hAnsi="Calibri"/>
                <w:b w:val="0"/>
                <w:i w:val="0"/>
                <w:color w:val="212121"/>
                <w:sz w:val="19"/>
              </w:rPr>
              <w:t>Damage to the neighbour is a strong reason to remove the wisdom tooth</w:t>
            </w:r>
          </w:p>
          <w:p>
            <w:pPr>
              <w:spacing w:after="40" w:line="252" w:lineRule="auto"/>
            </w:pPr>
            <w:hyperlink r:id="rId11">
              <w:r>
                <w:rPr>
                  <w:rFonts w:ascii="Calibri" w:hAnsi="Calibri" w:cs="Calibri"/>
                  <w:sz w:val="18"/>
                  <w:color w:val="1155CC"/>
                  <w:u w:val="single"/>
                </w:rPr>
                <w:t xml:space="preserve">https://www.nice.org.uk/guidance/ta1/chapter/1-Recommendations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Pericoronal follicle width on radiograph</w:t>
            </w:r>
          </w:p>
        </w:tc>
        <w:tc>
          <w:tcPr>
            <w:tcW w:type="dxa" w:w="1655"/>
            <w:vAlign w:val="top"/>
          </w:tcPr>
          <w:p>
            <w:pPr>
              <w:spacing w:after="40" w:before="0" w:line="259" w:lineRule="auto"/>
            </w:pPr>
            <w:r>
              <w:rPr>
                <w:rFonts w:ascii="Calibri" w:hAnsi="Calibri"/>
                <w:b w:val="0"/>
                <w:i w:val="0"/>
                <w:color w:val="212121"/>
                <w:sz w:val="19"/>
              </w:rPr>
              <w:t>Unerupted third molar</w:t>
            </w:r>
          </w:p>
        </w:tc>
        <w:tc>
          <w:tcPr>
            <w:tcW w:type="dxa" w:w="1512"/>
            <w:vAlign w:val="top"/>
          </w:tcPr>
          <w:p>
            <w:pPr>
              <w:spacing w:after="40" w:before="0" w:line="259" w:lineRule="auto"/>
            </w:pPr>
            <w:r>
              <w:rPr>
                <w:rFonts w:ascii="Calibri" w:hAnsi="Calibri"/>
                <w:b w:val="0"/>
                <w:i w:val="0"/>
                <w:color w:val="212121"/>
                <w:sz w:val="19"/>
              </w:rPr>
              <w:t>&lt; 2.5 mm</w:t>
            </w:r>
          </w:p>
        </w:tc>
        <w:tc>
          <w:tcPr>
            <w:tcW w:type="dxa" w:w="1512"/>
            <w:vAlign w:val="top"/>
          </w:tcPr>
          <w:p>
            <w:pPr>
              <w:spacing w:after="40" w:before="0" w:line="259" w:lineRule="auto"/>
            </w:pPr>
            <w:r>
              <w:rPr>
                <w:rFonts w:ascii="Calibri" w:hAnsi="Calibri"/>
                <w:b w:val="0"/>
                <w:i w:val="0"/>
                <w:color w:val="212121"/>
                <w:sz w:val="19"/>
              </w:rPr>
              <w:t>&gt; 2.5-3 mm pericoronal radiolucency</w:t>
            </w:r>
          </w:p>
        </w:tc>
        <w:tc>
          <w:tcPr>
            <w:tcW w:type="dxa" w:w="1468"/>
            <w:vAlign w:val="top"/>
          </w:tcPr>
          <w:p>
            <w:pPr>
              <w:spacing w:after="40" w:before="0" w:line="259" w:lineRule="auto"/>
            </w:pPr>
            <w:r>
              <w:rPr>
                <w:rFonts w:ascii="Calibri" w:hAnsi="Calibri"/>
                <w:b w:val="0"/>
                <w:i w:val="0"/>
                <w:color w:val="212121"/>
                <w:sz w:val="19"/>
              </w:rPr>
              <w:t>An enlarged follicular space suggests a dentigerous cyst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Relationship of roots to inferior alveolar canal</w:t>
            </w:r>
          </w:p>
        </w:tc>
        <w:tc>
          <w:tcPr>
            <w:tcW w:type="dxa" w:w="1655"/>
            <w:vAlign w:val="top"/>
          </w:tcPr>
          <w:p>
            <w:pPr>
              <w:spacing w:after="40" w:before="0" w:line="259" w:lineRule="auto"/>
            </w:pPr>
            <w:r>
              <w:rPr>
                <w:rFonts w:ascii="Calibri" w:hAnsi="Calibri"/>
                <w:b w:val="0"/>
                <w:i w:val="0"/>
                <w:color w:val="212121"/>
                <w:sz w:val="19"/>
              </w:rPr>
              <w:t>Deep mandibular impaction</w:t>
            </w:r>
          </w:p>
        </w:tc>
        <w:tc>
          <w:tcPr>
            <w:tcW w:type="dxa" w:w="1512"/>
            <w:vAlign w:val="top"/>
          </w:tcPr>
          <w:p>
            <w:pPr>
              <w:spacing w:after="40" w:before="0" w:line="259" w:lineRule="auto"/>
            </w:pPr>
            <w:r>
              <w:rPr>
                <w:rFonts w:ascii="Calibri" w:hAnsi="Calibri"/>
                <w:b w:val="0"/>
                <w:i w:val="0"/>
                <w:color w:val="212121"/>
                <w:sz w:val="19"/>
              </w:rPr>
              <w:t>No radiographic contact with the canal</w:t>
            </w:r>
          </w:p>
        </w:tc>
        <w:tc>
          <w:tcPr>
            <w:tcW w:type="dxa" w:w="1512"/>
            <w:vAlign w:val="top"/>
          </w:tcPr>
          <w:p>
            <w:pPr>
              <w:spacing w:after="40" w:before="0" w:line="259" w:lineRule="auto"/>
            </w:pPr>
            <w:r>
              <w:rPr>
                <w:rFonts w:ascii="Calibri" w:hAnsi="Calibri"/>
                <w:b w:val="0"/>
                <w:i w:val="0"/>
                <w:color w:val="212121"/>
                <w:sz w:val="19"/>
              </w:rPr>
              <w:t>Radiographic signs of canal contact (darkening, diversion)</w:t>
            </w:r>
          </w:p>
        </w:tc>
        <w:tc>
          <w:tcPr>
            <w:tcW w:type="dxa" w:w="1468"/>
            <w:vAlign w:val="top"/>
          </w:tcPr>
          <w:p>
            <w:pPr>
              <w:spacing w:after="40" w:before="0" w:line="259" w:lineRule="auto"/>
            </w:pPr>
            <w:r>
              <w:rPr>
                <w:rFonts w:ascii="Calibri" w:hAnsi="Calibri"/>
                <w:b w:val="0"/>
                <w:i w:val="0"/>
                <w:color w:val="212121"/>
                <w:sz w:val="19"/>
              </w:rPr>
              <w:t>Warning signs mandate CBCT to reduce nerve-injury risk before removal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Mouth opening (interincisal)</w:t>
            </w:r>
          </w:p>
        </w:tc>
        <w:tc>
          <w:tcPr>
            <w:tcW w:type="dxa" w:w="1655"/>
            <w:vAlign w:val="top"/>
          </w:tcPr>
          <w:p>
            <w:pPr>
              <w:spacing w:after="40" w:before="0" w:line="259" w:lineRule="auto"/>
            </w:pPr>
            <w:r>
              <w:rPr>
                <w:rFonts w:ascii="Calibri" w:hAnsi="Calibri"/>
                <w:b w:val="0"/>
                <w:i w:val="0"/>
                <w:color w:val="212121"/>
                <w:sz w:val="19"/>
              </w:rPr>
              <w:t>Acute pericoronitis</w:t>
            </w:r>
          </w:p>
        </w:tc>
        <w:tc>
          <w:tcPr>
            <w:tcW w:type="dxa" w:w="1512"/>
            <w:vAlign w:val="top"/>
          </w:tcPr>
          <w:p>
            <w:pPr>
              <w:spacing w:after="40" w:before="0" w:line="259" w:lineRule="auto"/>
            </w:pPr>
            <w:r>
              <w:rPr>
                <w:rFonts w:ascii="Calibri" w:hAnsi="Calibri"/>
                <w:b w:val="0"/>
                <w:i w:val="0"/>
                <w:color w:val="212121"/>
                <w:sz w:val="19"/>
              </w:rPr>
              <w:t>~35-55 mm (normal)</w:t>
            </w:r>
          </w:p>
        </w:tc>
        <w:tc>
          <w:tcPr>
            <w:tcW w:type="dxa" w:w="1512"/>
            <w:vAlign w:val="top"/>
          </w:tcPr>
          <w:p>
            <w:pPr>
              <w:spacing w:after="40" w:before="0" w:line="259" w:lineRule="auto"/>
            </w:pPr>
            <w:r>
              <w:rPr>
                <w:rFonts w:ascii="Calibri" w:hAnsi="Calibri"/>
                <w:b w:val="0"/>
                <w:i w:val="0"/>
                <w:color w:val="212121"/>
                <w:sz w:val="19"/>
              </w:rPr>
              <w:t>&lt; 30 mm (trismus)</w:t>
            </w:r>
          </w:p>
        </w:tc>
        <w:tc>
          <w:tcPr>
            <w:tcW w:type="dxa" w:w="1468"/>
            <w:vAlign w:val="top"/>
          </w:tcPr>
          <w:p>
            <w:pPr>
              <w:spacing w:after="40" w:before="0" w:line="259" w:lineRule="auto"/>
            </w:pPr>
            <w:r>
              <w:rPr>
                <w:rFonts w:ascii="Calibri" w:hAnsi="Calibri"/>
                <w:b w:val="0"/>
                <w:i w:val="0"/>
                <w:color w:val="212121"/>
                <w:sz w:val="19"/>
              </w:rPr>
              <w:t>Trismus indicates significant local infection/spread</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 or smokeless)</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cigarette/bidi or betel-quid/gutka use</w:t>
            </w:r>
          </w:p>
        </w:tc>
        <w:tc>
          <w:tcPr>
            <w:tcW w:type="dxa" w:w="1468"/>
            <w:vAlign w:val="top"/>
          </w:tcPr>
          <w:p>
            <w:pPr>
              <w:spacing w:after="40" w:before="0" w:line="259" w:lineRule="auto"/>
            </w:pPr>
            <w:r>
              <w:rPr>
                <w:rFonts w:ascii="Calibri" w:hAnsi="Calibri"/>
                <w:b w:val="0"/>
                <w:i w:val="0"/>
                <w:color w:val="212121"/>
                <w:sz w:val="19"/>
              </w:rPr>
              <w:t>Tobacco worsens pericoronitis and raises dry-socket and infection risk after removal</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Free-sugar intake and food-packing frequency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&lt; 10% of energy from free sugars; minimal sticky snacking</w:t>
            </w:r>
          </w:p>
        </w:tc>
        <w:tc>
          <w:tcPr>
            <w:tcW w:type="dxa" w:w="1512"/>
            <w:vAlign w:val="top"/>
          </w:tcPr>
          <w:p>
            <w:pPr>
              <w:spacing w:after="40" w:before="0" w:line="259" w:lineRule="auto"/>
            </w:pPr>
            <w:r>
              <w:rPr>
                <w:rFonts w:ascii="Calibri" w:hAnsi="Calibri"/>
                <w:b w:val="0"/>
                <w:i w:val="0"/>
                <w:color w:val="212121"/>
                <w:sz w:val="19"/>
              </w:rPr>
              <w:t>Frequent sugary/sticky foods trapping distally</w:t>
            </w:r>
          </w:p>
        </w:tc>
        <w:tc>
          <w:tcPr>
            <w:tcW w:type="dxa" w:w="1468"/>
            <w:vAlign w:val="top"/>
          </w:tcPr>
          <w:p>
            <w:pPr>
              <w:spacing w:after="60" w:line="259" w:lineRule="auto"/>
            </w:pPr>
            <w:r>
              <w:rPr>
                <w:rFonts w:ascii="Calibri" w:hAnsi="Calibri"/>
                <w:b w:val="0"/>
                <w:i w:val="0"/>
                <w:color w:val="212121"/>
                <w:sz w:val="19"/>
              </w:rPr>
              <w:t>Sugar frequency drives pericoronal and second-molar caries</w:t>
            </w:r>
          </w:p>
          <w:p>
            <w:pPr>
              <w:spacing w:after="40" w:line="252" w:lineRule="auto"/>
            </w:pPr>
            <w:hyperlink r:id="rId15">
              <w:r>
                <w:rPr>
                  <w:rFonts w:ascii="Calibri" w:hAnsi="Calibri" w:cs="Calibri"/>
                  <w:sz w:val="18"/>
                  <w:color w:val="1155CC"/>
                  <w:u w:val="single"/>
                </w:rPr>
                <w:t xml:space="preserve">https://www.who.int/news-room/fact-sheets/detail/oral-health</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Angulation, depth, ramus relation, canal proximity</w:t>
            </w:r>
          </w:p>
        </w:tc>
        <w:tc>
          <w:tcPr>
            <w:tcW w:type="dxa" w:w="892"/>
            <w:vAlign w:val="top"/>
          </w:tcPr>
          <w:p>
            <w:pPr>
              <w:spacing w:after="40" w:before="0" w:line="259" w:lineRule="auto"/>
            </w:pPr>
            <w:r>
              <w:rPr>
                <w:rFonts w:ascii="Calibri" w:hAnsi="Calibri"/>
                <w:b w:val="0"/>
                <w:i w:val="0"/>
                <w:color w:val="212121"/>
                <w:sz w:val="16"/>
              </w:rPr>
              <w:t>Panoramic radiograph (OPG / orthopantomogram)</w:t>
            </w:r>
          </w:p>
        </w:tc>
        <w:tc>
          <w:tcPr>
            <w:tcW w:type="dxa" w:w="950"/>
            <w:vAlign w:val="top"/>
          </w:tcPr>
          <w:p>
            <w:pPr>
              <w:spacing w:after="40" w:before="0" w:line="259" w:lineRule="auto"/>
            </w:pPr>
            <w:r>
              <w:rPr>
                <w:rFonts w:ascii="Calibri" w:hAnsi="Calibri"/>
                <w:b w:val="0"/>
                <w:i w:val="0"/>
                <w:color w:val="212121"/>
                <w:sz w:val="16"/>
              </w:rPr>
              <w:t>Third molar erupted or, if unerupted, no pathology and clear of the canal</w:t>
            </w:r>
          </w:p>
        </w:tc>
        <w:tc>
          <w:tcPr>
            <w:tcW w:type="dxa" w:w="950"/>
            <w:vAlign w:val="top"/>
          </w:tcPr>
          <w:p>
            <w:pPr>
              <w:spacing w:after="40" w:before="0" w:line="259" w:lineRule="auto"/>
            </w:pPr>
            <w:r>
              <w:rPr>
                <w:rFonts w:ascii="Calibri" w:hAnsi="Calibri"/>
                <w:b w:val="0"/>
                <w:i w:val="0"/>
                <w:color w:val="212121"/>
                <w:sz w:val="16"/>
              </w:rPr>
              <w:t>Impacted tooth with mesio/horizontal/disto angulation, deep position, or canal contact</w:t>
            </w:r>
          </w:p>
        </w:tc>
        <w:tc>
          <w:tcPr>
            <w:tcW w:type="dxa" w:w="1036"/>
            <w:vAlign w:val="top"/>
          </w:tcPr>
          <w:p>
            <w:pPr>
              <w:spacing w:after="40" w:before="0" w:line="259" w:lineRule="auto"/>
            </w:pPr>
            <w:r>
              <w:rPr>
                <w:rFonts w:ascii="Calibri" w:hAnsi="Calibri"/>
                <w:b w:val="0"/>
                <w:i w:val="0"/>
                <w:color w:val="212121"/>
                <w:sz w:val="16"/>
              </w:rPr>
              <w:t>Confirms impaction and classifies it (Winter, Pell &amp; Gregory); screens the nerve relationship</w:t>
            </w:r>
          </w:p>
        </w:tc>
        <w:tc>
          <w:tcPr>
            <w:tcW w:type="dxa" w:w="1036"/>
            <w:vAlign w:val="top"/>
          </w:tcPr>
          <w:p>
            <w:pPr>
              <w:spacing w:after="40" w:before="0" w:line="259" w:lineRule="auto"/>
            </w:pPr>
            <w:r>
              <w:rPr>
                <w:rFonts w:ascii="Calibri" w:hAnsi="Calibri"/>
                <w:b w:val="0"/>
                <w:i w:val="0"/>
                <w:color w:val="212121"/>
                <w:sz w:val="16"/>
              </w:rPr>
              <w:t>All patients with a suspected or symptomatic impacted third molar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 standard imaging</w:t>
            </w:r>
          </w:p>
        </w:tc>
        <w:tc>
          <w:tcPr>
            <w:tcW w:type="dxa" w:w="720"/>
            <w:vAlign w:val="top"/>
          </w:tcPr>
          <w:p>
            <w:pPr>
              <w:spacing w:after="40" w:before="0" w:line="259" w:lineRule="auto"/>
            </w:pPr>
            <w:r>
              <w:rPr>
                <w:rFonts w:ascii="Calibri" w:hAnsi="Calibri"/>
                <w:b w:val="0"/>
                <w:i w:val="0"/>
                <w:color w:val="212121"/>
                <w:sz w:val="16"/>
              </w:rPr>
              <w:t>Basis for planning retention versus removal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Local crown, roots and distal second molar</w:t>
            </w:r>
          </w:p>
        </w:tc>
        <w:tc>
          <w:tcPr>
            <w:tcW w:type="dxa" w:w="892"/>
            <w:vAlign w:val="top"/>
          </w:tcPr>
          <w:p>
            <w:pPr>
              <w:spacing w:after="40" w:before="0" w:line="259" w:lineRule="auto"/>
            </w:pPr>
            <w:r>
              <w:rPr>
                <w:rFonts w:ascii="Calibri" w:hAnsi="Calibri"/>
                <w:b w:val="0"/>
                <w:i w:val="0"/>
                <w:color w:val="212121"/>
                <w:sz w:val="16"/>
              </w:rPr>
              <w:t>Intra-oral periapical (IOPA) radiograph</w:t>
            </w:r>
          </w:p>
        </w:tc>
        <w:tc>
          <w:tcPr>
            <w:tcW w:type="dxa" w:w="950"/>
            <w:vAlign w:val="top"/>
          </w:tcPr>
          <w:p>
            <w:pPr>
              <w:spacing w:after="40" w:before="0" w:line="259" w:lineRule="auto"/>
            </w:pPr>
            <w:r>
              <w:rPr>
                <w:rFonts w:ascii="Calibri" w:hAnsi="Calibri"/>
                <w:b w:val="0"/>
                <w:i w:val="0"/>
                <w:color w:val="212121"/>
                <w:sz w:val="16"/>
              </w:rPr>
              <w:t>Intact adjacent tooth, no periapical lesion</w:t>
            </w:r>
          </w:p>
        </w:tc>
        <w:tc>
          <w:tcPr>
            <w:tcW w:type="dxa" w:w="950"/>
            <w:vAlign w:val="top"/>
          </w:tcPr>
          <w:p>
            <w:pPr>
              <w:spacing w:after="40" w:before="0" w:line="259" w:lineRule="auto"/>
            </w:pPr>
            <w:r>
              <w:rPr>
                <w:rFonts w:ascii="Calibri" w:hAnsi="Calibri"/>
                <w:b w:val="0"/>
                <w:i w:val="0"/>
                <w:color w:val="212121"/>
                <w:sz w:val="16"/>
              </w:rPr>
              <w:t>Distal caries/bone loss on the second molar, periapical change</w:t>
            </w:r>
          </w:p>
        </w:tc>
        <w:tc>
          <w:tcPr>
            <w:tcW w:type="dxa" w:w="1036"/>
            <w:vAlign w:val="top"/>
          </w:tcPr>
          <w:p>
            <w:pPr>
              <w:spacing w:after="40" w:before="0" w:line="259" w:lineRule="auto"/>
            </w:pPr>
            <w:r>
              <w:rPr>
                <w:rFonts w:ascii="Calibri" w:hAnsi="Calibri"/>
                <w:b w:val="0"/>
                <w:i w:val="0"/>
                <w:color w:val="212121"/>
                <w:sz w:val="16"/>
              </w:rPr>
              <w:t>Fine detail of local pathology the OPG may under-show</w:t>
            </w:r>
          </w:p>
        </w:tc>
        <w:tc>
          <w:tcPr>
            <w:tcW w:type="dxa" w:w="1036"/>
            <w:vAlign w:val="top"/>
          </w:tcPr>
          <w:p>
            <w:pPr>
              <w:spacing w:after="40" w:before="0" w:line="259" w:lineRule="auto"/>
            </w:pPr>
            <w:r>
              <w:rPr>
                <w:rFonts w:ascii="Calibri" w:hAnsi="Calibri"/>
                <w:b w:val="0"/>
                <w:i w:val="0"/>
                <w:color w:val="212121"/>
                <w:sz w:val="16"/>
              </w:rPr>
              <w:t>Suspected distal caries or periodontal defect of the second molar</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Complements the panoramic film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3D relationship of roots to inferior alveolar canal</w:t>
            </w:r>
          </w:p>
        </w:tc>
        <w:tc>
          <w:tcPr>
            <w:tcW w:type="dxa" w:w="892"/>
            <w:vAlign w:val="top"/>
          </w:tcPr>
          <w:p>
            <w:pPr>
              <w:spacing w:after="40" w:before="0" w:line="259" w:lineRule="auto"/>
            </w:pPr>
            <w:r>
              <w:rPr>
                <w:rFonts w:ascii="Calibri" w:hAnsi="Calibri"/>
                <w:b w:val="0"/>
                <w:i w:val="0"/>
                <w:color w:val="212121"/>
                <w:sz w:val="16"/>
              </w:rPr>
              <w:t>Cone-beam CT (CBCT)</w:t>
            </w:r>
          </w:p>
        </w:tc>
        <w:tc>
          <w:tcPr>
            <w:tcW w:type="dxa" w:w="950"/>
            <w:vAlign w:val="top"/>
          </w:tcPr>
          <w:p>
            <w:pPr>
              <w:spacing w:after="40" w:before="0" w:line="259" w:lineRule="auto"/>
            </w:pPr>
            <w:r>
              <w:rPr>
                <w:rFonts w:ascii="Calibri" w:hAnsi="Calibri"/>
                <w:b w:val="0"/>
                <w:i w:val="0"/>
                <w:color w:val="212121"/>
                <w:sz w:val="16"/>
              </w:rPr>
              <w:t>Roots separate from the canal</w:t>
            </w:r>
          </w:p>
        </w:tc>
        <w:tc>
          <w:tcPr>
            <w:tcW w:type="dxa" w:w="950"/>
            <w:vAlign w:val="top"/>
          </w:tcPr>
          <w:p>
            <w:pPr>
              <w:spacing w:after="40" w:before="0" w:line="259" w:lineRule="auto"/>
            </w:pPr>
            <w:r>
              <w:rPr>
                <w:rFonts w:ascii="Calibri" w:hAnsi="Calibri"/>
                <w:b w:val="0"/>
                <w:i w:val="0"/>
                <w:color w:val="212121"/>
                <w:sz w:val="16"/>
              </w:rPr>
              <w:t>Intimate contact / grooving of the nerve canal</w:t>
            </w:r>
          </w:p>
        </w:tc>
        <w:tc>
          <w:tcPr>
            <w:tcW w:type="dxa" w:w="1036"/>
            <w:vAlign w:val="top"/>
          </w:tcPr>
          <w:p>
            <w:pPr>
              <w:spacing w:after="40" w:before="0" w:line="259" w:lineRule="auto"/>
            </w:pPr>
            <w:r>
              <w:rPr>
                <w:rFonts w:ascii="Calibri" w:hAnsi="Calibri"/>
                <w:b w:val="0"/>
                <w:i w:val="0"/>
                <w:color w:val="212121"/>
                <w:sz w:val="16"/>
              </w:rPr>
              <w:t>Maps nerve proximity in three dimensions to plan safer surgery</w:t>
            </w:r>
          </w:p>
        </w:tc>
        <w:tc>
          <w:tcPr>
            <w:tcW w:type="dxa" w:w="1036"/>
            <w:vAlign w:val="top"/>
          </w:tcPr>
          <w:p>
            <w:pPr>
              <w:spacing w:after="40" w:before="0" w:line="259" w:lineRule="auto"/>
            </w:pPr>
            <w:r>
              <w:rPr>
                <w:rFonts w:ascii="Calibri" w:hAnsi="Calibri"/>
                <w:b w:val="0"/>
                <w:i w:val="0"/>
                <w:color w:val="212121"/>
                <w:sz w:val="16"/>
              </w:rPr>
              <w:t>Deep impactions with OPG warning signs of canal contact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Definitive for nerve risk</w:t>
            </w:r>
          </w:p>
        </w:tc>
        <w:tc>
          <w:tcPr>
            <w:tcW w:type="dxa" w:w="720"/>
            <w:vAlign w:val="top"/>
          </w:tcPr>
          <w:p>
            <w:pPr>
              <w:spacing w:after="40" w:before="0" w:line="259" w:lineRule="auto"/>
            </w:pPr>
            <w:r>
              <w:rPr>
                <w:rFonts w:ascii="Calibri" w:hAnsi="Calibri"/>
                <w:b w:val="0"/>
                <w:i w:val="0"/>
                <w:color w:val="212121"/>
                <w:sz w:val="16"/>
              </w:rPr>
              <w:t>Used selectively, not routinely, to limit radiation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White cell / neutrophil count</w:t>
            </w:r>
          </w:p>
        </w:tc>
        <w:tc>
          <w:tcPr>
            <w:tcW w:type="dxa" w:w="892"/>
            <w:vAlign w:val="top"/>
          </w:tcPr>
          <w:p>
            <w:pPr>
              <w:spacing w:after="40" w:before="0" w:line="259" w:lineRule="auto"/>
            </w:pPr>
            <w:r>
              <w:rPr>
                <w:rFonts w:ascii="Calibri" w:hAnsi="Calibri"/>
                <w:b w:val="0"/>
                <w:i w:val="0"/>
                <w:color w:val="212121"/>
                <w:sz w:val="16"/>
              </w:rPr>
              <w:t>Full blood count (FBC)</w:t>
            </w:r>
          </w:p>
        </w:tc>
        <w:tc>
          <w:tcPr>
            <w:tcW w:type="dxa" w:w="950"/>
            <w:vAlign w:val="top"/>
          </w:tcPr>
          <w:p>
            <w:pPr>
              <w:spacing w:after="40" w:before="0" w:line="259" w:lineRule="auto"/>
            </w:pPr>
            <w:r>
              <w:rPr>
                <w:rFonts w:ascii="Calibri" w:hAnsi="Calibri"/>
                <w:b w:val="0"/>
                <w:i w:val="0"/>
                <w:color w:val="212121"/>
                <w:sz w:val="16"/>
              </w:rPr>
              <w:t>WBC ~4-11 x10^9/L</w:t>
            </w:r>
          </w:p>
        </w:tc>
        <w:tc>
          <w:tcPr>
            <w:tcW w:type="dxa" w:w="950"/>
            <w:vAlign w:val="top"/>
          </w:tcPr>
          <w:p>
            <w:pPr>
              <w:spacing w:after="40" w:before="0" w:line="259" w:lineRule="auto"/>
            </w:pPr>
            <w:r>
              <w:rPr>
                <w:rFonts w:ascii="Calibri" w:hAnsi="Calibri"/>
                <w:b w:val="0"/>
                <w:i w:val="0"/>
                <w:color w:val="212121"/>
                <w:sz w:val="16"/>
              </w:rPr>
              <w:t>Neutrophil leucocytosis</w:t>
            </w:r>
          </w:p>
        </w:tc>
        <w:tc>
          <w:tcPr>
            <w:tcW w:type="dxa" w:w="1036"/>
            <w:vAlign w:val="top"/>
          </w:tcPr>
          <w:p>
            <w:pPr>
              <w:spacing w:after="40" w:before="0" w:line="259" w:lineRule="auto"/>
            </w:pPr>
            <w:r>
              <w:rPr>
                <w:rFonts w:ascii="Calibri" w:hAnsi="Calibri"/>
                <w:b w:val="0"/>
                <w:i w:val="0"/>
                <w:color w:val="212121"/>
                <w:sz w:val="16"/>
              </w:rPr>
              <w:t>Raised counts indicate significant or spreading pericoronitis/abscess</w:t>
            </w:r>
          </w:p>
        </w:tc>
        <w:tc>
          <w:tcPr>
            <w:tcW w:type="dxa" w:w="1036"/>
            <w:vAlign w:val="top"/>
          </w:tcPr>
          <w:p>
            <w:pPr>
              <w:spacing w:after="40" w:before="0" w:line="259" w:lineRule="auto"/>
            </w:pPr>
            <w:r>
              <w:rPr>
                <w:rFonts w:ascii="Calibri" w:hAnsi="Calibri"/>
                <w:b w:val="0"/>
                <w:i w:val="0"/>
                <w:color w:val="212121"/>
                <w:sz w:val="16"/>
              </w:rPr>
              <w:t>Severe or spreading infection, systemic upset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Usually normal in localised pericoronitis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Impaired or diabetic range</w:t>
            </w:r>
          </w:p>
        </w:tc>
        <w:tc>
          <w:tcPr>
            <w:tcW w:type="dxa" w:w="1036"/>
            <w:vAlign w:val="top"/>
          </w:tcPr>
          <w:p>
            <w:pPr>
              <w:spacing w:after="40" w:before="0" w:line="259" w:lineRule="auto"/>
            </w:pPr>
            <w:r>
              <w:rPr>
                <w:rFonts w:ascii="Calibri" w:hAnsi="Calibri"/>
                <w:b w:val="0"/>
                <w:i w:val="0"/>
                <w:color w:val="212121"/>
                <w:sz w:val="16"/>
              </w:rPr>
              <w:t>Uncontrolled diabetes worsens infection and healing and alters surgical timing</w:t>
            </w:r>
          </w:p>
        </w:tc>
        <w:tc>
          <w:tcPr>
            <w:tcW w:type="dxa" w:w="1036"/>
            <w:vAlign w:val="top"/>
          </w:tcPr>
          <w:p>
            <w:pPr>
              <w:spacing w:after="40" w:before="0" w:line="259" w:lineRule="auto"/>
            </w:pPr>
            <w:r>
              <w:rPr>
                <w:rFonts w:ascii="Calibri" w:hAnsi="Calibri"/>
                <w:b w:val="0"/>
                <w:i w:val="0"/>
                <w:color w:val="212121"/>
                <w:sz w:val="16"/>
              </w:rPr>
              <w:t>Recurrent/severe pericoronitis; known or suspected diabetics before surgery</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Optimise glycaemia before elective removal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Pus culture and sensitivity</w:t>
            </w:r>
          </w:p>
        </w:tc>
        <w:tc>
          <w:tcPr>
            <w:tcW w:type="dxa" w:w="892"/>
            <w:vAlign w:val="top"/>
          </w:tcPr>
          <w:p>
            <w:pPr>
              <w:spacing w:after="40" w:before="0" w:line="259" w:lineRule="auto"/>
            </w:pPr>
            <w:r>
              <w:rPr>
                <w:rFonts w:ascii="Calibri" w:hAnsi="Calibri"/>
                <w:b w:val="0"/>
                <w:i w:val="0"/>
                <w:color w:val="212121"/>
                <w:sz w:val="16"/>
              </w:rPr>
              <w:t>Swab / aspirate of pericoronal pus (aerobic + anaerobic)</w:t>
            </w:r>
          </w:p>
        </w:tc>
        <w:tc>
          <w:tcPr>
            <w:tcW w:type="dxa" w:w="950"/>
            <w:vAlign w:val="top"/>
          </w:tcPr>
          <w:p>
            <w:pPr>
              <w:spacing w:after="40" w:before="0" w:line="259" w:lineRule="auto"/>
            </w:pPr>
            <w:r>
              <w:rPr>
                <w:rFonts w:ascii="Calibri" w:hAnsi="Calibri"/>
                <w:b w:val="0"/>
                <w:i w:val="0"/>
                <w:color w:val="212121"/>
                <w:sz w:val="16"/>
              </w:rPr>
              <w:t>Not applicable</w:t>
            </w:r>
          </w:p>
        </w:tc>
        <w:tc>
          <w:tcPr>
            <w:tcW w:type="dxa" w:w="950"/>
            <w:vAlign w:val="top"/>
          </w:tcPr>
          <w:p>
            <w:pPr>
              <w:spacing w:after="40" w:before="0" w:line="259" w:lineRule="auto"/>
            </w:pPr>
            <w:r>
              <w:rPr>
                <w:rFonts w:ascii="Calibri" w:hAnsi="Calibri"/>
                <w:b w:val="0"/>
                <w:i w:val="0"/>
                <w:color w:val="212121"/>
                <w:sz w:val="16"/>
              </w:rPr>
              <w:t>Polymicrobial anaerobes and streptococci</w:t>
            </w:r>
          </w:p>
        </w:tc>
        <w:tc>
          <w:tcPr>
            <w:tcW w:type="dxa" w:w="1036"/>
            <w:vAlign w:val="top"/>
          </w:tcPr>
          <w:p>
            <w:pPr>
              <w:spacing w:after="40" w:before="0" w:line="259" w:lineRule="auto"/>
            </w:pPr>
            <w:r>
              <w:rPr>
                <w:rFonts w:ascii="Calibri" w:hAnsi="Calibri"/>
                <w:b w:val="0"/>
                <w:i w:val="0"/>
                <w:color w:val="212121"/>
                <w:sz w:val="16"/>
              </w:rPr>
              <w:t>Guides antibiotics when infection is severe, spreading or non-responding</w:t>
            </w:r>
          </w:p>
        </w:tc>
        <w:tc>
          <w:tcPr>
            <w:tcW w:type="dxa" w:w="1036"/>
            <w:vAlign w:val="top"/>
          </w:tcPr>
          <w:p>
            <w:pPr>
              <w:spacing w:after="40" w:before="0" w:line="259" w:lineRule="auto"/>
            </w:pPr>
            <w:r>
              <w:rPr>
                <w:rFonts w:ascii="Calibri" w:hAnsi="Calibri"/>
                <w:b w:val="0"/>
                <w:i w:val="0"/>
                <w:color w:val="212121"/>
                <w:sz w:val="16"/>
              </w:rPr>
              <w:t>Spreading pericoronitis, immunocompromised, failed first-line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Targeted therapy</w:t>
            </w:r>
          </w:p>
        </w:tc>
        <w:tc>
          <w:tcPr>
            <w:tcW w:type="dxa" w:w="720"/>
            <w:vAlign w:val="top"/>
          </w:tcPr>
          <w:p>
            <w:pPr>
              <w:spacing w:after="40" w:before="0" w:line="259" w:lineRule="auto"/>
            </w:pPr>
            <w:r>
              <w:rPr>
                <w:rFonts w:ascii="Calibri" w:hAnsi="Calibri"/>
                <w:b w:val="0"/>
                <w:i w:val="0"/>
                <w:color w:val="212121"/>
                <w:sz w:val="16"/>
              </w:rPr>
              <w:t>Most localised pericoronitis is treated empirically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Histopathological</w:t>
            </w:r>
          </w:p>
        </w:tc>
        <w:tc>
          <w:tcPr>
            <w:tcW w:type="dxa" w:w="1036"/>
            <w:vAlign w:val="top"/>
          </w:tcPr>
          <w:p>
            <w:pPr>
              <w:spacing w:after="40" w:before="0" w:line="259" w:lineRule="auto"/>
            </w:pPr>
            <w:r>
              <w:rPr>
                <w:rFonts w:ascii="Calibri" w:hAnsi="Calibri"/>
                <w:b w:val="0"/>
                <w:i w:val="0"/>
                <w:color w:val="212121"/>
                <w:sz w:val="16"/>
              </w:rPr>
              <w:t>Follicle / cyst lining</w:t>
            </w:r>
          </w:p>
        </w:tc>
        <w:tc>
          <w:tcPr>
            <w:tcW w:type="dxa" w:w="892"/>
            <w:vAlign w:val="top"/>
          </w:tcPr>
          <w:p>
            <w:pPr>
              <w:spacing w:after="40" w:before="0" w:line="259" w:lineRule="auto"/>
            </w:pPr>
            <w:r>
              <w:rPr>
                <w:rFonts w:ascii="Calibri" w:hAnsi="Calibri"/>
                <w:b w:val="0"/>
                <w:i w:val="0"/>
                <w:color w:val="212121"/>
                <w:sz w:val="16"/>
              </w:rPr>
              <w:t>Histology of excised follicle or cystic lesion</w:t>
            </w:r>
          </w:p>
        </w:tc>
        <w:tc>
          <w:tcPr>
            <w:tcW w:type="dxa" w:w="950"/>
            <w:vAlign w:val="top"/>
          </w:tcPr>
          <w:p>
            <w:pPr>
              <w:spacing w:after="40" w:before="0" w:line="259" w:lineRule="auto"/>
            </w:pPr>
            <w:r>
              <w:rPr>
                <w:rFonts w:ascii="Calibri" w:hAnsi="Calibri"/>
                <w:b w:val="0"/>
                <w:i w:val="0"/>
                <w:color w:val="212121"/>
                <w:sz w:val="16"/>
              </w:rPr>
              <w:t>Normal dental follicle</w:t>
            </w:r>
          </w:p>
        </w:tc>
        <w:tc>
          <w:tcPr>
            <w:tcW w:type="dxa" w:w="950"/>
            <w:vAlign w:val="top"/>
          </w:tcPr>
          <w:p>
            <w:pPr>
              <w:spacing w:after="40" w:before="0" w:line="259" w:lineRule="auto"/>
            </w:pPr>
            <w:r>
              <w:rPr>
                <w:rFonts w:ascii="Calibri" w:hAnsi="Calibri"/>
                <w:b w:val="0"/>
                <w:i w:val="0"/>
                <w:color w:val="212121"/>
                <w:sz w:val="16"/>
              </w:rPr>
              <w:t>Dentigerous cyst; rarely keratocyst or odontogenic tumour</w:t>
            </w:r>
          </w:p>
        </w:tc>
        <w:tc>
          <w:tcPr>
            <w:tcW w:type="dxa" w:w="1036"/>
            <w:vAlign w:val="top"/>
          </w:tcPr>
          <w:p>
            <w:pPr>
              <w:spacing w:after="40" w:before="0" w:line="259" w:lineRule="auto"/>
            </w:pPr>
            <w:r>
              <w:rPr>
                <w:rFonts w:ascii="Calibri" w:hAnsi="Calibri"/>
                <w:b w:val="0"/>
                <w:i w:val="0"/>
                <w:color w:val="212121"/>
                <w:sz w:val="16"/>
              </w:rPr>
              <w:t>Confirms the nature of an enlarged pericoronal radiolucency</w:t>
            </w:r>
          </w:p>
        </w:tc>
        <w:tc>
          <w:tcPr>
            <w:tcW w:type="dxa" w:w="1036"/>
            <w:vAlign w:val="top"/>
          </w:tcPr>
          <w:p>
            <w:pPr>
              <w:spacing w:after="40" w:before="0" w:line="259" w:lineRule="auto"/>
            </w:pPr>
            <w:r>
              <w:rPr>
                <w:rFonts w:ascii="Calibri" w:hAnsi="Calibri"/>
                <w:b w:val="0"/>
                <w:i w:val="0"/>
                <w:color w:val="212121"/>
                <w:sz w:val="16"/>
              </w:rPr>
              <w:t>Impactions with a follicular space &gt; 2.5-3 mm or a cystic lesion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Definitive for follicular pathology</w:t>
            </w:r>
          </w:p>
        </w:tc>
        <w:tc>
          <w:tcPr>
            <w:tcW w:type="dxa" w:w="720"/>
            <w:vAlign w:val="top"/>
          </w:tcPr>
          <w:p>
            <w:pPr>
              <w:spacing w:after="40" w:before="0" w:line="259" w:lineRule="auto"/>
            </w:pPr>
            <w:r>
              <w:rPr>
                <w:rFonts w:ascii="Calibri" w:hAnsi="Calibri"/>
                <w:b w:val="0"/>
                <w:i w:val="0"/>
                <w:color w:val="212121"/>
                <w:sz w:val="16"/>
              </w:rPr>
              <w:t>Send all removed cyst/follicle tissue for histology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Recurrent pain, swelling, bad taste or food-trapping at the back of the jaw</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Typical symptom pattern of a symptomatic impacted third molar / pericoronitis</w:t>
            </w:r>
          </w:p>
        </w:tc>
        <w:tc>
          <w:tcPr>
            <w:tcW w:type="dxa" w:w="1036"/>
            <w:vAlign w:val="top"/>
          </w:tcPr>
          <w:p>
            <w:pPr>
              <w:spacing w:after="40" w:before="0" w:line="259" w:lineRule="auto"/>
            </w:pPr>
            <w:r>
              <w:rPr>
                <w:rFonts w:ascii="Calibri" w:hAnsi="Calibri"/>
                <w:b w:val="0"/>
                <w:i w:val="0"/>
                <w:color w:val="212121"/>
                <w:sz w:val="16"/>
              </w:rPr>
              <w:t>Young adults with posterior jaw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number and frequency of previous episodes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Dental history</w:t>
            </w:r>
          </w:p>
        </w:tc>
        <w:tc>
          <w:tcPr>
            <w:tcW w:type="dxa" w:w="979"/>
            <w:vAlign w:val="top"/>
          </w:tcPr>
          <w:p>
            <w:pPr>
              <w:spacing w:after="40" w:before="0" w:line="259" w:lineRule="auto"/>
            </w:pPr>
            <w:r>
              <w:rPr>
                <w:rFonts w:ascii="Calibri" w:hAnsi="Calibri"/>
                <w:b w:val="0"/>
                <w:i w:val="0"/>
                <w:color w:val="212121"/>
                <w:sz w:val="16"/>
              </w:rPr>
              <w:t>Eruption status, prior pericoronitis episodes, orthodontic plans, previous extractions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Partial eruption / recurrent infection / planned orthodontics</w:t>
            </w:r>
          </w:p>
        </w:tc>
        <w:tc>
          <w:tcPr>
            <w:tcW w:type="dxa" w:w="1036"/>
            <w:vAlign w:val="top"/>
          </w:tcPr>
          <w:p>
            <w:pPr>
              <w:spacing w:after="40" w:before="0" w:line="259" w:lineRule="auto"/>
            </w:pPr>
            <w:r>
              <w:rPr>
                <w:rFonts w:ascii="Calibri" w:hAnsi="Calibri"/>
                <w:b w:val="0"/>
                <w:i w:val="0"/>
                <w:color w:val="212121"/>
                <w:sz w:val="16"/>
              </w:rPr>
              <w:t>Identifies the tooth and the indication (or not) for removal</w:t>
            </w:r>
          </w:p>
        </w:tc>
        <w:tc>
          <w:tcPr>
            <w:tcW w:type="dxa" w:w="1036"/>
            <w:vAlign w:val="top"/>
          </w:tcPr>
          <w:p>
            <w:pPr>
              <w:spacing w:after="40" w:before="0" w:line="259" w:lineRule="auto"/>
            </w:pPr>
            <w:r>
              <w:rPr>
                <w:rFonts w:ascii="Calibri" w:hAnsi="Calibri"/>
                <w:b w:val="0"/>
                <w:i w:val="0"/>
                <w:color w:val="212121"/>
                <w:sz w:val="16"/>
              </w:rPr>
              <w:t>Orthodontic and recurrent-pericoronitis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second episode of pericoronitis supports removal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&amp; social history</w:t>
            </w:r>
          </w:p>
        </w:tc>
        <w:tc>
          <w:tcPr>
            <w:tcW w:type="dxa" w:w="979"/>
            <w:vAlign w:val="top"/>
          </w:tcPr>
          <w:p>
            <w:pPr>
              <w:spacing w:after="40" w:before="0" w:line="259" w:lineRule="auto"/>
            </w:pPr>
            <w:r>
              <w:rPr>
                <w:rFonts w:ascii="Calibri" w:hAnsi="Calibri"/>
                <w:b w:val="0"/>
                <w:i w:val="0"/>
                <w:color w:val="212121"/>
                <w:sz w:val="16"/>
              </w:rPr>
              <w:t>Diabetes, immunosuppression, smoking/areca use, bleeding risk/anticoagulants, drug allergy</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Diabetes / immunosuppression / tobacco / bleeding risk</w:t>
            </w:r>
          </w:p>
        </w:tc>
        <w:tc>
          <w:tcPr>
            <w:tcW w:type="dxa" w:w="1036"/>
            <w:vAlign w:val="top"/>
          </w:tcPr>
          <w:p>
            <w:pPr>
              <w:spacing w:after="40" w:before="0" w:line="259" w:lineRule="auto"/>
            </w:pPr>
            <w:r>
              <w:rPr>
                <w:rFonts w:ascii="Calibri" w:hAnsi="Calibri"/>
                <w:b w:val="0"/>
                <w:i w:val="0"/>
                <w:color w:val="212121"/>
                <w:sz w:val="16"/>
              </w:rPr>
              <w:t>Flags higher infection, bleeding and healing risk and guides antibiotic/anaesthetic choice</w:t>
            </w:r>
          </w:p>
        </w:tc>
        <w:tc>
          <w:tcPr>
            <w:tcW w:type="dxa" w:w="1036"/>
            <w:vAlign w:val="top"/>
          </w:tcPr>
          <w:p>
            <w:pPr>
              <w:spacing w:after="40" w:before="0" w:line="259" w:lineRule="auto"/>
            </w:pPr>
            <w:r>
              <w:rPr>
                <w:rFonts w:ascii="Calibri" w:hAnsi="Calibri"/>
                <w:b w:val="0"/>
                <w:i w:val="0"/>
                <w:color w:val="212121"/>
                <w:sz w:val="16"/>
              </w:rPr>
              <w:t>Diabetics, immunocompromised, anticoagulated, smokers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pre-operative risk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Intra-oral inspection</w:t>
            </w:r>
          </w:p>
        </w:tc>
        <w:tc>
          <w:tcPr>
            <w:tcW w:type="dxa" w:w="979"/>
            <w:vAlign w:val="top"/>
          </w:tcPr>
          <w:p>
            <w:pPr>
              <w:spacing w:after="40" w:before="0" w:line="259" w:lineRule="auto"/>
            </w:pPr>
            <w:r>
              <w:rPr>
                <w:rFonts w:ascii="Calibri" w:hAnsi="Calibri"/>
                <w:b w:val="0"/>
                <w:i w:val="0"/>
                <w:color w:val="212121"/>
                <w:sz w:val="16"/>
              </w:rPr>
              <w:t>Partially erupted/absent third molar, inflamed operculum, food packing, distal-second-molar decay</w:t>
            </w:r>
          </w:p>
        </w:tc>
        <w:tc>
          <w:tcPr>
            <w:tcW w:type="dxa" w:w="950"/>
            <w:vAlign w:val="top"/>
          </w:tcPr>
          <w:p>
            <w:pPr>
              <w:spacing w:after="40" w:before="0" w:line="259" w:lineRule="auto"/>
            </w:pPr>
            <w:r>
              <w:rPr>
                <w:rFonts w:ascii="Calibri" w:hAnsi="Calibri"/>
                <w:b w:val="0"/>
                <w:i w:val="0"/>
                <w:color w:val="212121"/>
                <w:sz w:val="16"/>
              </w:rPr>
              <w:t>Fully erupted or no pathology</w:t>
            </w:r>
          </w:p>
        </w:tc>
        <w:tc>
          <w:tcPr>
            <w:tcW w:type="dxa" w:w="950"/>
            <w:vAlign w:val="top"/>
          </w:tcPr>
          <w:p>
            <w:pPr>
              <w:spacing w:after="40" w:before="0" w:line="259" w:lineRule="auto"/>
            </w:pPr>
            <w:r>
              <w:rPr>
                <w:rFonts w:ascii="Calibri" w:hAnsi="Calibri"/>
                <w:b w:val="0"/>
                <w:i w:val="0"/>
                <w:color w:val="212121"/>
                <w:sz w:val="16"/>
              </w:rPr>
              <w:t>Operculum inflammation, plaque/food trap, visible caries</w:t>
            </w:r>
          </w:p>
        </w:tc>
        <w:tc>
          <w:tcPr>
            <w:tcW w:type="dxa" w:w="1036"/>
            <w:vAlign w:val="top"/>
          </w:tcPr>
          <w:p>
            <w:pPr>
              <w:spacing w:after="40" w:before="0" w:line="259" w:lineRule="auto"/>
            </w:pPr>
            <w:r>
              <w:rPr>
                <w:rFonts w:ascii="Calibri" w:hAnsi="Calibri"/>
                <w:b w:val="0"/>
                <w:i w:val="0"/>
                <w:color w:val="212121"/>
                <w:sz w:val="16"/>
              </w:rPr>
              <w:t>Confirms a symptomatic impaction and its local effects</w:t>
            </w:r>
          </w:p>
        </w:tc>
        <w:tc>
          <w:tcPr>
            <w:tcW w:type="dxa" w:w="1036"/>
            <w:vAlign w:val="top"/>
          </w:tcPr>
          <w:p>
            <w:pPr>
              <w:spacing w:after="40" w:before="0" w:line="259" w:lineRule="auto"/>
            </w:pPr>
            <w:r>
              <w:rPr>
                <w:rFonts w:ascii="Calibri" w:hAnsi="Calibri"/>
                <w:b w:val="0"/>
                <w:i w:val="0"/>
                <w:color w:val="212121"/>
                <w:sz w:val="16"/>
              </w:rPr>
              <w:t>Symptomatic third molar</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Look for opposing-tooth trauma to the operculum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 / probing</w:t>
            </w:r>
          </w:p>
        </w:tc>
        <w:tc>
          <w:tcPr>
            <w:tcW w:type="dxa" w:w="950"/>
            <w:vAlign w:val="top"/>
          </w:tcPr>
          <w:p>
            <w:pPr>
              <w:spacing w:after="40" w:before="0" w:line="259" w:lineRule="auto"/>
            </w:pPr>
            <w:r>
              <w:rPr>
                <w:rFonts w:ascii="Calibri" w:hAnsi="Calibri"/>
                <w:b w:val="0"/>
                <w:i w:val="0"/>
                <w:color w:val="212121"/>
                <w:sz w:val="16"/>
              </w:rPr>
              <w:t>Palpation, probing and pus expression</w:t>
            </w:r>
          </w:p>
        </w:tc>
        <w:tc>
          <w:tcPr>
            <w:tcW w:type="dxa" w:w="979"/>
            <w:vAlign w:val="top"/>
          </w:tcPr>
          <w:p>
            <w:pPr>
              <w:spacing w:after="40" w:before="0" w:line="259" w:lineRule="auto"/>
            </w:pPr>
            <w:r>
              <w:rPr>
                <w:rFonts w:ascii="Calibri" w:hAnsi="Calibri"/>
                <w:b w:val="0"/>
                <w:i w:val="0"/>
                <w:color w:val="212121"/>
                <w:sz w:val="16"/>
              </w:rPr>
              <w:t>Tender operculum, deep pocket distal to the second molar, expressible pus</w:t>
            </w:r>
          </w:p>
        </w:tc>
        <w:tc>
          <w:tcPr>
            <w:tcW w:type="dxa" w:w="950"/>
            <w:vAlign w:val="top"/>
          </w:tcPr>
          <w:p>
            <w:pPr>
              <w:spacing w:after="40" w:before="0" w:line="259" w:lineRule="auto"/>
            </w:pPr>
            <w:r>
              <w:rPr>
                <w:rFonts w:ascii="Calibri" w:hAnsi="Calibri"/>
                <w:b w:val="0"/>
                <w:i w:val="0"/>
                <w:color w:val="212121"/>
                <w:sz w:val="16"/>
              </w:rPr>
              <w:t>No tenderness, normal pocket depth</w:t>
            </w:r>
          </w:p>
        </w:tc>
        <w:tc>
          <w:tcPr>
            <w:tcW w:type="dxa" w:w="950"/>
            <w:vAlign w:val="top"/>
          </w:tcPr>
          <w:p>
            <w:pPr>
              <w:spacing w:after="40" w:before="0" w:line="259" w:lineRule="auto"/>
            </w:pPr>
            <w:r>
              <w:rPr>
                <w:rFonts w:ascii="Calibri" w:hAnsi="Calibri"/>
                <w:b w:val="0"/>
                <w:i w:val="0"/>
                <w:color w:val="212121"/>
                <w:sz w:val="16"/>
              </w:rPr>
              <w:t>Tender, pus on pressure, deep distal pocket</w:t>
            </w:r>
          </w:p>
        </w:tc>
        <w:tc>
          <w:tcPr>
            <w:tcW w:type="dxa" w:w="1036"/>
            <w:vAlign w:val="top"/>
          </w:tcPr>
          <w:p>
            <w:pPr>
              <w:spacing w:after="40" w:before="0" w:line="259" w:lineRule="auto"/>
            </w:pPr>
            <w:r>
              <w:rPr>
                <w:rFonts w:ascii="Calibri" w:hAnsi="Calibri"/>
                <w:b w:val="0"/>
                <w:i w:val="0"/>
                <w:color w:val="212121"/>
                <w:sz w:val="16"/>
              </w:rPr>
              <w:t>Confirms pericoronitis and periodontal involvement of the neighbour</w:t>
            </w:r>
          </w:p>
        </w:tc>
        <w:tc>
          <w:tcPr>
            <w:tcW w:type="dxa" w:w="1036"/>
            <w:vAlign w:val="top"/>
          </w:tcPr>
          <w:p>
            <w:pPr>
              <w:spacing w:after="40" w:before="0" w:line="259" w:lineRule="auto"/>
            </w:pPr>
            <w:r>
              <w:rPr>
                <w:rFonts w:ascii="Calibri" w:hAnsi="Calibri"/>
                <w:b w:val="0"/>
                <w:i w:val="0"/>
                <w:color w:val="212121"/>
                <w:sz w:val="16"/>
              </w:rPr>
              <w:t>Pericoronitis, distal periodontal defect</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Gentle probing; avoid forcing debris deeper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Percussion / vitality</w:t>
            </w:r>
          </w:p>
        </w:tc>
        <w:tc>
          <w:tcPr>
            <w:tcW w:type="dxa" w:w="950"/>
            <w:vAlign w:val="top"/>
          </w:tcPr>
          <w:p>
            <w:pPr>
              <w:spacing w:after="40" w:before="0" w:line="259" w:lineRule="auto"/>
            </w:pPr>
            <w:r>
              <w:rPr>
                <w:rFonts w:ascii="Calibri" w:hAnsi="Calibri"/>
                <w:b w:val="0"/>
                <w:i w:val="0"/>
                <w:color w:val="212121"/>
                <w:sz w:val="16"/>
              </w:rPr>
              <w:t>Second-molar percussion and pulp test</w:t>
            </w:r>
          </w:p>
        </w:tc>
        <w:tc>
          <w:tcPr>
            <w:tcW w:type="dxa" w:w="979"/>
            <w:vAlign w:val="top"/>
          </w:tcPr>
          <w:p>
            <w:pPr>
              <w:spacing w:after="40" w:before="0" w:line="259" w:lineRule="auto"/>
            </w:pPr>
            <w:r>
              <w:rPr>
                <w:rFonts w:ascii="Calibri" w:hAnsi="Calibri"/>
                <w:b w:val="0"/>
                <w:i w:val="0"/>
                <w:color w:val="212121"/>
                <w:sz w:val="16"/>
              </w:rPr>
              <w:t>Tenderness and vitality of the adjacent second molar</w:t>
            </w:r>
          </w:p>
        </w:tc>
        <w:tc>
          <w:tcPr>
            <w:tcW w:type="dxa" w:w="950"/>
            <w:vAlign w:val="top"/>
          </w:tcPr>
          <w:p>
            <w:pPr>
              <w:spacing w:after="40" w:before="0" w:line="259" w:lineRule="auto"/>
            </w:pPr>
            <w:r>
              <w:rPr>
                <w:rFonts w:ascii="Calibri" w:hAnsi="Calibri"/>
                <w:b w:val="0"/>
                <w:i w:val="0"/>
                <w:color w:val="212121"/>
                <w:sz w:val="16"/>
              </w:rPr>
              <w:t>Non-tender, vital</w:t>
            </w:r>
          </w:p>
        </w:tc>
        <w:tc>
          <w:tcPr>
            <w:tcW w:type="dxa" w:w="950"/>
            <w:vAlign w:val="top"/>
          </w:tcPr>
          <w:p>
            <w:pPr>
              <w:spacing w:after="40" w:before="0" w:line="259" w:lineRule="auto"/>
            </w:pPr>
            <w:r>
              <w:rPr>
                <w:rFonts w:ascii="Calibri" w:hAnsi="Calibri"/>
                <w:b w:val="0"/>
                <w:i w:val="0"/>
                <w:color w:val="212121"/>
                <w:sz w:val="16"/>
              </w:rPr>
              <w:t>Tender or non-vital second molar</w:t>
            </w:r>
          </w:p>
        </w:tc>
        <w:tc>
          <w:tcPr>
            <w:tcW w:type="dxa" w:w="1036"/>
            <w:vAlign w:val="top"/>
          </w:tcPr>
          <w:p>
            <w:pPr>
              <w:spacing w:after="40" w:before="0" w:line="259" w:lineRule="auto"/>
            </w:pPr>
            <w:r>
              <w:rPr>
                <w:rFonts w:ascii="Calibri" w:hAnsi="Calibri"/>
                <w:b w:val="0"/>
                <w:i w:val="0"/>
                <w:color w:val="212121"/>
                <w:sz w:val="16"/>
              </w:rPr>
              <w:t>Distinguishes pericoronitis from decay/pulpitis of the neighbour as the pain source</w:t>
            </w:r>
          </w:p>
        </w:tc>
        <w:tc>
          <w:tcPr>
            <w:tcW w:type="dxa" w:w="1036"/>
            <w:vAlign w:val="top"/>
          </w:tcPr>
          <w:p>
            <w:pPr>
              <w:spacing w:after="40" w:before="0" w:line="259" w:lineRule="auto"/>
            </w:pPr>
            <w:r>
              <w:rPr>
                <w:rFonts w:ascii="Calibri" w:hAnsi="Calibri"/>
                <w:b w:val="0"/>
                <w:i w:val="0"/>
                <w:color w:val="212121"/>
                <w:sz w:val="16"/>
              </w:rPr>
              <w:t>Posterior tooth pain of unclear origin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non-vital second molar changes the treatment plan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Extra-oral / red-flag assessment</w:t>
            </w:r>
          </w:p>
        </w:tc>
        <w:tc>
          <w:tcPr>
            <w:tcW w:type="dxa" w:w="950"/>
            <w:vAlign w:val="top"/>
          </w:tcPr>
          <w:p>
            <w:pPr>
              <w:spacing w:after="40" w:before="0" w:line="259" w:lineRule="auto"/>
            </w:pPr>
            <w:r>
              <w:rPr>
                <w:rFonts w:ascii="Calibri" w:hAnsi="Calibri"/>
                <w:b w:val="0"/>
                <w:i w:val="0"/>
                <w:color w:val="212121"/>
                <w:sz w:val="16"/>
              </w:rPr>
              <w:t>Trismus and spread evaluation</w:t>
            </w:r>
          </w:p>
        </w:tc>
        <w:tc>
          <w:tcPr>
            <w:tcW w:type="dxa" w:w="979"/>
            <w:vAlign w:val="top"/>
          </w:tcPr>
          <w:p>
            <w:pPr>
              <w:spacing w:after="40" w:before="0" w:line="259" w:lineRule="auto"/>
            </w:pPr>
            <w:r>
              <w:rPr>
                <w:rFonts w:ascii="Calibri" w:hAnsi="Calibri"/>
                <w:b w:val="0"/>
                <w:i w:val="0"/>
                <w:color w:val="212121"/>
                <w:sz w:val="16"/>
              </w:rPr>
              <w:t>Reduced mouth opening, facial swelling, cervical lymphadenopathy, fever, dysphagia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Trismus / swelling / systemic signs</w:t>
            </w:r>
          </w:p>
        </w:tc>
        <w:tc>
          <w:tcPr>
            <w:tcW w:type="dxa" w:w="1036"/>
            <w:vAlign w:val="top"/>
          </w:tcPr>
          <w:p>
            <w:pPr>
              <w:spacing w:after="40" w:before="0" w:line="259" w:lineRule="auto"/>
            </w:pPr>
            <w:r>
              <w:rPr>
                <w:rFonts w:ascii="Calibri" w:hAnsi="Calibri"/>
                <w:b w:val="0"/>
                <w:i w:val="0"/>
                <w:color w:val="212121"/>
                <w:sz w:val="16"/>
              </w:rPr>
              <w:t>Signals spreading infection toward fascial spaces - a medical emergency</w:t>
            </w:r>
          </w:p>
        </w:tc>
        <w:tc>
          <w:tcPr>
            <w:tcW w:type="dxa" w:w="1036"/>
            <w:vAlign w:val="top"/>
          </w:tcPr>
          <w:p>
            <w:pPr>
              <w:spacing w:after="40" w:before="0" w:line="259" w:lineRule="auto"/>
            </w:pPr>
            <w:r>
              <w:rPr>
                <w:rFonts w:ascii="Calibri" w:hAnsi="Calibri"/>
                <w:b w:val="0"/>
                <w:i w:val="0"/>
                <w:color w:val="212121"/>
                <w:sz w:val="16"/>
              </w:rPr>
              <w:t>Severe or spreading pericoronitis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Difficulty swallowing or breathing needs urgent hospital care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No symptoms (incidental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impacted third molars are asymptomatic and found only on a routine dental radiograph.</w:t>
            </w:r>
          </w:p>
        </w:tc>
      </w:tr>
      <w:tr>
        <w:trPr>
          <w:cantSplit/>
        </w:trPr>
        <w:tc>
          <w:tcPr>
            <w:tcW w:type="dxa" w:w="2304"/>
            <w:vAlign w:val="top"/>
          </w:tcPr>
          <w:p>
            <w:pPr>
              <w:spacing w:after="40" w:before="0" w:line="259" w:lineRule="auto"/>
            </w:pPr>
            <w:r>
              <w:rPr>
                <w:rFonts w:ascii="Calibri" w:hAnsi="Calibri"/>
                <w:b/>
                <w:i w:val="0"/>
                <w:color w:val="212121"/>
                <w:sz w:val="19"/>
              </w:rPr>
              <w:t>Dull ache or pain behind the last tooth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at the very back of the jaw is the usual first symptom of a troublesome wisdom tooth.</w:t>
            </w:r>
          </w:p>
        </w:tc>
      </w:tr>
      <w:tr>
        <w:trPr>
          <w:cantSplit/>
        </w:trPr>
        <w:tc>
          <w:tcPr>
            <w:tcW w:type="dxa" w:w="2304"/>
            <w:vAlign w:val="top"/>
          </w:tcPr>
          <w:p>
            <w:pPr>
              <w:spacing w:after="40" w:before="0" w:line="259" w:lineRule="auto"/>
            </w:pPr>
            <w:r>
              <w:rPr>
                <w:rFonts w:ascii="Calibri" w:hAnsi="Calibri"/>
                <w:b/>
                <w:i w:val="0"/>
                <w:color w:val="212121"/>
                <w:sz w:val="19"/>
              </w:rPr>
              <w:t>Painful, swollen gum over the tooth (pericoronitis)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Inflammation of the gum flap (operculum) covering a partially erupted tooth.</w:t>
            </w:r>
          </w:p>
        </w:tc>
      </w:tr>
      <w:tr>
        <w:trPr>
          <w:cantSplit/>
        </w:trPr>
        <w:tc>
          <w:tcPr>
            <w:tcW w:type="dxa" w:w="2304"/>
            <w:vAlign w:val="top"/>
          </w:tcPr>
          <w:p>
            <w:pPr>
              <w:spacing w:after="40" w:before="0" w:line="259" w:lineRule="auto"/>
            </w:pPr>
            <w:r>
              <w:rPr>
                <w:rFonts w:ascii="Calibri" w:hAnsi="Calibri"/>
                <w:b/>
                <w:i w:val="0"/>
                <w:color w:val="212121"/>
                <w:sz w:val="19"/>
              </w:rPr>
              <w:t>Bad taste or discharge from the area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Pus draining from an infected operculum leaves a foul taste.</w:t>
            </w:r>
          </w:p>
        </w:tc>
      </w:tr>
      <w:tr>
        <w:trPr>
          <w:cantSplit/>
        </w:trPr>
        <w:tc>
          <w:tcPr>
            <w:tcW w:type="dxa" w:w="2304"/>
            <w:vAlign w:val="top"/>
          </w:tcPr>
          <w:p>
            <w:pPr>
              <w:spacing w:after="40" w:before="0" w:line="259" w:lineRule="auto"/>
            </w:pPr>
            <w:r>
              <w:rPr>
                <w:rFonts w:ascii="Calibri" w:hAnsi="Calibri"/>
                <w:b/>
                <w:i w:val="0"/>
                <w:color w:val="212121"/>
                <w:sz w:val="19"/>
              </w:rPr>
              <w:t>Bad breath (halitosis)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trapped food, plaque and pus around the partially erupted tooth.</w:t>
            </w:r>
          </w:p>
        </w:tc>
      </w:tr>
      <w:tr>
        <w:trPr>
          <w:cantSplit/>
        </w:trPr>
        <w:tc>
          <w:tcPr>
            <w:tcW w:type="dxa" w:w="2304"/>
            <w:vAlign w:val="top"/>
          </w:tcPr>
          <w:p>
            <w:pPr>
              <w:spacing w:after="40" w:before="0" w:line="259" w:lineRule="auto"/>
            </w:pPr>
            <w:r>
              <w:rPr>
                <w:rFonts w:ascii="Calibri" w:hAnsi="Calibri"/>
                <w:b/>
                <w:i w:val="0"/>
                <w:color w:val="212121"/>
                <w:sz w:val="19"/>
              </w:rPr>
              <w:t>Food packing / difficulty cleaning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Food lodges in the pocket behind the second molar and cannot be brushed out.</w:t>
            </w:r>
          </w:p>
        </w:tc>
      </w:tr>
      <w:tr>
        <w:trPr>
          <w:cantSplit/>
        </w:trPr>
        <w:tc>
          <w:tcPr>
            <w:tcW w:type="dxa" w:w="2304"/>
            <w:vAlign w:val="top"/>
          </w:tcPr>
          <w:p>
            <w:pPr>
              <w:spacing w:after="40" w:before="0" w:line="259" w:lineRule="auto"/>
            </w:pPr>
            <w:r>
              <w:rPr>
                <w:rFonts w:ascii="Calibri" w:hAnsi="Calibri"/>
                <w:b/>
                <w:i w:val="0"/>
                <w:color w:val="212121"/>
                <w:sz w:val="19"/>
              </w:rPr>
              <w:t>Pain on chewing or biting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Pressure on the inflamed operculum, or trauma from the opposing upper tooth, hurts on biting.</w:t>
            </w:r>
          </w:p>
        </w:tc>
      </w:tr>
      <w:tr>
        <w:trPr>
          <w:cantSplit/>
        </w:trPr>
        <w:tc>
          <w:tcPr>
            <w:tcW w:type="dxa" w:w="2304"/>
            <w:vAlign w:val="top"/>
          </w:tcPr>
          <w:p>
            <w:pPr>
              <w:spacing w:after="40" w:before="0" w:line="259" w:lineRule="auto"/>
            </w:pPr>
            <w:r>
              <w:rPr>
                <w:rFonts w:ascii="Calibri" w:hAnsi="Calibri"/>
                <w:b/>
                <w:i w:val="0"/>
                <w:color w:val="212121"/>
                <w:sz w:val="19"/>
              </w:rPr>
              <w:t>Tender, swollen glands in the neck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Regional lymph nodes enlarge in response to pericoronal infection.</w:t>
            </w:r>
          </w:p>
        </w:tc>
      </w:tr>
      <w:tr>
        <w:trPr>
          <w:cantSplit/>
        </w:trPr>
        <w:tc>
          <w:tcPr>
            <w:tcW w:type="dxa" w:w="2304"/>
            <w:vAlign w:val="top"/>
          </w:tcPr>
          <w:p>
            <w:pPr>
              <w:spacing w:after="40" w:before="0" w:line="259" w:lineRule="auto"/>
            </w:pPr>
            <w:r>
              <w:rPr>
                <w:rFonts w:ascii="Calibri" w:hAnsi="Calibri"/>
                <w:b/>
                <w:i w:val="0"/>
                <w:color w:val="212121"/>
                <w:sz w:val="19"/>
              </w:rPr>
              <w:t>Difficulty opening the mouth (trismus)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Muscle irritation from spreading pericoronitis limits jaw opening.</w:t>
            </w:r>
          </w:p>
        </w:tc>
      </w:tr>
      <w:tr>
        <w:trPr>
          <w:cantSplit/>
        </w:trPr>
        <w:tc>
          <w:tcPr>
            <w:tcW w:type="dxa" w:w="2304"/>
            <w:vAlign w:val="top"/>
          </w:tcPr>
          <w:p>
            <w:pPr>
              <w:spacing w:after="40" w:before="0" w:line="259" w:lineRule="auto"/>
            </w:pPr>
            <w:r>
              <w:rPr>
                <w:rFonts w:ascii="Calibri" w:hAnsi="Calibri"/>
                <w:b/>
                <w:i w:val="0"/>
                <w:color w:val="212121"/>
                <w:sz w:val="19"/>
              </w:rPr>
              <w:t>Swelling of the cheek or jaw</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spread of infection beyond the local gum.</w:t>
            </w:r>
          </w:p>
        </w:tc>
      </w:tr>
      <w:tr>
        <w:trPr>
          <w:cantSplit/>
        </w:trPr>
        <w:tc>
          <w:tcPr>
            <w:tcW w:type="dxa" w:w="2304"/>
            <w:vAlign w:val="top"/>
          </w:tcPr>
          <w:p>
            <w:pPr>
              <w:spacing w:after="40" w:before="0" w:line="259" w:lineRule="auto"/>
            </w:pPr>
            <w:r>
              <w:rPr>
                <w:rFonts w:ascii="Calibri" w:hAnsi="Calibri"/>
                <w:b/>
                <w:i w:val="0"/>
                <w:color w:val="212121"/>
                <w:sz w:val="19"/>
              </w:rPr>
              <w:t>Earache or referred jaw/head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may be referred to the ear, jaw or head on the same side.</w:t>
            </w:r>
          </w:p>
        </w:tc>
      </w:tr>
      <w:tr>
        <w:trPr>
          <w:cantSplit/>
        </w:trPr>
        <w:tc>
          <w:tcPr>
            <w:tcW w:type="dxa" w:w="2304"/>
            <w:vAlign w:val="top"/>
          </w:tcPr>
          <w:p>
            <w:pPr>
              <w:spacing w:after="40" w:before="0" w:line="259" w:lineRule="auto"/>
            </w:pPr>
            <w:r>
              <w:rPr>
                <w:rFonts w:ascii="Calibri" w:hAnsi="Calibri"/>
                <w:b/>
                <w:i w:val="0"/>
                <w:color w:val="212121"/>
                <w:sz w:val="19"/>
              </w:rPr>
              <w:t>Difficulty swallowing or breathing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emergency suggesting spread of infection into the deep neck spaces.</w:t>
            </w:r>
          </w:p>
        </w:tc>
      </w:tr>
      <w:tr>
        <w:trPr>
          <w:cantSplit/>
        </w:trPr>
        <w:tc>
          <w:tcPr>
            <w:tcW w:type="dxa" w:w="2304"/>
            <w:vAlign w:val="top"/>
          </w:tcPr>
          <w:p>
            <w:pPr>
              <w:spacing w:after="40" w:before="0" w:line="259" w:lineRule="auto"/>
            </w:pPr>
            <w:r>
              <w:rPr>
                <w:rFonts w:ascii="Calibri" w:hAnsi="Calibri"/>
                <w:b/>
                <w:i w:val="0"/>
                <w:color w:val="212121"/>
                <w:sz w:val="19"/>
              </w:rPr>
              <w:t>Numbness of the lip, chin or tongue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Rare from a large cyst or, more often, as a complication after surgical removal.</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Partially erupted or clinically absent third molar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Only part of the crown, or none of it, is visible in the mouth.</w:t>
            </w:r>
          </w:p>
        </w:tc>
      </w:tr>
      <w:tr>
        <w:trPr>
          <w:cantSplit/>
        </w:trPr>
        <w:tc>
          <w:tcPr>
            <w:tcW w:type="dxa" w:w="3456"/>
            <w:vAlign w:val="top"/>
          </w:tcPr>
          <w:p>
            <w:pPr>
              <w:spacing w:after="40" w:before="0" w:line="259" w:lineRule="auto"/>
            </w:pPr>
            <w:r>
              <w:rPr>
                <w:rFonts w:ascii="Calibri" w:hAnsi="Calibri"/>
                <w:b/>
                <w:i w:val="0"/>
                <w:color w:val="212121"/>
                <w:sz w:val="19"/>
              </w:rPr>
              <w:t>Red, swollen operculum with food/plaque packing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local sign of pericoronitis around the tooth.</w:t>
            </w:r>
          </w:p>
        </w:tc>
      </w:tr>
      <w:tr>
        <w:trPr>
          <w:cantSplit/>
        </w:trPr>
        <w:tc>
          <w:tcPr>
            <w:tcW w:type="dxa" w:w="3456"/>
            <w:vAlign w:val="top"/>
          </w:tcPr>
          <w:p>
            <w:pPr>
              <w:spacing w:after="40" w:before="0" w:line="259" w:lineRule="auto"/>
            </w:pPr>
            <w:r>
              <w:rPr>
                <w:rFonts w:ascii="Calibri" w:hAnsi="Calibri"/>
                <w:b/>
                <w:i w:val="0"/>
                <w:color w:val="212121"/>
                <w:sz w:val="19"/>
              </w:rPr>
              <w:t>Pus expressible from under the operculum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Gentle pressure releases pus, confirming active pericoronal infection.</w:t>
            </w:r>
          </w:p>
        </w:tc>
      </w:tr>
      <w:tr>
        <w:trPr>
          <w:cantSplit/>
        </w:trPr>
        <w:tc>
          <w:tcPr>
            <w:tcW w:type="dxa" w:w="3456"/>
            <w:vAlign w:val="top"/>
          </w:tcPr>
          <w:p>
            <w:pPr>
              <w:spacing w:after="40" w:before="0" w:line="259" w:lineRule="auto"/>
            </w:pPr>
            <w:r>
              <w:rPr>
                <w:rFonts w:ascii="Calibri" w:hAnsi="Calibri"/>
                <w:b/>
                <w:i w:val="0"/>
                <w:color w:val="212121"/>
                <w:sz w:val="19"/>
              </w:rPr>
              <w:t>Caries or plaque on the distal of the second molar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Decay on the back surface of the neighbour caused by the trapped plaque.</w:t>
            </w:r>
          </w:p>
        </w:tc>
      </w:tr>
      <w:tr>
        <w:trPr>
          <w:cantSplit/>
        </w:trPr>
        <w:tc>
          <w:tcPr>
            <w:tcW w:type="dxa" w:w="3456"/>
            <w:vAlign w:val="top"/>
          </w:tcPr>
          <w:p>
            <w:pPr>
              <w:spacing w:after="40" w:before="0" w:line="259" w:lineRule="auto"/>
            </w:pPr>
            <w:r>
              <w:rPr>
                <w:rFonts w:ascii="Calibri" w:hAnsi="Calibri"/>
                <w:b/>
                <w:i w:val="0"/>
                <w:color w:val="212121"/>
                <w:sz w:val="19"/>
              </w:rPr>
              <w:t>Tender gum on palpation at the site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tenderness over the operculum and retromolar area.</w:t>
            </w:r>
          </w:p>
        </w:tc>
      </w:tr>
      <w:tr>
        <w:trPr>
          <w:cantSplit/>
        </w:trPr>
        <w:tc>
          <w:tcPr>
            <w:tcW w:type="dxa" w:w="3456"/>
            <w:vAlign w:val="top"/>
          </w:tcPr>
          <w:p>
            <w:pPr>
              <w:spacing w:after="40" w:before="0" w:line="259" w:lineRule="auto"/>
            </w:pPr>
            <w:r>
              <w:rPr>
                <w:rFonts w:ascii="Calibri" w:hAnsi="Calibri"/>
                <w:b/>
                <w:i w:val="0"/>
                <w:color w:val="212121"/>
                <w:sz w:val="19"/>
              </w:rPr>
              <w:t>Impaction and angulation on OPG radiograph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Panoramic film shows the unerupted tooth, its angle and its depth.</w:t>
            </w:r>
          </w:p>
        </w:tc>
      </w:tr>
      <w:tr>
        <w:trPr>
          <w:cantSplit/>
        </w:trPr>
        <w:tc>
          <w:tcPr>
            <w:tcW w:type="dxa" w:w="3456"/>
            <w:vAlign w:val="top"/>
          </w:tcPr>
          <w:p>
            <w:pPr>
              <w:spacing w:after="40" w:before="0" w:line="259" w:lineRule="auto"/>
            </w:pPr>
            <w:r>
              <w:rPr>
                <w:rFonts w:ascii="Calibri" w:hAnsi="Calibri"/>
                <w:b/>
                <w:i w:val="0"/>
                <w:color w:val="212121"/>
                <w:sz w:val="19"/>
              </w:rPr>
              <w:t>Deep periodontal pocket distal to the second molar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Bone loss behind the second molar produced by the impaction.</w:t>
            </w:r>
          </w:p>
        </w:tc>
      </w:tr>
      <w:tr>
        <w:trPr>
          <w:cantSplit/>
        </w:trPr>
        <w:tc>
          <w:tcPr>
            <w:tcW w:type="dxa" w:w="3456"/>
            <w:vAlign w:val="top"/>
          </w:tcPr>
          <w:p>
            <w:pPr>
              <w:spacing w:after="40" w:before="0" w:line="259" w:lineRule="auto"/>
            </w:pPr>
            <w:r>
              <w:rPr>
                <w:rFonts w:ascii="Calibri" w:hAnsi="Calibri"/>
                <w:b/>
                <w:i w:val="0"/>
                <w:color w:val="212121"/>
                <w:sz w:val="19"/>
              </w:rPr>
              <w:t>Trismus (reduced mouth opening)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Interincisal opening is reduced during significant pericoronitis.</w:t>
            </w:r>
          </w:p>
        </w:tc>
      </w:tr>
      <w:tr>
        <w:trPr>
          <w:cantSplit/>
        </w:trPr>
        <w:tc>
          <w:tcPr>
            <w:tcW w:type="dxa" w:w="3456"/>
            <w:vAlign w:val="top"/>
          </w:tcPr>
          <w:p>
            <w:pPr>
              <w:spacing w:after="40" w:before="0" w:line="259" w:lineRule="auto"/>
            </w:pPr>
            <w:r>
              <w:rPr>
                <w:rFonts w:ascii="Calibri" w:hAnsi="Calibri"/>
                <w:b/>
                <w:i w:val="0"/>
                <w:color w:val="212121"/>
                <w:sz w:val="19"/>
              </w:rPr>
              <w:t>Facial swelling and cervical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Regional signs of spreading infection.</w:t>
            </w:r>
          </w:p>
        </w:tc>
      </w:tr>
      <w:tr>
        <w:trPr>
          <w:cantSplit/>
        </w:trPr>
        <w:tc>
          <w:tcPr>
            <w:tcW w:type="dxa" w:w="3456"/>
            <w:vAlign w:val="top"/>
          </w:tcPr>
          <w:p>
            <w:pPr>
              <w:spacing w:after="40" w:before="0" w:line="259" w:lineRule="auto"/>
            </w:pPr>
            <w:r>
              <w:rPr>
                <w:rFonts w:ascii="Calibri" w:hAnsi="Calibri"/>
                <w:b/>
                <w:i w:val="0"/>
                <w:color w:val="212121"/>
                <w:sz w:val="19"/>
              </w:rPr>
              <w:t>Ulceration of the operculum from the opposing tooth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The upper tooth bites and traumatises the inflamed gum flap.</w:t>
            </w:r>
          </w:p>
        </w:tc>
      </w:tr>
      <w:tr>
        <w:trPr>
          <w:cantSplit/>
        </w:trPr>
        <w:tc>
          <w:tcPr>
            <w:tcW w:type="dxa" w:w="3456"/>
            <w:vAlign w:val="top"/>
          </w:tcPr>
          <w:p>
            <w:pPr>
              <w:spacing w:after="40" w:before="0" w:line="259" w:lineRule="auto"/>
            </w:pPr>
            <w:r>
              <w:rPr>
                <w:rFonts w:ascii="Calibri" w:hAnsi="Calibri"/>
                <w:b/>
                <w:i w:val="0"/>
                <w:color w:val="212121"/>
                <w:sz w:val="19"/>
              </w:rPr>
              <w:t>Pericoronal radiolucency (dentigerous cyst)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well-defined radiolucency around the crown suggests a follicular cyst.</w:t>
            </w:r>
          </w:p>
        </w:tc>
      </w:tr>
      <w:tr>
        <w:trPr>
          <w:cantSplit/>
        </w:trPr>
        <w:tc>
          <w:tcPr>
            <w:tcW w:type="dxa" w:w="3456"/>
            <w:vAlign w:val="top"/>
          </w:tcPr>
          <w:p>
            <w:pPr>
              <w:spacing w:after="40" w:before="0" w:line="259" w:lineRule="auto"/>
            </w:pPr>
            <w:r>
              <w:rPr>
                <w:rFonts w:ascii="Calibri" w:hAnsi="Calibri"/>
                <w:b/>
                <w:i w:val="0"/>
                <w:color w:val="212121"/>
                <w:sz w:val="19"/>
              </w:rPr>
              <w:t>Expansion / pathological fracture of the mandibular angle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large cyst or a deep impaction can expand or weaken the angle of the jaw.</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Pericoronitis (acute or chronic infection of the operculum)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Caries of the impacted third molar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Distal caries of the adjacent second molar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Periodontal pocketing and bone loss distal to the second molar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impaction and chronic bad taste/halitosis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Operculum ulceration from opposing-tooth trauma</w:t>
            </w:r>
          </w:p>
        </w:tc>
        <w:tc>
          <w:tcPr>
            <w:tcW w:type="dxa" w:w="2980"/>
            <w:vAlign w:val="top"/>
          </w:tcPr>
          <w:p>
            <w:pPr>
              <w:spacing w:after="40" w:before="0" w:line="259" w:lineRule="auto"/>
            </w:pPr>
            <w:r>
              <w:rPr>
                <w:rFonts w:ascii="Calibri" w:hAnsi="Calibri"/>
                <w:b w:val="0"/>
                <w:i w:val="0"/>
                <w:color w:val="212121"/>
                <w:sz w:val="19"/>
              </w:rPr>
              <w:t>Direct local consequences of a partially erupted, un-cleansable third molar.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Dentigerous (follicular) cyst around the crown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External root resorption of the second molar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Odontogenic keratocyst or (rarely) ameloblastoma/other tumour of the follicle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 cellulitis and fascial-space spread from severe pericoronitis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Localised osteomyelitis of the mandible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Predisposition to fracture of the mandibular angle</w:t>
            </w:r>
          </w:p>
        </w:tc>
        <w:tc>
          <w:tcPr>
            <w:tcW w:type="dxa" w:w="2980"/>
            <w:vAlign w:val="top"/>
          </w:tcPr>
          <w:p>
            <w:pPr>
              <w:spacing w:after="40" w:before="0" w:line="259" w:lineRule="auto"/>
            </w:pPr>
            <w:r>
              <w:rPr>
                <w:rFonts w:ascii="Calibri" w:hAnsi="Calibri"/>
                <w:b w:val="0"/>
                <w:i w:val="0"/>
                <w:color w:val="212121"/>
                <w:sz w:val="19"/>
              </w:rPr>
              <w:t>Regional and pathological sequelae of a retained or repeatedly infected impaction.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Deep-neck-space infection / Ludwig's angina and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Inferior alveolar or lingual nerve injury (paraesthesia/anaesthesia) - usually surgery-related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 socket (alveolar osteitis) after extraction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infection, bleeding or iatrogenic mandibular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Damage to or loss of the second molar</w:t>
            </w:r>
          </w:p>
        </w:tc>
        <w:tc>
          <w:tcPr>
            <w:tcW w:type="dxa" w:w="2980"/>
            <w:vAlign w:val="top"/>
          </w:tcPr>
          <w:p>
            <w:pPr>
              <w:spacing w:after="40" w:before="0" w:line="259" w:lineRule="auto"/>
            </w:pPr>
            <w:r>
              <w:rPr>
                <w:rFonts w:ascii="Calibri" w:hAnsi="Calibri"/>
                <w:b w:val="0"/>
                <w:i w:val="0"/>
                <w:color w:val="212121"/>
                <w:sz w:val="19"/>
              </w:rPr>
              <w:t>Severe infective outcomes and treatment-related complications of the impacted tooth or its removal.</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Pericoronitis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symptomatic presentation - infection of the operculum over a partially erupted lower third molar; recurrent episodes are themselves an indication to remove the tooth.</w:t>
            </w:r>
          </w:p>
        </w:tc>
      </w:tr>
      <w:tr>
        <w:trPr>
          <w:cantSplit/>
        </w:trPr>
        <w:tc>
          <w:tcPr>
            <w:tcW w:type="dxa" w:w="2232"/>
            <w:vAlign w:val="top"/>
          </w:tcPr>
          <w:p>
            <w:pPr>
              <w:spacing w:after="40" w:before="0" w:line="259" w:lineRule="auto"/>
            </w:pPr>
            <w:r>
              <w:rPr>
                <w:rFonts w:ascii="Calibri" w:hAnsi="Calibri"/>
                <w:b/>
                <w:i w:val="0"/>
                <w:color w:val="212121"/>
                <w:sz w:val="19"/>
              </w:rPr>
              <w:t>Dental caries (impacted tooth and distal of the second molar)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Plaque trapped against a mesioangular/horizontal impaction decays both the wisdom tooth and the back surface of the neighbour, a leading reason for removal.</w:t>
            </w:r>
          </w:p>
        </w:tc>
      </w:tr>
      <w:tr>
        <w:trPr>
          <w:cantSplit/>
        </w:trPr>
        <w:tc>
          <w:tcPr>
            <w:tcW w:type="dxa" w:w="2232"/>
            <w:vAlign w:val="top"/>
          </w:tcPr>
          <w:p>
            <w:pPr>
              <w:spacing w:after="40" w:before="0" w:line="259" w:lineRule="auto"/>
            </w:pPr>
            <w:r>
              <w:rPr>
                <w:rFonts w:ascii="Calibri" w:hAnsi="Calibri"/>
                <w:b/>
                <w:i w:val="0"/>
                <w:color w:val="212121"/>
                <w:sz w:val="19"/>
              </w:rPr>
              <w:t>Dentigerous (follicular) cyst</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Fluid in the crown follicle forms a cyst that can expand bone and displace teeth; impacted third molars are the commonest cause of dentigerous cysts.</w:t>
            </w:r>
          </w:p>
        </w:tc>
      </w:tr>
      <w:tr>
        <w:trPr>
          <w:cantSplit/>
        </w:trPr>
        <w:tc>
          <w:tcPr>
            <w:tcW w:type="dxa" w:w="2232"/>
            <w:vAlign w:val="top"/>
          </w:tcPr>
          <w:p>
            <w:pPr>
              <w:spacing w:after="40" w:before="0" w:line="259" w:lineRule="auto"/>
            </w:pPr>
            <w:r>
              <w:rPr>
                <w:rFonts w:ascii="Calibri" w:hAnsi="Calibri"/>
                <w:b/>
                <w:i w:val="0"/>
                <w:color w:val="212121"/>
                <w:sz w:val="19"/>
              </w:rPr>
              <w:t>Periodontal disease of the second molar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impaction creates a deep, un-cleansable pocket and bone loss on the distal of the second molar, worsening periodontal health there.</w:t>
            </w:r>
          </w:p>
        </w:tc>
      </w:tr>
      <w:tr>
        <w:trPr>
          <w:cantSplit/>
        </w:trPr>
        <w:tc>
          <w:tcPr>
            <w:tcW w:type="dxa" w:w="2232"/>
            <w:vAlign w:val="top"/>
          </w:tcPr>
          <w:p>
            <w:pPr>
              <w:spacing w:after="40" w:before="0" w:line="259" w:lineRule="auto"/>
            </w:pPr>
            <w:r>
              <w:rPr>
                <w:rFonts w:ascii="Calibri" w:hAnsi="Calibri"/>
                <w:b/>
                <w:i w:val="0"/>
                <w:color w:val="212121"/>
                <w:sz w:val="19"/>
              </w:rPr>
              <w:t>Odontogenic keratocyst / ameloblastoma (rare)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Rarely the dental follicle of an impacted tooth gives rise to a keratocyst or benign odontogenic tumour, so enlarged pericoronal lesions are removed and sent for histology.</w:t>
            </w:r>
          </w:p>
        </w:tc>
      </w:tr>
      <w:tr>
        <w:trPr>
          <w:cantSplit/>
        </w:trPr>
        <w:tc>
          <w:tcPr>
            <w:tcW w:type="dxa" w:w="2232"/>
            <w:vAlign w:val="top"/>
          </w:tcPr>
          <w:p>
            <w:pPr>
              <w:spacing w:after="40" w:before="0" w:line="259" w:lineRule="auto"/>
            </w:pPr>
            <w:r>
              <w:rPr>
                <w:rFonts w:ascii="Calibri" w:hAnsi="Calibri"/>
                <w:b/>
                <w:i w:val="0"/>
                <w:color w:val="212121"/>
                <w:sz w:val="19"/>
              </w:rPr>
              <w:t>External root resorption of the adjacent second molar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Pressure and inflammation from the impacted crown can resorb the root of the second molar, sometimes necessitating removal of both teeth.</w:t>
            </w:r>
          </w:p>
        </w:tc>
      </w:tr>
      <w:tr>
        <w:trPr>
          <w:cantSplit/>
        </w:trPr>
        <w:tc>
          <w:tcPr>
            <w:tcW w:type="dxa" w:w="2232"/>
            <w:vAlign w:val="top"/>
          </w:tcPr>
          <w:p>
            <w:pPr>
              <w:spacing w:after="40" w:before="0" w:line="259" w:lineRule="auto"/>
            </w:pPr>
            <w:r>
              <w:rPr>
                <w:rFonts w:ascii="Calibri" w:hAnsi="Calibri"/>
                <w:b/>
                <w:i w:val="0"/>
                <w:color w:val="212121"/>
                <w:sz w:val="19"/>
              </w:rPr>
              <w:t>Mandibular angle fracture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deeply impacted third molar occupies bone at the angle of the mandible and weakens it, increasing the risk of fracture there after trauma.</w:t>
            </w:r>
          </w:p>
        </w:tc>
      </w:tr>
      <w:tr>
        <w:trPr>
          <w:cantSplit/>
        </w:trPr>
        <w:tc>
          <w:tcPr>
            <w:tcW w:type="dxa" w:w="2232"/>
            <w:vAlign w:val="top"/>
          </w:tcPr>
          <w:p>
            <w:pPr>
              <w:spacing w:after="40" w:before="0" w:line="259" w:lineRule="auto"/>
            </w:pPr>
            <w:r>
              <w:rPr>
                <w:rFonts w:ascii="Calibri" w:hAnsi="Calibri"/>
                <w:b/>
                <w:i w:val="0"/>
                <w:color w:val="212121"/>
                <w:sz w:val="19"/>
              </w:rPr>
              <w:t>Periapical / dental abscess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Untreated caries of the impacted tooth or the second molar can progress to pulp necrosis and a periapical abscess through the same plaque-driven mechanism.</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immunity and healing make pericoronitis more severe and post-extraction complications more likely, while acute infection can transiently worsen glycaemic control - a bidirectional loop.</w:t>
            </w:r>
          </w:p>
        </w:tc>
      </w:tr>
      <w:tr>
        <w:trPr>
          <w:cantSplit/>
        </w:trPr>
        <w:tc>
          <w:tcPr>
            <w:tcW w:type="dxa" w:w="2232"/>
            <w:vAlign w:val="top"/>
          </w:tcPr>
          <w:p>
            <w:pPr>
              <w:spacing w:after="40" w:before="0" w:line="259" w:lineRule="auto"/>
            </w:pPr>
            <w:r>
              <w:rPr>
                <w:rFonts w:ascii="Calibri" w:hAnsi="Calibri"/>
                <w:b/>
                <w:i w:val="0"/>
                <w:color w:val="212121"/>
                <w:sz w:val="19"/>
              </w:rPr>
              <w:t>Inferior alveolar / lingual nerve injury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When roots lie against the nerve canal, surgical removal can bruise or sever the nerve, causing lip/chin or tongue numbness; CBCT and coronectomy help avoid it.</w:t>
            </w:r>
          </w:p>
        </w:tc>
      </w:tr>
      <w:tr>
        <w:trPr>
          <w:cantSplit/>
        </w:trPr>
        <w:tc>
          <w:tcPr>
            <w:tcW w:type="dxa" w:w="2232"/>
            <w:vAlign w:val="top"/>
          </w:tcPr>
          <w:p>
            <w:pPr>
              <w:spacing w:after="40" w:before="0" w:line="259" w:lineRule="auto"/>
            </w:pPr>
            <w:r>
              <w:rPr>
                <w:rFonts w:ascii="Calibri" w:hAnsi="Calibri"/>
                <w:b/>
                <w:i w:val="0"/>
                <w:color w:val="212121"/>
                <w:sz w:val="19"/>
              </w:rPr>
              <w:t>Dry socket (alveolar osteitis)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 painful loss of the healing blood clot is the commonest complication after lower third-molar extraction, more frequent in smokers.</w:t>
            </w:r>
          </w:p>
        </w:tc>
      </w:tr>
      <w:tr>
        <w:trPr>
          <w:cantSplit/>
        </w:trPr>
        <w:tc>
          <w:tcPr>
            <w:tcW w:type="dxa" w:w="2232"/>
            <w:vAlign w:val="top"/>
          </w:tcPr>
          <w:p>
            <w:pPr>
              <w:spacing w:after="40" w:before="0" w:line="259" w:lineRule="auto"/>
            </w:pPr>
            <w:r>
              <w:rPr>
                <w:rFonts w:ascii="Calibri" w:hAnsi="Calibri"/>
                <w:b/>
                <w:i w:val="0"/>
                <w:color w:val="212121"/>
                <w:sz w:val="19"/>
              </w:rPr>
              <w:t>Deep-neck-space infection / Ludwig's angina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Severe, spreading pericoronitis of a lower third molar can extend into the submandibular and sublingual spaces, threatening the airway.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regular dental check-ups through the late teens and 20s, when wisdom teeth erupt, so impaction and its effects are found early on radiographs.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pericoronitis - pain, swelling, bad taste and difficulty cleaning behind the last tooth - and seek dental care promptly rather than waiting.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very back of the mouth clean with careful brushing, an interdental/end-tuft brush and salt-water rinsing, especially around a partly erupted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disease-free, symptom-free impacted tooth is often best monitored, not removed, in line with current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spreading facial or neck swelling, fever, or difficulty swallowing or breathing - these are emergency warning signs.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Teenagers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Orthodontic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partially erupted wisdom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High-caries-risk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acute pericoronitis, have the area professionally cleaned/irrigated and use prescribed analgesia; antibiotics are added only if infection is spreading or systemic.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 second or subsequent episode of pericoronitis, or damage to the neighbouring tooth, is an accepted reason to remove the wisdom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post-extraction instructions carefully (no smoking, no vigorous rinsing on day one, soft diet) to prevent dry socket.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lasting numbness of the lip, chin or tongue after surgery to your dental surgeon.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any prescribed antibiotic course and attend review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pericoronitis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or after wisdom-tooth removal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Recurrent-infection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well-fitted mouthguard for contact and collision sports, as an impacted lower third molar weakens the angle of the jaw and predisposes to fracture there.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any significant blow to the jaw assessed, particularly if a wisdom tooth is known to be impacted at the angle.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good glycaemic/immune health, which support resistance to infection and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sportspeople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in contact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known angle impaction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down on free sugars and sticky refined snacks that lodge behind the last tooth and feed decay and pericoronitis.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Rinse and clean after meals to clear food from the pocket around a partly erupted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water or unsweetened drinks and ensure adequate fluoride from toothpaste.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Chew on both sides normally when healthy to encourage function, but avoid packing hard, sticky foods into the area.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snackers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partially erupted tooth</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pericoronitis or after removal, eat a soft diet and chew on the opposite side to protect the area.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hot, hard, spicy or sharp foods that irritate the inflamed gum or a fresh socket.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maintain nutrition to support healing and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pericoronitis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Post-extraction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acute pericoronitis promptly, as the pain often disturbs sleep until the infection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analgesia and keep the head slightly elevated in the first nights after surgery to ease throbbing and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rest and good sleep after removal to aid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acute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using bidis - smoking worsens gum inflammation around the tooth and is a major cause of dry socket and delayed healing after extraction.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smokeless tobacco, gutka and areca-nut/betel-quid chewing, which damage the gums and limit mouth opening.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entirely for at least several days after a wisdom-tooth extraction.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(counselling, quitlines, nicotine replacement) to sustain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before and after extraction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heavy use is linked with poor oral hygiene that aggravates pericoronitis.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around the time of extraction, as it can impair healing and interact with antibiotics and painkillers.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to self-medicate toothache - seek dental care instead.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around the time of surgery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dental anxiety delay assessment - early management of a problem wisdom tooth prevents repeated painful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sedation or a supportive dental team if fear of extraction is a barrier to needed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and fatigue, which can lower resistance and trigger pericoronitis flares.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Dental-phobic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Care-avoidant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7577450/" TargetMode="External"/><Relationship Id="rId10" Type="http://schemas.openxmlformats.org/officeDocument/2006/relationships/hyperlink" Target="https://www.nhs.uk/conditions/wisdom-tooth-removal/" TargetMode="External"/><Relationship Id="rId11" Type="http://schemas.openxmlformats.org/officeDocument/2006/relationships/hyperlink" Target="https://www.nice.org.uk/guidance/ta1/chapter/1-Recommendations" TargetMode="External"/><Relationship Id="rId12" Type="http://schemas.openxmlformats.org/officeDocument/2006/relationships/hyperlink" Target="https://pubmed.ncbi.nlm.nih.gov/39768456/" TargetMode="External"/><Relationship Id="rId13" Type="http://schemas.openxmlformats.org/officeDocument/2006/relationships/hyperlink" Target="https://pubmed.ncbi.nlm.nih.gov/25737922/" TargetMode="External"/><Relationship Id="rId14" Type="http://schemas.openxmlformats.org/officeDocument/2006/relationships/hyperlink" Target="https://pubmed.ncbi.nlm.nih.gov/12731606/" TargetMode="External"/><Relationship Id="rId15" Type="http://schemas.openxmlformats.org/officeDocument/2006/relationships/hyperlink" Target="https://www.who.int/news-room/fact-sheets/detail/oral-health" TargetMode="External"/><Relationship Id="rId16" Type="http://schemas.openxmlformats.org/officeDocument/2006/relationships/hyperlink" Target="https://pubmed.ncbi.nlm.nih.gov/26561441/" TargetMode="External"/><Relationship Id="rId17" Type="http://schemas.openxmlformats.org/officeDocument/2006/relationships/hyperlink" Target="https://pubmed.ncbi.nlm.nih.gov/31169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