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Cleft Lip &amp; Palate</w:t>
      </w:r>
    </w:p>
    <w:p>
      <w:pPr>
        <w:spacing w:before="0" w:after="160"/>
      </w:pPr>
      <w:r>
        <w:rPr>
          <w:rFonts w:ascii="Calibri" w:hAnsi="Calibri"/>
          <w:b/>
          <w:i w:val="0"/>
          <w:color w:val="212121"/>
          <w:sz w:val="22"/>
        </w:rPr>
        <w:t xml:space="preserve">AKA </w:t>
      </w:r>
      <w:r>
        <w:rPr>
          <w:rFonts w:ascii="Calibri" w:hAnsi="Calibri"/>
          <w:b w:val="0"/>
          <w:i w:val="0"/>
          <w:color w:val="212121"/>
          <w:sz w:val="22"/>
        </w:rPr>
        <w:t>i.e., Orofacial cleft, Cleft lip (cheiloschisis), Cleft palate (palatoschisis), Cleft lip and palate (CL/P), “Hare lip” (outdated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Cleft lip and cleft palate are congenital orofacial malformations in which the tissues that form the upper lip and/or the roof of the mouth fail to fuse during early embryonic development. A cleft lip is a gap in the upper lip — unilateral or bilateral, complete or incomplete — that may extend into the nostril, whereas a cleft palate is an opening in the hard and/or soft palate that leaves the mouth and nasal cavity in continuity; the two can occur separately or together (CL/P). They are among the most common craniofacial birth defects and, if untreated, impair feeding, speech, hearing, dental development and psychosocial wellbeing, but are highly correctable with staged multidisciplinary surgical and rehabilitative care.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Orofacial clefts are among the most common congenital anomalies seen in India. Community estimates place the birth prevalence at roughly 1 in 700–800 live births (about 1.3–1.4 per 1,000), which translates to an estimated 27,000–35,000 affected babies born in the country each year. A population-based study in rural Gujarat documented a cleft incidence of 0.73 per 1,000 live births — with cleft lip the commonest form (69.4%) and a male predominance (61%) — while the global birth prevalence is about 1.7 per 1,000 with marked ethnic and geographic variation, being highest in Asian and Indian populations.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Cleft lip and palate are primarily an anatomical, clinical diagnosis, increasingly detected before birth. Evaluation is based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antenatal detection on the mid-trimester (18–22 week) fetal anomaly ultrasound, which reliably shows cleft lip in profile/coronal views (an isolated cleft palate is harder to visualise and is often diagnosed only after birth);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postnatal clinical diagnosis by direct visual inspection of the lip and by inspection plus digital palpation of the hard and soft palate in every newborn;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deliberate exclusion of an occult submucous cleft palate — the triad of bifid uvula, a midline translucent zona pellucida and a palpable notch in the posterior hard palate;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anatomical characterisation of the defect (side, completeness and structures involved) using the Veau, LAHSHAL or Kernahan striped-Y classification to guide surgical planning;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a syndromic cause and associated anomalies — dysmorphology examination, hearing assessment, echocardiography and, when indicated, karyotype/chromosomal microarray.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Cleft lip and palate are classified along several complementary axes — by whether they form part of a recognised syndrome, by the anatomical structures involved, and by validated descriptive systems:</w:t>
      </w:r>
    </w:p>
    <w:p>
      <w:pPr>
        <w:spacing w:before="0" w:after="80"/>
      </w:pPr>
      <w:r>
        <w:rPr>
          <w:rFonts w:ascii="Calibri" w:hAnsi="Calibri"/>
          <w:b w:val="0"/>
          <w:i w:val="0"/>
          <w:color w:val="212121"/>
          <w:sz w:val="21"/>
        </w:rPr>
        <w:t>(1) Non-syndromic (isolated) versus syndromic clefts — roughly two-thirds of cases occur in isolation, while about one-third are syndromic, occurring with other anomalies as part of one of more than 400 described syndromes (Van der Woude syndrome, linked to the IRF6 gene, is the commonest single-gene syndromic form).</w:t>
      </w:r>
    </w:p>
    <w:p>
      <w:pPr>
        <w:spacing w:before="0" w:after="80"/>
      </w:pPr>
      <w:r>
        <w:rPr>
          <w:rFonts w:ascii="Calibri" w:hAnsi="Calibri"/>
          <w:b w:val="0"/>
          <w:i w:val="0"/>
          <w:color w:val="212121"/>
          <w:sz w:val="21"/>
        </w:rPr>
        <w:t>(2) By structures involved — cleft lip only, cleft palate only, or combined cleft lip and palate. Cleft lip ± palate and isolated cleft palate are considered embryologically and genetically distinct entities; isolated cleft palate is relatively more common in females.</w:t>
      </w:r>
    </w:p>
    <w:p>
      <w:pPr>
        <w:spacing w:before="0" w:after="80"/>
      </w:pPr>
      <w:r>
        <w:rPr>
          <w:rFonts w:ascii="Calibri" w:hAnsi="Calibri"/>
          <w:b w:val="0"/>
          <w:i w:val="0"/>
          <w:color w:val="212121"/>
          <w:sz w:val="21"/>
        </w:rPr>
        <w:t>(3) By laterality and completeness — cleft lip may be unilateral (most often left-sided) or bilateral, and complete (extending into the nostril floor) or incomplete; cleft palate may involve the soft palate alone or both hard and soft palate.</w:t>
      </w:r>
    </w:p>
    <w:p>
      <w:pPr>
        <w:spacing w:before="0" w:after="80"/>
      </w:pPr>
      <w:r>
        <w:rPr>
          <w:rFonts w:ascii="Calibri" w:hAnsi="Calibri"/>
          <w:b w:val="0"/>
          <w:i w:val="0"/>
          <w:color w:val="212121"/>
          <w:sz w:val="21"/>
        </w:rPr>
        <w:t>(4) Descriptive systems — the Veau classification (I: soft palate only; II: hard and soft palate; III: unilateral complete lip and palate; IV: bilateral complete lip and palate), the LAHSHAL notation and the Kernahan striped-Y are used to record extent precisely; the submucous (occult) cleft palate is a distinct, easily missed variant.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Failure of embryonic fusion: Cleft lip results from failed fusion of the maxillary and medial nasal processes (weeks 4–7 of gestation) and cleft palate from failed fusion of the palatal shelves (weeks 6–9); the timing explains why lip and palate clefts can occur independently.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Clefts are largely multifactorial/polygenic with strong familial clustering; monogenic contributors (e.g., IRF6 in Van der Woude syndrome) and many susceptibility loci are recognised, and recurrence risk rises with each affected relative.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Maternal teratogen exposure: Periconceptional smoking (active and passive/biomass smoke), alcohol, anticonvulsants (valproate, phenytoin, topiramate, phenobarbital), retinoids and systemic corticosteroids increase cleft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Nutritional deficiency: Low periconceptional folate/folic acid and deficiencies of vitamin B12, B6 and zinc — common with low-diversity Indian diets — are associated with higher cleft risk, and folic acid supplementation is protective.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Maternal medical conditions: Pregestational (type 1 or type 2) diabetes, obesity, and febrile illness or infection in early pregnancy raise the risk of orofacial clefting.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Consanguinity: Marriage between close relatives — frequent in several Indian communities — increases homozygosity for recessive alleles and the familial recurrence of clefts.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Newborns &amp; infants</w:t>
            </w:r>
          </w:p>
        </w:tc>
        <w:tc>
          <w:tcPr>
            <w:tcW w:type="dxa" w:w="4276"/>
            <w:vAlign w:val="top"/>
          </w:tcPr>
          <w:p>
            <w:pPr>
              <w:spacing w:after="60" w:line="259" w:lineRule="auto"/>
            </w:pPr>
            <w:r>
              <w:rPr>
                <w:rFonts w:ascii="Calibri" w:hAnsi="Calibri"/>
                <w:b w:val="0"/>
                <w:i w:val="0"/>
                <w:color w:val="212121"/>
                <w:sz w:val="19"/>
              </w:rPr>
              <w:t>Clefts are present from birth; the lip cleft forms in gestational weeks 4–7 and the palate in weeks 6–9, so the anomaly is fully established before delivery and is detected antenatally or at the newborn examination.</w:t>
            </w:r>
          </w:p>
          <w:p>
            <w:pPr>
              <w:spacing w:after="40" w:before="60" w:line="259" w:lineRule="auto"/>
            </w:pPr>
            <w:r>
              <w:rPr>
                <w:rFonts w:ascii="Calibri" w:hAnsi="Calibri"/>
                <w:b w:val="0"/>
                <w:i w:val="0"/>
                <w:color w:val="212121"/>
                <w:sz w:val="19"/>
              </w:rPr>
              <w:t>Orofacial clefts are among the most common serial congenital anomalies to affect the orofacial region worldwide.</w:t>
            </w:r>
          </w:p>
          <w:p>
            <w:pPr>
              <w:spacing w:after="40" w:line="252" w:lineRule="auto"/>
            </w:pPr>
            <w:hyperlink r:id="rId9">
              <w:r>
                <w:rPr>
                  <w:rFonts w:ascii="Calibri" w:hAnsi="Calibri" w:cs="Calibri"/>
                  <w:sz w:val="18"/>
                  <w:color w:val="1155CC"/>
                  <w:u w:val="single"/>
                </w:rPr>
                <w:t xml:space="preserve">pubmed.ncbi.nlm.nih.gov/32984097 — cleft review</w:t>
              </w:r>
            </w:hyperlink>
          </w:p>
          <w:p>
            <w:pPr>
              <w:spacing w:before="60" w:after="40"/>
            </w:pPr>
            <w:r>
              <w:rPr>
                <w:rFonts w:ascii="Calibri" w:hAnsi="Calibri"/>
                <w:b w:val="0"/>
                <w:i w:val="0"/>
                <w:color w:val="5A5A5A"/>
                <w:sz w:val="18"/>
              </w:rPr>
              <w:t>#congenital  #craniofacial  #newborn  #birthdefect  #embryology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Cleft lip with or without cleft palate is more common in boys, reflecting sex differences in the timing of facial fusion; isolated cleft palate, by contrast, is relatively more frequent in girls.</w:t>
            </w:r>
          </w:p>
          <w:p>
            <w:pPr>
              <w:spacing w:after="40" w:before="60" w:line="259" w:lineRule="auto"/>
            </w:pPr>
            <w:r>
              <w:rPr>
                <w:rFonts w:ascii="Calibri" w:hAnsi="Calibri"/>
                <w:b w:val="0"/>
                <w:i w:val="0"/>
                <w:color w:val="212121"/>
                <w:sz w:val="19"/>
              </w:rPr>
              <w:t>In a rural Gujarat population study, 61% of clefts occurred in males, and cleft lip was the commonest form (69.4%).</w:t>
            </w:r>
          </w:p>
          <w:p>
            <w:pPr>
              <w:spacing w:after="40" w:line="252" w:lineRule="auto"/>
            </w:pPr>
            <w:hyperlink r:id="rId10">
              <w:r>
                <w:rPr>
                  <w:rFonts w:ascii="Calibri" w:hAnsi="Calibri" w:cs="Calibri"/>
                  <w:sz w:val="18"/>
                  <w:color w:val="1155CC"/>
                  <w:u w:val="single"/>
                </w:rPr>
                <w:t xml:space="preserve">pubmed.ncbi.nlm.nih.gov/24806625 — rural Gujarat study</w:t>
              </w:r>
            </w:hyperlink>
          </w:p>
          <w:p>
            <w:pPr>
              <w:spacing w:before="60" w:after="40"/>
            </w:pPr>
            <w:r>
              <w:rPr>
                <w:rFonts w:ascii="Calibri" w:hAnsi="Calibri"/>
                <w:b w:val="0"/>
                <w:i w:val="0"/>
                <w:color w:val="5A5A5A"/>
                <w:sz w:val="18"/>
              </w:rPr>
              <w:t>#malepredominance  #CLP  #sexratio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age</w:t>
            </w:r>
          </w:p>
        </w:tc>
        <w:tc>
          <w:tcPr>
            <w:tcW w:type="dxa" w:w="2160"/>
            <w:vAlign w:val="top"/>
          </w:tcPr>
          <w:p>
            <w:pPr>
              <w:spacing w:after="40" w:before="0" w:line="259" w:lineRule="auto"/>
            </w:pPr>
            <w:r>
              <w:rPr>
                <w:rFonts w:ascii="Calibri" w:hAnsi="Calibri"/>
                <w:b w:val="0"/>
                <w:i w:val="0"/>
                <w:color w:val="212121"/>
                <w:sz w:val="19"/>
              </w:rPr>
              <w:t>Advanced maternal age (≥ 35 y)</w:t>
            </w:r>
          </w:p>
        </w:tc>
        <w:tc>
          <w:tcPr>
            <w:tcW w:type="dxa" w:w="4276"/>
            <w:vAlign w:val="top"/>
          </w:tcPr>
          <w:p>
            <w:pPr>
              <w:spacing w:after="60" w:line="259" w:lineRule="auto"/>
            </w:pPr>
            <w:r>
              <w:rPr>
                <w:rFonts w:ascii="Calibri" w:hAnsi="Calibri"/>
                <w:b w:val="0"/>
                <w:i w:val="0"/>
                <w:color w:val="212121"/>
                <w:sz w:val="19"/>
              </w:rPr>
              <w:t>Older maternal age is associated with a modestly higher risk of orofacial clefting, alongside a broader rise in congenital anomalies with advancing age.</w:t>
            </w:r>
          </w:p>
          <w:p>
            <w:pPr>
              <w:spacing w:before="60" w:after="40"/>
            </w:pPr>
            <w:r>
              <w:rPr>
                <w:rFonts w:ascii="Calibri" w:hAnsi="Calibri"/>
                <w:b w:val="0"/>
                <w:i w:val="0"/>
                <w:color w:val="5A5A5A"/>
                <w:sz w:val="18"/>
              </w:rPr>
              <w:t>#maternalage  #pregnancy  #anomalyrisk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Paternal age</w:t>
            </w:r>
          </w:p>
        </w:tc>
        <w:tc>
          <w:tcPr>
            <w:tcW w:type="dxa" w:w="2160"/>
            <w:vAlign w:val="top"/>
          </w:tcPr>
          <w:p>
            <w:pPr>
              <w:spacing w:after="40" w:before="0" w:line="259" w:lineRule="auto"/>
            </w:pPr>
            <w:r>
              <w:rPr>
                <w:rFonts w:ascii="Calibri" w:hAnsi="Calibri"/>
                <w:b w:val="0"/>
                <w:i w:val="0"/>
                <w:color w:val="212121"/>
                <w:sz w:val="19"/>
              </w:rPr>
              <w:t>Advanced paternal age (≥ 40 y)</w:t>
            </w:r>
          </w:p>
        </w:tc>
        <w:tc>
          <w:tcPr>
            <w:tcW w:type="dxa" w:w="4276"/>
            <w:vAlign w:val="top"/>
          </w:tcPr>
          <w:p>
            <w:pPr>
              <w:spacing w:after="60" w:line="259" w:lineRule="auto"/>
            </w:pPr>
            <w:r>
              <w:rPr>
                <w:rFonts w:ascii="Calibri" w:hAnsi="Calibri"/>
                <w:b w:val="0"/>
                <w:i w:val="0"/>
                <w:color w:val="212121"/>
                <w:sz w:val="19"/>
              </w:rPr>
              <w:t>Older paternal age raises the burden of de novo germline mutations, which has been linked to a small increase in the risk of non-syndromic clefts.</w:t>
            </w:r>
          </w:p>
          <w:p>
            <w:pPr>
              <w:spacing w:before="60" w:after="40"/>
            </w:pPr>
            <w:r>
              <w:rPr>
                <w:rFonts w:ascii="Calibri" w:hAnsi="Calibri"/>
                <w:b w:val="0"/>
                <w:i w:val="0"/>
                <w:color w:val="5A5A5A"/>
                <w:sz w:val="18"/>
              </w:rPr>
              <w:t>#paternalage  #denovo  #mutation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underserved families</w:t>
            </w:r>
          </w:p>
        </w:tc>
        <w:tc>
          <w:tcPr>
            <w:tcW w:type="dxa" w:w="4276"/>
            <w:vAlign w:val="top"/>
          </w:tcPr>
          <w:p>
            <w:pPr>
              <w:spacing w:after="60" w:line="259" w:lineRule="auto"/>
            </w:pPr>
            <w:r>
              <w:rPr>
                <w:rFonts w:ascii="Calibri" w:hAnsi="Calibri"/>
                <w:b w:val="0"/>
                <w:i w:val="0"/>
                <w:color w:val="212121"/>
                <w:sz w:val="19"/>
              </w:rPr>
              <w:t>Poverty clusters modifiable risks (poor periconceptional nutrition and folate intake, smoke exposure) and, critically in India, delays or prevents timely surgical repair, prolonging feeding, speech and hearing morbidity.</w:t>
            </w:r>
          </w:p>
          <w:p>
            <w:pPr>
              <w:spacing w:after="40" w:before="60" w:line="259" w:lineRule="auto"/>
            </w:pPr>
            <w:r>
              <w:rPr>
                <w:rFonts w:ascii="Calibri" w:hAnsi="Calibri"/>
                <w:b w:val="0"/>
                <w:i w:val="0"/>
                <w:color w:val="212121"/>
                <w:sz w:val="19"/>
              </w:rPr>
              <w:t>The unmet surgical burden of clefts across four rural Gujarat blocks was estimated at 230–494 DALYs, reflecting large gaps in access to repair.</w:t>
            </w:r>
          </w:p>
          <w:p>
            <w:pPr>
              <w:spacing w:after="40" w:line="252" w:lineRule="auto"/>
            </w:pPr>
            <w:hyperlink r:id="rId10">
              <w:r>
                <w:rPr>
                  <w:rFonts w:ascii="Calibri" w:hAnsi="Calibri" w:cs="Calibri"/>
                  <w:sz w:val="18"/>
                  <w:color w:val="1155CC"/>
                  <w:u w:val="single"/>
                </w:rPr>
                <w:t xml:space="preserve">pubmed.ncbi.nlm.nih.gov/24806625 — unmet burden (DALYs)</w:t>
              </w:r>
            </w:hyperlink>
          </w:p>
          <w:p>
            <w:pPr>
              <w:spacing w:before="60" w:after="40"/>
            </w:pPr>
            <w:r>
              <w:rPr>
                <w:rFonts w:ascii="Calibri" w:hAnsi="Calibri"/>
                <w:b w:val="0"/>
                <w:i w:val="0"/>
                <w:color w:val="5A5A5A"/>
                <w:sz w:val="18"/>
              </w:rPr>
              <w:t>#poverty  #accessdisparity  #unmetneed  #DALYs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&amp; Indian populations</w:t>
            </w:r>
          </w:p>
        </w:tc>
        <w:tc>
          <w:tcPr>
            <w:tcW w:type="dxa" w:w="4276"/>
            <w:vAlign w:val="top"/>
          </w:tcPr>
          <w:p>
            <w:pPr>
              <w:spacing w:after="60" w:line="259" w:lineRule="auto"/>
            </w:pPr>
            <w:r>
              <w:rPr>
                <w:rFonts w:ascii="Calibri" w:hAnsi="Calibri"/>
                <w:b w:val="0"/>
                <w:i w:val="0"/>
                <w:color w:val="212121"/>
                <w:sz w:val="19"/>
              </w:rPr>
              <w:t>Orofacial cleft birth prevalence varies markedly by ancestry and is highest in Asian and Native American populations, intermediate in Europeans and lowest in Africans; Indian populations sit in the high-prevalence group.</w:t>
            </w:r>
          </w:p>
          <w:p>
            <w:pPr>
              <w:spacing w:after="40" w:before="60" w:line="259" w:lineRule="auto"/>
            </w:pPr>
            <w:r>
              <w:rPr>
                <w:rFonts w:ascii="Calibri" w:hAnsi="Calibri"/>
                <w:b w:val="0"/>
                <w:i w:val="0"/>
                <w:color w:val="212121"/>
                <w:sz w:val="19"/>
              </w:rPr>
              <w:t>Global birth prevalence is about 1.7 per 1,000 live births, with pronounced ethnic and geographic variation.</w:t>
            </w:r>
          </w:p>
          <w:p>
            <w:pPr>
              <w:spacing w:after="40" w:line="252" w:lineRule="auto"/>
            </w:pPr>
            <w:hyperlink r:id="rId11">
              <w:r>
                <w:rPr>
                  <w:rFonts w:ascii="Calibri" w:hAnsi="Calibri" w:cs="Calibri"/>
                  <w:sz w:val="18"/>
                  <w:color w:val="1155CC"/>
                  <w:u w:val="single"/>
                </w:rPr>
                <w:t xml:space="preserve">pubmed.ncbi.nlm.nih.gov/19747722 — Lancet seminar</w:t>
              </w:r>
            </w:hyperlink>
          </w:p>
          <w:p>
            <w:pPr>
              <w:spacing w:before="60" w:after="40"/>
            </w:pPr>
            <w:r>
              <w:rPr>
                <w:rFonts w:ascii="Calibri" w:hAnsi="Calibri"/>
                <w:b w:val="0"/>
                <w:i w:val="0"/>
                <w:color w:val="5A5A5A"/>
                <w:sz w:val="18"/>
              </w:rPr>
              <w:t>#ethnicity  #asianprevalence  #geography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&amp; remote India</w:t>
            </w:r>
          </w:p>
        </w:tc>
        <w:tc>
          <w:tcPr>
            <w:tcW w:type="dxa" w:w="4276"/>
            <w:vAlign w:val="top"/>
          </w:tcPr>
          <w:p>
            <w:pPr>
              <w:spacing w:after="60" w:line="259" w:lineRule="auto"/>
            </w:pPr>
            <w:r>
              <w:rPr>
                <w:rFonts w:ascii="Calibri" w:hAnsi="Calibri"/>
                <w:b w:val="0"/>
                <w:i w:val="0"/>
                <w:color w:val="212121"/>
                <w:sz w:val="19"/>
              </w:rPr>
              <w:t>Rural populations face both higher exposure to risk factors (biomass smoke, micronutrient-poor diets) and poorer ascertainment and surgical access, so clefts are under-counted and under-treated.</w:t>
            </w:r>
          </w:p>
          <w:p>
            <w:pPr>
              <w:spacing w:after="40" w:before="60" w:line="259" w:lineRule="auto"/>
            </w:pPr>
            <w:r>
              <w:rPr>
                <w:rFonts w:ascii="Calibri" w:hAnsi="Calibri"/>
                <w:b w:val="0"/>
                <w:i w:val="0"/>
                <w:color w:val="212121"/>
                <w:sz w:val="19"/>
              </w:rPr>
              <w:t>A population-based rural Gujarat study measured a cleft incidence of 0.73 per 1,000 live births, with likely under-ascertainment from early infant mortality.</w:t>
            </w:r>
          </w:p>
          <w:p>
            <w:pPr>
              <w:spacing w:after="40" w:line="252" w:lineRule="auto"/>
            </w:pPr>
            <w:hyperlink r:id="rId10">
              <w:r>
                <w:rPr>
                  <w:rFonts w:ascii="Calibri" w:hAnsi="Calibri" w:cs="Calibri"/>
                  <w:sz w:val="18"/>
                  <w:color w:val="1155CC"/>
                  <w:u w:val="single"/>
                </w:rPr>
                <w:t xml:space="preserve">pubmed.ncbi.nlm.nih.gov/24806625 — incidence 0.73/1,000</w:t>
              </w:r>
            </w:hyperlink>
          </w:p>
          <w:p>
            <w:pPr>
              <w:spacing w:before="60" w:after="40"/>
            </w:pPr>
            <w:r>
              <w:rPr>
                <w:rFonts w:ascii="Calibri" w:hAnsi="Calibri"/>
                <w:b w:val="0"/>
                <w:i w:val="0"/>
                <w:color w:val="5A5A5A"/>
                <w:sz w:val="18"/>
              </w:rPr>
              <w:t>#rural  #ascertainment  #surgicalaccess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Communities with high consanguineous marriage</w:t>
            </w:r>
          </w:p>
        </w:tc>
        <w:tc>
          <w:tcPr>
            <w:tcW w:type="dxa" w:w="4276"/>
            <w:vAlign w:val="top"/>
          </w:tcPr>
          <w:p>
            <w:pPr>
              <w:spacing w:after="60" w:line="259" w:lineRule="auto"/>
            </w:pPr>
            <w:r>
              <w:rPr>
                <w:rFonts w:ascii="Calibri" w:hAnsi="Calibri"/>
                <w:b w:val="0"/>
                <w:i w:val="0"/>
                <w:color w:val="212121"/>
                <w:sz w:val="19"/>
              </w:rPr>
              <w:t>Marriage between close blood relatives, common in several Indian regions and communities, increases homozygosity for recessive cleft alleles and raises familial recurrence.</w:t>
            </w:r>
          </w:p>
          <w:p>
            <w:pPr>
              <w:spacing w:before="60" w:after="40"/>
            </w:pPr>
            <w:r>
              <w:rPr>
                <w:rFonts w:ascii="Calibri" w:hAnsi="Calibri"/>
                <w:b w:val="0"/>
                <w:i w:val="0"/>
                <w:color w:val="5A5A5A"/>
                <w:sz w:val="18"/>
              </w:rPr>
              <w:t>#consanguinity  #recessive  #familialclustering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Maternal smoking</w:t>
            </w:r>
          </w:p>
        </w:tc>
        <w:tc>
          <w:tcPr>
            <w:tcW w:type="dxa" w:w="2160"/>
            <w:vAlign w:val="top"/>
          </w:tcPr>
          <w:p>
            <w:pPr>
              <w:spacing w:after="40" w:before="0" w:line="259" w:lineRule="auto"/>
            </w:pPr>
            <w:r>
              <w:rPr>
                <w:rFonts w:ascii="Calibri" w:hAnsi="Calibri"/>
                <w:b w:val="0"/>
                <w:i w:val="0"/>
                <w:color w:val="212121"/>
                <w:sz w:val="19"/>
              </w:rPr>
              <w:t>Mothers who smoke or are exposed to passive/biomass smoke</w:t>
            </w:r>
          </w:p>
        </w:tc>
        <w:tc>
          <w:tcPr>
            <w:tcW w:type="dxa" w:w="4276"/>
            <w:vAlign w:val="top"/>
          </w:tcPr>
          <w:p>
            <w:pPr>
              <w:spacing w:after="60" w:line="259" w:lineRule="auto"/>
            </w:pPr>
            <w:r>
              <w:rPr>
                <w:rFonts w:ascii="Calibri" w:hAnsi="Calibri"/>
                <w:b w:val="0"/>
                <w:i w:val="0"/>
                <w:color w:val="212121"/>
                <w:sz w:val="19"/>
              </w:rPr>
              <w:t>Maternal tobacco exposure during early pregnancy disrupts facial fusion and is one of the best-established modifiable risk factors for orofacial clefts; passive and biomass cooking smoke are relevant in India.</w:t>
            </w:r>
          </w:p>
          <w:p>
            <w:pPr>
              <w:spacing w:after="40" w:before="60" w:line="259" w:lineRule="auto"/>
            </w:pPr>
            <w:r>
              <w:rPr>
                <w:rFonts w:ascii="Calibri" w:hAnsi="Calibri"/>
                <w:b w:val="0"/>
                <w:i w:val="0"/>
                <w:color w:val="212121"/>
                <w:sz w:val="19"/>
              </w:rPr>
              <w:t>CDC lists smoking during pregnancy as a documented factor that increases the risk of cleft lip and cleft palate.</w:t>
            </w:r>
          </w:p>
          <w:p>
            <w:pPr>
              <w:spacing w:after="40" w:line="252" w:lineRule="auto"/>
            </w:pPr>
            <w:hyperlink r:id="rId12">
              <w:r>
                <w:rPr>
                  <w:rFonts w:ascii="Calibri" w:hAnsi="Calibri" w:cs="Calibri"/>
                  <w:sz w:val="18"/>
                  <w:color w:val="1155CC"/>
                  <w:u w:val="single"/>
                </w:rPr>
                <w:t xml:space="preserve">cdc.gov — cleft lip &amp; palate risk factors</w:t>
              </w:r>
            </w:hyperlink>
          </w:p>
          <w:p>
            <w:pPr>
              <w:spacing w:before="60" w:after="40"/>
            </w:pPr>
            <w:r>
              <w:rPr>
                <w:rFonts w:ascii="Calibri" w:hAnsi="Calibri"/>
                <w:b w:val="0"/>
                <w:i w:val="0"/>
                <w:color w:val="5A5A5A"/>
                <w:sz w:val="18"/>
              </w:rPr>
              <w:t>#maternalsmoking  #passivesmoke  #biomass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alcohol</w:t>
            </w:r>
          </w:p>
        </w:tc>
        <w:tc>
          <w:tcPr>
            <w:tcW w:type="dxa" w:w="2160"/>
            <w:vAlign w:val="top"/>
          </w:tcPr>
          <w:p>
            <w:pPr>
              <w:spacing w:after="40" w:before="0" w:line="259" w:lineRule="auto"/>
            </w:pPr>
            <w:r>
              <w:rPr>
                <w:rFonts w:ascii="Calibri" w:hAnsi="Calibri"/>
                <w:b w:val="0"/>
                <w:i w:val="0"/>
                <w:color w:val="212121"/>
                <w:sz w:val="19"/>
              </w:rPr>
              <w:t>Mothers with periconceptional alcohol use</w:t>
            </w:r>
          </w:p>
        </w:tc>
        <w:tc>
          <w:tcPr>
            <w:tcW w:type="dxa" w:w="4276"/>
            <w:vAlign w:val="top"/>
          </w:tcPr>
          <w:p>
            <w:pPr>
              <w:spacing w:after="60" w:line="259" w:lineRule="auto"/>
            </w:pPr>
            <w:r>
              <w:rPr>
                <w:rFonts w:ascii="Calibri" w:hAnsi="Calibri"/>
                <w:b w:val="0"/>
                <w:i w:val="0"/>
                <w:color w:val="212121"/>
                <w:sz w:val="19"/>
              </w:rPr>
              <w:t>Periconceptional alcohol, particularly binge drinking, interferes with neural-crest-derived facial development and is associated with orofacial clefts as part of the fetal alcohol spectrum.</w:t>
            </w:r>
          </w:p>
          <w:p>
            <w:pPr>
              <w:spacing w:before="60" w:after="40"/>
            </w:pPr>
            <w:r>
              <w:rPr>
                <w:rFonts w:ascii="Calibri" w:hAnsi="Calibri"/>
                <w:b w:val="0"/>
                <w:i w:val="0"/>
                <w:color w:val="5A5A5A"/>
                <w:sz w:val="18"/>
              </w:rPr>
              <w:t>#maternalalcohol  #bingedrinking  #FASD  #teratogen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weight</w:t>
            </w:r>
          </w:p>
        </w:tc>
        <w:tc>
          <w:tcPr>
            <w:tcW w:type="dxa" w:w="2160"/>
            <w:vAlign w:val="top"/>
          </w:tcPr>
          <w:p>
            <w:pPr>
              <w:spacing w:after="40" w:before="0" w:line="259" w:lineRule="auto"/>
            </w:pPr>
            <w:r>
              <w:rPr>
                <w:rFonts w:ascii="Calibri" w:hAnsi="Calibri"/>
                <w:b w:val="0"/>
                <w:i w:val="0"/>
                <w:color w:val="212121"/>
                <w:sz w:val="19"/>
              </w:rPr>
              <w:t>Pre-pregnancy obesity</w:t>
            </w:r>
          </w:p>
        </w:tc>
        <w:tc>
          <w:tcPr>
            <w:tcW w:type="dxa" w:w="4276"/>
            <w:vAlign w:val="top"/>
          </w:tcPr>
          <w:p>
            <w:pPr>
              <w:spacing w:after="60" w:line="259" w:lineRule="auto"/>
            </w:pPr>
            <w:r>
              <w:rPr>
                <w:rFonts w:ascii="Calibri" w:hAnsi="Calibri"/>
                <w:b w:val="0"/>
                <w:i w:val="0"/>
                <w:color w:val="212121"/>
                <w:sz w:val="19"/>
              </w:rPr>
              <w:t>Maternal obesity before conception is associated with a modestly increased risk of orofacial clefts, likely through disturbed folate metabolism, hyperglycaemia and inflammation.</w:t>
            </w:r>
          </w:p>
          <w:p>
            <w:pPr>
              <w:spacing w:before="60" w:after="40"/>
            </w:pPr>
            <w:r>
              <w:rPr>
                <w:rFonts w:ascii="Calibri" w:hAnsi="Calibri"/>
                <w:b w:val="0"/>
                <w:i w:val="0"/>
                <w:color w:val="5A5A5A"/>
                <w:sz w:val="18"/>
              </w:rPr>
              <w:t>#maternalobesity  #prepregnancyBMI  #metabolic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Folate intake</w:t>
            </w:r>
          </w:p>
        </w:tc>
        <w:tc>
          <w:tcPr>
            <w:tcW w:type="dxa" w:w="2160"/>
            <w:vAlign w:val="top"/>
          </w:tcPr>
          <w:p>
            <w:pPr>
              <w:spacing w:after="40" w:before="0" w:line="259" w:lineRule="auto"/>
            </w:pPr>
            <w:r>
              <w:rPr>
                <w:rFonts w:ascii="Calibri" w:hAnsi="Calibri"/>
                <w:b w:val="0"/>
                <w:i w:val="0"/>
                <w:color w:val="212121"/>
                <w:sz w:val="19"/>
              </w:rPr>
              <w:t>Mothers with low periconceptional folate/folic acid</w:t>
            </w:r>
          </w:p>
        </w:tc>
        <w:tc>
          <w:tcPr>
            <w:tcW w:type="dxa" w:w="4276"/>
            <w:vAlign w:val="top"/>
          </w:tcPr>
          <w:p>
            <w:pPr>
              <w:spacing w:after="60" w:line="259" w:lineRule="auto"/>
            </w:pPr>
            <w:r>
              <w:rPr>
                <w:rFonts w:ascii="Calibri" w:hAnsi="Calibri"/>
                <w:b w:val="0"/>
                <w:i w:val="0"/>
                <w:color w:val="212121"/>
                <w:sz w:val="19"/>
              </w:rPr>
              <w:t>Folate is essential for the rapid cell proliferation of facial fusion; deficient intake — common with low-diversity or restrictive diets — raises cleft risk, and supplementation is protective.</w:t>
            </w:r>
          </w:p>
          <w:p>
            <w:pPr>
              <w:spacing w:after="40" w:before="60" w:line="259" w:lineRule="auto"/>
            </w:pPr>
            <w:r>
              <w:rPr>
                <w:rFonts w:ascii="Calibri" w:hAnsi="Calibri"/>
                <w:b w:val="0"/>
                <w:i w:val="0"/>
                <w:color w:val="212121"/>
                <w:sz w:val="19"/>
              </w:rPr>
              <w:t>A systematic review in the Indian Journal of Plastic Surgery found a strong association between periconceptional high-dose folic acid and reduced isolated non-syndromic cleft lip with or without cleft palate.</w:t>
            </w:r>
          </w:p>
          <w:p>
            <w:pPr>
              <w:spacing w:after="40" w:line="252" w:lineRule="auto"/>
            </w:pPr>
            <w:hyperlink r:id="rId13">
              <w:r>
                <w:rPr>
                  <w:rFonts w:ascii="Calibri" w:hAnsi="Calibri" w:cs="Calibri"/>
                  <w:sz w:val="18"/>
                  <w:color w:val="1155CC"/>
                  <w:u w:val="single"/>
                </w:rPr>
                <w:t xml:space="preserve">pubmed.ncbi.nlm.nih.gov/31602129 — high-dose folic acid</w:t>
              </w:r>
            </w:hyperlink>
          </w:p>
          <w:p>
            <w:pPr>
              <w:spacing w:before="60" w:after="40"/>
            </w:pPr>
            <w:r>
              <w:rPr>
                <w:rFonts w:ascii="Calibri" w:hAnsi="Calibri"/>
                <w:b w:val="0"/>
                <w:i w:val="0"/>
                <w:color w:val="5A5A5A"/>
                <w:sz w:val="18"/>
              </w:rPr>
              <w:t>#folate  #folicacid  #periconception  #india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Micronutrients</w:t>
            </w:r>
          </w:p>
        </w:tc>
        <w:tc>
          <w:tcPr>
            <w:tcW w:type="dxa" w:w="2160"/>
            <w:vAlign w:val="top"/>
          </w:tcPr>
          <w:p>
            <w:pPr>
              <w:spacing w:after="40" w:before="0" w:line="259" w:lineRule="auto"/>
            </w:pPr>
            <w:r>
              <w:rPr>
                <w:rFonts w:ascii="Calibri" w:hAnsi="Calibri"/>
                <w:b w:val="0"/>
                <w:i w:val="0"/>
                <w:color w:val="212121"/>
                <w:sz w:val="19"/>
              </w:rPr>
              <w:t>Diets low in vitamin B12, B6 and zinc</w:t>
            </w:r>
          </w:p>
        </w:tc>
        <w:tc>
          <w:tcPr>
            <w:tcW w:type="dxa" w:w="4276"/>
            <w:vAlign w:val="top"/>
          </w:tcPr>
          <w:p>
            <w:pPr>
              <w:spacing w:after="60" w:line="259" w:lineRule="auto"/>
            </w:pPr>
            <w:r>
              <w:rPr>
                <w:rFonts w:ascii="Calibri" w:hAnsi="Calibri"/>
                <w:b w:val="0"/>
                <w:i w:val="0"/>
                <w:color w:val="212121"/>
                <w:sz w:val="19"/>
              </w:rPr>
              <w:t>Beyond folate, deficiencies of vitamin B12, B6 and zinc — seen with predominantly cereal-based, low-diversity Indian diets — are linked to impaired one-carbon metabolism and higher cleft risk.</w:t>
            </w:r>
          </w:p>
          <w:p>
            <w:pPr>
              <w:spacing w:before="60" w:after="40"/>
            </w:pPr>
            <w:r>
              <w:rPr>
                <w:rFonts w:ascii="Calibri" w:hAnsi="Calibri"/>
                <w:b w:val="0"/>
                <w:i w:val="0"/>
                <w:color w:val="5A5A5A"/>
                <w:sz w:val="18"/>
              </w:rPr>
              <w:t>#micronutrients  #B12  #zinc  #dietarydiversity  #india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 cleft</w:t>
            </w:r>
          </w:p>
        </w:tc>
        <w:tc>
          <w:tcPr>
            <w:tcW w:type="dxa" w:w="4276"/>
            <w:vAlign w:val="top"/>
          </w:tcPr>
          <w:p>
            <w:pPr>
              <w:spacing w:after="60" w:line="259" w:lineRule="auto"/>
            </w:pPr>
            <w:r>
              <w:rPr>
                <w:rFonts w:ascii="Calibri" w:hAnsi="Calibri"/>
                <w:b w:val="0"/>
                <w:i w:val="0"/>
                <w:color w:val="212121"/>
                <w:sz w:val="19"/>
              </w:rPr>
              <w:t>Clefting is strongly heritable; having an affected sibling or parent markedly increases recurrence risk, and the risk rises further with more than one affected relative.</w:t>
            </w:r>
          </w:p>
          <w:p>
            <w:pPr>
              <w:spacing w:after="40" w:before="60" w:line="259" w:lineRule="auto"/>
            </w:pPr>
            <w:r>
              <w:rPr>
                <w:rFonts w:ascii="Calibri" w:hAnsi="Calibri"/>
                <w:b w:val="0"/>
                <w:i w:val="0"/>
                <w:color w:val="212121"/>
                <w:sz w:val="19"/>
              </w:rPr>
              <w:t>Cleft lip and palate arise from an interaction of genetic and environmental influences, with multiple susceptibility genes identified.</w:t>
            </w:r>
          </w:p>
          <w:p>
            <w:pPr>
              <w:spacing w:after="40" w:line="252" w:lineRule="auto"/>
            </w:pPr>
            <w:hyperlink r:id="rId14">
              <w:r>
                <w:rPr>
                  <w:rFonts w:ascii="Calibri" w:hAnsi="Calibri" w:cs="Calibri"/>
                  <w:sz w:val="18"/>
                  <w:color w:val="1155CC"/>
                  <w:u w:val="single"/>
                </w:rPr>
                <w:t xml:space="preserve">pubmed.ncbi.nlm.nih.gov/21331089 — genetics of clefts</w:t>
              </w:r>
            </w:hyperlink>
          </w:p>
          <w:p>
            <w:pPr>
              <w:spacing w:before="60" w:after="40"/>
            </w:pPr>
            <w:r>
              <w:rPr>
                <w:rFonts w:ascii="Calibri" w:hAnsi="Calibri"/>
                <w:b w:val="0"/>
                <w:i w:val="0"/>
                <w:color w:val="5A5A5A"/>
                <w:sz w:val="18"/>
              </w:rPr>
              <w:t>#familyhistory  #recurrencerisk  #heritable  #polygenic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w:t>
            </w:r>
          </w:p>
        </w:tc>
        <w:tc>
          <w:tcPr>
            <w:tcW w:type="dxa" w:w="2160"/>
            <w:vAlign w:val="top"/>
          </w:tcPr>
          <w:p>
            <w:pPr>
              <w:spacing w:after="40" w:before="0" w:line="259" w:lineRule="auto"/>
            </w:pPr>
            <w:r>
              <w:rPr>
                <w:rFonts w:ascii="Calibri" w:hAnsi="Calibri"/>
                <w:b w:val="0"/>
                <w:i w:val="0"/>
                <w:color w:val="212121"/>
                <w:sz w:val="19"/>
              </w:rPr>
              <w:t>Children with Van der Woude &amp; other syndromes</w:t>
            </w:r>
          </w:p>
        </w:tc>
        <w:tc>
          <w:tcPr>
            <w:tcW w:type="dxa" w:w="4276"/>
            <w:vAlign w:val="top"/>
          </w:tcPr>
          <w:p>
            <w:pPr>
              <w:spacing w:after="60" w:line="259" w:lineRule="auto"/>
            </w:pPr>
            <w:r>
              <w:rPr>
                <w:rFonts w:ascii="Calibri" w:hAnsi="Calibri"/>
                <w:b w:val="0"/>
                <w:i w:val="0"/>
                <w:color w:val="212121"/>
                <w:sz w:val="19"/>
              </w:rPr>
              <w:t>About one-third of clefts are syndromic; Van der Woude syndrome (IRF6 gene) is the commonest single-gene syndromic form, and syndromic clefts carry additional anomalies that alter management and recurrence counselling.</w:t>
            </w:r>
          </w:p>
          <w:p>
            <w:pPr>
              <w:spacing w:after="40" w:before="60" w:line="259" w:lineRule="auto"/>
            </w:pPr>
            <w:r>
              <w:rPr>
                <w:rFonts w:ascii="Calibri" w:hAnsi="Calibri"/>
                <w:b w:val="0"/>
                <w:i w:val="0"/>
                <w:color w:val="212121"/>
                <w:sz w:val="19"/>
              </w:rPr>
              <w:t>Cleft susceptibility genes such as IRF6 illustrate the genetic contribution to both syndromic and non-syndromic clefting.</w:t>
            </w:r>
          </w:p>
          <w:p>
            <w:pPr>
              <w:spacing w:after="40" w:line="252" w:lineRule="auto"/>
            </w:pPr>
            <w:hyperlink r:id="rId14">
              <w:r>
                <w:rPr>
                  <w:rFonts w:ascii="Calibri" w:hAnsi="Calibri" w:cs="Calibri"/>
                  <w:sz w:val="18"/>
                  <w:color w:val="1155CC"/>
                  <w:u w:val="single"/>
                </w:rPr>
                <w:t xml:space="preserve">pubmed.ncbi.nlm.nih.gov/21331089 — IRF6 &amp; syndromes</w:t>
              </w:r>
            </w:hyperlink>
          </w:p>
          <w:p>
            <w:pPr>
              <w:spacing w:before="60" w:after="40"/>
            </w:pPr>
            <w:r>
              <w:rPr>
                <w:rFonts w:ascii="Calibri" w:hAnsi="Calibri"/>
                <w:b w:val="0"/>
                <w:i w:val="0"/>
                <w:color w:val="5A5A5A"/>
                <w:sz w:val="18"/>
              </w:rPr>
              <w:t>#syndromic  #VanderWoude  #IRF6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Pregestational diabetes</w:t>
            </w:r>
          </w:p>
        </w:tc>
        <w:tc>
          <w:tcPr>
            <w:tcW w:type="dxa" w:w="2160"/>
            <w:vAlign w:val="top"/>
          </w:tcPr>
          <w:p>
            <w:pPr>
              <w:spacing w:after="40" w:before="0" w:line="259" w:lineRule="auto"/>
            </w:pPr>
            <w:r>
              <w:rPr>
                <w:rFonts w:ascii="Calibri" w:hAnsi="Calibri"/>
                <w:b w:val="0"/>
                <w:i w:val="0"/>
                <w:color w:val="212121"/>
                <w:sz w:val="19"/>
              </w:rPr>
              <w:t>Mothers with type 1 or type 2 diabetes</w:t>
            </w:r>
          </w:p>
        </w:tc>
        <w:tc>
          <w:tcPr>
            <w:tcW w:type="dxa" w:w="4276"/>
            <w:vAlign w:val="top"/>
          </w:tcPr>
          <w:p>
            <w:pPr>
              <w:spacing w:after="60" w:line="259" w:lineRule="auto"/>
            </w:pPr>
            <w:r>
              <w:rPr>
                <w:rFonts w:ascii="Calibri" w:hAnsi="Calibri"/>
                <w:b w:val="0"/>
                <w:i w:val="0"/>
                <w:color w:val="212121"/>
                <w:sz w:val="19"/>
              </w:rPr>
              <w:t>Diabetes present before pregnancy exposes the embryo to hyperglycaemia during facial morphogenesis and is an established risk factor for orofacial and other congenital anomalies.</w:t>
            </w:r>
          </w:p>
          <w:p>
            <w:pPr>
              <w:spacing w:after="40" w:before="60" w:line="259" w:lineRule="auto"/>
            </w:pPr>
            <w:r>
              <w:rPr>
                <w:rFonts w:ascii="Calibri" w:hAnsi="Calibri"/>
                <w:b w:val="0"/>
                <w:i w:val="0"/>
                <w:color w:val="212121"/>
                <w:sz w:val="19"/>
              </w:rPr>
              <w:t>CDC identifies having diabetes before pregnancy (type 1 or 2) as a factor that increases cleft risk.</w:t>
            </w:r>
          </w:p>
          <w:p>
            <w:pPr>
              <w:spacing w:after="40" w:line="252" w:lineRule="auto"/>
            </w:pPr>
            <w:hyperlink r:id="rId12">
              <w:r>
                <w:rPr>
                  <w:rFonts w:ascii="Calibri" w:hAnsi="Calibri" w:cs="Calibri"/>
                  <w:sz w:val="18"/>
                  <w:color w:val="1155CC"/>
                  <w:u w:val="single"/>
                </w:rPr>
                <w:t xml:space="preserve">cdc.gov — diabetes before pregnancy &amp; clefts</w:t>
              </w:r>
            </w:hyperlink>
          </w:p>
          <w:p>
            <w:pPr>
              <w:spacing w:before="60" w:after="40"/>
            </w:pPr>
            <w:r>
              <w:rPr>
                <w:rFonts w:ascii="Calibri" w:hAnsi="Calibri"/>
                <w:b w:val="0"/>
                <w:i w:val="0"/>
                <w:color w:val="5A5A5A"/>
                <w:sz w:val="18"/>
              </w:rPr>
              <w:t>#pregestationaldiabetes  #hyperglycemia  #teratogen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epilepsy on anticonvulsants</w:t>
            </w:r>
          </w:p>
        </w:tc>
        <w:tc>
          <w:tcPr>
            <w:tcW w:type="dxa" w:w="2160"/>
            <w:vAlign w:val="top"/>
          </w:tcPr>
          <w:p>
            <w:pPr>
              <w:spacing w:after="40" w:before="0" w:line="259" w:lineRule="auto"/>
            </w:pPr>
            <w:r>
              <w:rPr>
                <w:rFonts w:ascii="Calibri" w:hAnsi="Calibri"/>
                <w:b w:val="0"/>
                <w:i w:val="0"/>
                <w:color w:val="212121"/>
                <w:sz w:val="19"/>
              </w:rPr>
              <w:t>Mothers taking valproate/phenytoin/topiramate</w:t>
            </w:r>
          </w:p>
        </w:tc>
        <w:tc>
          <w:tcPr>
            <w:tcW w:type="dxa" w:w="4276"/>
            <w:vAlign w:val="top"/>
          </w:tcPr>
          <w:p>
            <w:pPr>
              <w:spacing w:after="60" w:line="259" w:lineRule="auto"/>
            </w:pPr>
            <w:r>
              <w:rPr>
                <w:rFonts w:ascii="Calibri" w:hAnsi="Calibri"/>
                <w:b w:val="0"/>
                <w:i w:val="0"/>
                <w:color w:val="212121"/>
                <w:sz w:val="19"/>
              </w:rPr>
              <w:t>Several antiepileptic drugs are teratogenic to the developing face; valproate, phenytoin, topiramate and phenobarbital taken in early pregnancy raise the risk of cleft lip and palate.</w:t>
            </w:r>
          </w:p>
          <w:p>
            <w:pPr>
              <w:spacing w:after="40" w:before="60" w:line="259" w:lineRule="auto"/>
            </w:pPr>
            <w:r>
              <w:rPr>
                <w:rFonts w:ascii="Calibri" w:hAnsi="Calibri"/>
                <w:b w:val="0"/>
                <w:i w:val="0"/>
                <w:color w:val="212121"/>
                <w:sz w:val="19"/>
              </w:rPr>
              <w:t>CDC lists the use of certain epilepsy medications during pregnancy as a factor that increases cleft risk.</w:t>
            </w:r>
          </w:p>
          <w:p>
            <w:pPr>
              <w:spacing w:after="40" w:line="252" w:lineRule="auto"/>
            </w:pPr>
            <w:hyperlink r:id="rId12">
              <w:r>
                <w:rPr>
                  <w:rFonts w:ascii="Calibri" w:hAnsi="Calibri" w:cs="Calibri"/>
                  <w:sz w:val="18"/>
                  <w:color w:val="1155CC"/>
                  <w:u w:val="single"/>
                </w:rPr>
                <w:t xml:space="preserve">cdc.gov — epilepsy medications &amp; clefts</w:t>
              </w:r>
            </w:hyperlink>
          </w:p>
          <w:p>
            <w:pPr>
              <w:spacing w:before="60" w:after="40"/>
            </w:pPr>
            <w:r>
              <w:rPr>
                <w:rFonts w:ascii="Calibri" w:hAnsi="Calibri"/>
                <w:b w:val="0"/>
                <w:i w:val="0"/>
                <w:color w:val="5A5A5A"/>
                <w:sz w:val="18"/>
              </w:rPr>
              <w:t>#antiepileptics  #valproate  #topiramate  #teratogen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obesity</w:t>
            </w:r>
          </w:p>
        </w:tc>
        <w:tc>
          <w:tcPr>
            <w:tcW w:type="dxa" w:w="2160"/>
            <w:vAlign w:val="top"/>
          </w:tcPr>
          <w:p>
            <w:pPr>
              <w:spacing w:after="40" w:before="0" w:line="259" w:lineRule="auto"/>
            </w:pPr>
            <w:r>
              <w:rPr>
                <w:rFonts w:ascii="Calibri" w:hAnsi="Calibri"/>
                <w:b w:val="0"/>
                <w:i w:val="0"/>
                <w:color w:val="212121"/>
                <w:sz w:val="19"/>
              </w:rPr>
              <w:t>Mothers with high pre-pregnancy BMI</w:t>
            </w:r>
          </w:p>
        </w:tc>
        <w:tc>
          <w:tcPr>
            <w:tcW w:type="dxa" w:w="4276"/>
            <w:vAlign w:val="top"/>
          </w:tcPr>
          <w:p>
            <w:pPr>
              <w:spacing w:after="60" w:line="259" w:lineRule="auto"/>
            </w:pPr>
            <w:r>
              <w:rPr>
                <w:rFonts w:ascii="Calibri" w:hAnsi="Calibri"/>
                <w:b w:val="0"/>
                <w:i w:val="0"/>
                <w:color w:val="212121"/>
                <w:sz w:val="19"/>
              </w:rPr>
              <w:t>Maternal obesity is associated with disturbed folate status, hyperinsulinaemia and low-grade inflammation, each of which can adversely affect facial fusion and modestly raise cleft risk.</w:t>
            </w:r>
          </w:p>
          <w:p>
            <w:pPr>
              <w:spacing w:before="60" w:after="40"/>
            </w:pPr>
            <w:r>
              <w:rPr>
                <w:rFonts w:ascii="Calibri" w:hAnsi="Calibri"/>
                <w:b w:val="0"/>
                <w:i w:val="0"/>
                <w:color w:val="5A5A5A"/>
                <w:sz w:val="18"/>
              </w:rPr>
              <w:t>#obesity  #BMI  #metabolic  #pregnancy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physical inactivity contributes indirectly through pre-pregnancy obesity, which is associated with a modestly higher cleft risk; maintaining a healthy pre-conception weight is the relevant lever rather than exercise itself.</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Periconceptional folate and micronutrient status is a central modifiable determinant: low folate/B12/zinc raises risk while folic acid supplementation is protective against non-syndromic clefts, a major issue with low-diversity Indian diets.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maternal sleep and orofacial clefting; severe sleep disruption may act only indirectly via metabolic and stress pathways.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Maternal active smoking and passive/biomass smoke exposure in early pregnancy are among the best-established modifiable risk factors for cleft lip and palate.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Periconceptional alcohol, especially binge drinking, is associated with orofacial clefts within the fetal alcohol spectrum; complete abstinence in pregnancy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Severe maternal periconceptional stress and the corticosteroids sometimes used for stress-related or inflammatory conditions have been linked to clefting; after birth, the child and family carry a significant psychosocial burden.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clefting; safe water and general hydration support overall maternal health but do not specifically modify cleft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moderate maternal caffeine intake has not been convincingly shown to cause clefts, though very high intake is best avoided in pregnancy.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the affected child, meticulous oral hygiene is important because teeth adjacent to the cleft and appliances raise caries and gum-disease risk; good hygiene also lowers post-surgical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teratogens strongly provoke clefting — anticonvulsants (valproate, phenytoin, topiramate), retinoids, systemic corticosteroids, pregestational diabetes and early-pregnancy febrile illness or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Periconceptional folic acid dose</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400 µg/day (standard)</w:t>
            </w:r>
          </w:p>
        </w:tc>
        <w:tc>
          <w:tcPr>
            <w:tcW w:type="dxa" w:w="1512"/>
            <w:vAlign w:val="top"/>
          </w:tcPr>
          <w:p>
            <w:pPr>
              <w:spacing w:after="40" w:before="0" w:line="259" w:lineRule="auto"/>
            </w:pPr>
            <w:r>
              <w:rPr>
                <w:rFonts w:ascii="Calibri" w:hAnsi="Calibri"/>
                <w:b w:val="0"/>
                <w:i w:val="0"/>
                <w:color w:val="212121"/>
                <w:sz w:val="19"/>
              </w:rPr>
              <w:t>0 µg/day or started only after conception</w:t>
            </w:r>
          </w:p>
        </w:tc>
        <w:tc>
          <w:tcPr>
            <w:tcW w:type="dxa" w:w="1468"/>
            <w:vAlign w:val="top"/>
          </w:tcPr>
          <w:p>
            <w:pPr>
              <w:spacing w:after="60" w:line="259" w:lineRule="auto"/>
            </w:pPr>
            <w:r>
              <w:rPr>
                <w:rFonts w:ascii="Calibri" w:hAnsi="Calibri"/>
                <w:b w:val="0"/>
                <w:i w:val="0"/>
                <w:color w:val="212121"/>
                <w:sz w:val="19"/>
              </w:rPr>
              <w:t>High-risk mothers (prior affected child, on anticonvulsants, diabetic) need 5 mg/day</w:t>
            </w:r>
          </w:p>
          <w:p>
            <w:pPr>
              <w:spacing w:after="40" w:line="252" w:lineRule="auto"/>
            </w:pPr>
            <w:hyperlink r:id="rId13">
              <w:r>
                <w:rPr>
                  <w:rFonts w:ascii="Calibri" w:hAnsi="Calibri" w:cs="Calibri"/>
                  <w:sz w:val="18"/>
                  <w:color w:val="1155CC"/>
                  <w:u w:val="single"/>
                </w:rPr>
                <w:t xml:space="preserve">https://pubmed.ncbi.nlm.nih.gov/31602129/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Red-cell (RBC) folate</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 906 nmol/L (≥ 400 ng/mL)</w:t>
            </w:r>
          </w:p>
        </w:tc>
        <w:tc>
          <w:tcPr>
            <w:tcW w:type="dxa" w:w="1512"/>
            <w:vAlign w:val="top"/>
          </w:tcPr>
          <w:p>
            <w:pPr>
              <w:spacing w:after="40" w:before="0" w:line="259" w:lineRule="auto"/>
            </w:pPr>
            <w:r>
              <w:rPr>
                <w:rFonts w:ascii="Calibri" w:hAnsi="Calibri"/>
                <w:b w:val="0"/>
                <w:i w:val="0"/>
                <w:color w:val="212121"/>
                <w:sz w:val="19"/>
              </w:rPr>
              <w:t>Low RBC folate</w:t>
            </w:r>
          </w:p>
        </w:tc>
        <w:tc>
          <w:tcPr>
            <w:tcW w:type="dxa" w:w="1468"/>
            <w:vAlign w:val="top"/>
          </w:tcPr>
          <w:p>
            <w:pPr>
              <w:spacing w:after="40" w:before="0" w:line="259" w:lineRule="auto"/>
            </w:pPr>
            <w:r>
              <w:rPr>
                <w:rFonts w:ascii="Calibri" w:hAnsi="Calibri"/>
                <w:b w:val="0"/>
                <w:i w:val="0"/>
                <w:color w:val="212121"/>
                <w:sz w:val="19"/>
              </w:rPr>
              <w:t>Marker of tissue folate status during organogenesis; low levels raise anomaly risk</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Pre-pregnancy Body Mass Index</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kg/m² (obesity)</w:t>
            </w:r>
          </w:p>
        </w:tc>
        <w:tc>
          <w:tcPr>
            <w:tcW w:type="dxa" w:w="1468"/>
            <w:vAlign w:val="top"/>
          </w:tcPr>
          <w:p>
            <w:pPr>
              <w:spacing w:after="40" w:before="0" w:line="259" w:lineRule="auto"/>
            </w:pPr>
            <w:r>
              <w:rPr>
                <w:rFonts w:ascii="Calibri" w:hAnsi="Calibri"/>
                <w:b w:val="0"/>
                <w:i w:val="0"/>
                <w:color w:val="212121"/>
                <w:sz w:val="19"/>
              </w:rPr>
              <w:t>Maternal obesity modestly increases orofacial cleft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cigarettes per day</w:t>
            </w:r>
          </w:p>
        </w:tc>
        <w:tc>
          <w:tcPr>
            <w:tcW w:type="dxa" w:w="1655"/>
            <w:vAlign w:val="top"/>
          </w:tcPr>
          <w:p>
            <w:pPr>
              <w:spacing w:after="40" w:before="0" w:line="259" w:lineRule="auto"/>
            </w:pPr>
            <w:r>
              <w:rPr>
                <w:rFonts w:ascii="Calibri" w:hAnsi="Calibri"/>
                <w:b w:val="0"/>
                <w:i w:val="0"/>
                <w:color w:val="212121"/>
                <w:sz w:val="19"/>
              </w:rPr>
              <w:t>Pregnant women &amp; women trying to conceive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or regular passive/biomass smoke</w:t>
            </w:r>
          </w:p>
        </w:tc>
        <w:tc>
          <w:tcPr>
            <w:tcW w:type="dxa" w:w="1468"/>
            <w:vAlign w:val="top"/>
          </w:tcPr>
          <w:p>
            <w:pPr>
              <w:spacing w:after="60" w:line="259" w:lineRule="auto"/>
            </w:pPr>
            <w:r>
              <w:rPr>
                <w:rFonts w:ascii="Calibri" w:hAnsi="Calibri"/>
                <w:b w:val="0"/>
                <w:i w:val="0"/>
                <w:color w:val="212121"/>
                <w:sz w:val="19"/>
              </w:rPr>
              <w:t>Smoking in pregnancy is a documented cleft risk factor</w:t>
            </w:r>
          </w:p>
          <w:p>
            <w:pPr>
              <w:spacing w:after="40" w:line="252" w:lineRule="auto"/>
            </w:pPr>
            <w:hyperlink r:id="rId12">
              <w:r>
                <w:rPr>
                  <w:rFonts w:ascii="Calibri" w:hAnsi="Calibri" w:cs="Calibri"/>
                  <w:sz w:val="18"/>
                  <w:color w:val="1155CC"/>
                  <w:u w:val="single"/>
                </w:rPr>
                <w:t xml:space="preserve">https://www.cdc.gov/birth-defects/about/cleft-lip-cleft-palate.html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Maternal alcohol in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drinks</w:t>
            </w:r>
          </w:p>
        </w:tc>
        <w:tc>
          <w:tcPr>
            <w:tcW w:type="dxa" w:w="1512"/>
            <w:vAlign w:val="top"/>
          </w:tcPr>
          <w:p>
            <w:pPr>
              <w:spacing w:after="40" w:before="0" w:line="259" w:lineRule="auto"/>
            </w:pPr>
            <w:r>
              <w:rPr>
                <w:rFonts w:ascii="Calibri" w:hAnsi="Calibri"/>
                <w:b w:val="0"/>
                <w:i w:val="0"/>
                <w:color w:val="212121"/>
                <w:sz w:val="19"/>
              </w:rPr>
              <w:t>Any use, especially binge episodes</w:t>
            </w:r>
          </w:p>
        </w:tc>
        <w:tc>
          <w:tcPr>
            <w:tcW w:type="dxa" w:w="1468"/>
            <w:vAlign w:val="top"/>
          </w:tcPr>
          <w:p>
            <w:pPr>
              <w:spacing w:after="40" w:before="0" w:line="259" w:lineRule="auto"/>
            </w:pPr>
            <w:r>
              <w:rPr>
                <w:rFonts w:ascii="Calibri" w:hAnsi="Calibri"/>
                <w:b w:val="0"/>
                <w:i w:val="0"/>
                <w:color w:val="212121"/>
                <w:sz w:val="19"/>
              </w:rPr>
              <w:t>No safe threshold established in pregnancy; binge drinking is of particular concern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Teratogenic anticonvulsant exposure</w:t>
            </w:r>
          </w:p>
        </w:tc>
        <w:tc>
          <w:tcPr>
            <w:tcW w:type="dxa" w:w="1655"/>
            <w:vAlign w:val="top"/>
          </w:tcPr>
          <w:p>
            <w:pPr>
              <w:spacing w:after="40" w:before="0" w:line="259" w:lineRule="auto"/>
            </w:pPr>
            <w:r>
              <w:rPr>
                <w:rFonts w:ascii="Calibri" w:hAnsi="Calibri"/>
                <w:b w:val="0"/>
                <w:i w:val="0"/>
                <w:color w:val="212121"/>
                <w:sz w:val="19"/>
              </w:rPr>
              <w:t>Women with epilepsy of childbearing age</w:t>
            </w:r>
          </w:p>
        </w:tc>
        <w:tc>
          <w:tcPr>
            <w:tcW w:type="dxa" w:w="1512"/>
            <w:vAlign w:val="top"/>
          </w:tcPr>
          <w:p>
            <w:pPr>
              <w:spacing w:after="40" w:before="0" w:line="259" w:lineRule="auto"/>
            </w:pPr>
            <w:r>
              <w:rPr>
                <w:rFonts w:ascii="Calibri" w:hAnsi="Calibri"/>
                <w:b w:val="0"/>
                <w:i w:val="0"/>
                <w:color w:val="212121"/>
                <w:sz w:val="19"/>
              </w:rPr>
              <w:t>No valproate/phenytoin/topiramate periconceptionally</w:t>
            </w:r>
          </w:p>
        </w:tc>
        <w:tc>
          <w:tcPr>
            <w:tcW w:type="dxa" w:w="1512"/>
            <w:vAlign w:val="top"/>
          </w:tcPr>
          <w:p>
            <w:pPr>
              <w:spacing w:after="40" w:before="0" w:line="259" w:lineRule="auto"/>
            </w:pPr>
            <w:r>
              <w:rPr>
                <w:rFonts w:ascii="Calibri" w:hAnsi="Calibri"/>
                <w:b w:val="0"/>
                <w:i w:val="0"/>
                <w:color w:val="212121"/>
                <w:sz w:val="19"/>
              </w:rPr>
              <w:t>Ongoing valproate or other high-risk AED</w:t>
            </w:r>
          </w:p>
        </w:tc>
        <w:tc>
          <w:tcPr>
            <w:tcW w:type="dxa" w:w="1468"/>
            <w:vAlign w:val="top"/>
          </w:tcPr>
          <w:p>
            <w:pPr>
              <w:spacing w:after="60" w:line="259" w:lineRule="auto"/>
            </w:pPr>
            <w:r>
              <w:rPr>
                <w:rFonts w:ascii="Calibri" w:hAnsi="Calibri"/>
                <w:b w:val="0"/>
                <w:i w:val="0"/>
                <w:color w:val="212121"/>
                <w:sz w:val="19"/>
              </w:rPr>
              <w:t>Switch to lower-risk regimen and optimise before conception with neurology input</w:t>
            </w:r>
          </w:p>
          <w:p>
            <w:pPr>
              <w:spacing w:after="40" w:line="252" w:lineRule="auto"/>
            </w:pPr>
            <w:hyperlink r:id="rId12">
              <w:r>
                <w:rPr>
                  <w:rFonts w:ascii="Calibri" w:hAnsi="Calibri" w:cs="Calibri"/>
                  <w:sz w:val="18"/>
                  <w:color w:val="1155CC"/>
                  <w:u w:val="single"/>
                </w:rPr>
                <w:t xml:space="preserve">https://www.cdc.gov/birth-defects/about/cleft-lip-cleft-palate.html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Periconceptional glycaemic control (HbA1c)</w:t>
            </w:r>
          </w:p>
        </w:tc>
        <w:tc>
          <w:tcPr>
            <w:tcW w:type="dxa" w:w="1655"/>
            <w:vAlign w:val="top"/>
          </w:tcPr>
          <w:p>
            <w:pPr>
              <w:spacing w:after="40" w:before="0" w:line="259" w:lineRule="auto"/>
            </w:pPr>
            <w:r>
              <w:rPr>
                <w:rFonts w:ascii="Calibri" w:hAnsi="Calibri"/>
                <w:b w:val="0"/>
                <w:i w:val="0"/>
                <w:color w:val="212121"/>
                <w:sz w:val="19"/>
              </w:rPr>
              <w:t>Mothers with pre-existing diabetes</w:t>
            </w:r>
          </w:p>
        </w:tc>
        <w:tc>
          <w:tcPr>
            <w:tcW w:type="dxa" w:w="1512"/>
            <w:vAlign w:val="top"/>
          </w:tcPr>
          <w:p>
            <w:pPr>
              <w:spacing w:after="40" w:before="0" w:line="259" w:lineRule="auto"/>
            </w:pPr>
            <w:r>
              <w:rPr>
                <w:rFonts w:ascii="Calibri" w:hAnsi="Calibri"/>
                <w:b w:val="0"/>
                <w:i w:val="0"/>
                <w:color w:val="212121"/>
                <w:sz w:val="19"/>
              </w:rPr>
              <w:t>&lt; 6.5% before conception</w:t>
            </w:r>
          </w:p>
        </w:tc>
        <w:tc>
          <w:tcPr>
            <w:tcW w:type="dxa" w:w="1512"/>
            <w:vAlign w:val="top"/>
          </w:tcPr>
          <w:p>
            <w:pPr>
              <w:spacing w:after="40" w:before="0" w:line="259" w:lineRule="auto"/>
            </w:pPr>
            <w:r>
              <w:rPr>
                <w:rFonts w:ascii="Calibri" w:hAnsi="Calibri"/>
                <w:b w:val="0"/>
                <w:i w:val="0"/>
                <w:color w:val="212121"/>
                <w:sz w:val="19"/>
              </w:rPr>
              <w:t>Poorly controlled/elevated HbA1c</w:t>
            </w:r>
          </w:p>
        </w:tc>
        <w:tc>
          <w:tcPr>
            <w:tcW w:type="dxa" w:w="1468"/>
            <w:vAlign w:val="top"/>
          </w:tcPr>
          <w:p>
            <w:pPr>
              <w:spacing w:after="40" w:before="0" w:line="259" w:lineRule="auto"/>
            </w:pPr>
            <w:r>
              <w:rPr>
                <w:rFonts w:ascii="Calibri" w:hAnsi="Calibri"/>
                <w:b w:val="0"/>
                <w:i w:val="0"/>
                <w:color w:val="212121"/>
                <w:sz w:val="19"/>
              </w:rPr>
              <w:t>Optimising glucose before pregnancy lowers cleft and other anomaly risk</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Maternal caffeine intake</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High daily intake</w:t>
            </w:r>
          </w:p>
        </w:tc>
        <w:tc>
          <w:tcPr>
            <w:tcW w:type="dxa" w:w="1468"/>
            <w:vAlign w:val="top"/>
          </w:tcPr>
          <w:p>
            <w:pPr>
              <w:spacing w:after="40" w:before="0" w:line="259" w:lineRule="auto"/>
            </w:pPr>
            <w:r>
              <w:rPr>
                <w:rFonts w:ascii="Calibri" w:hAnsi="Calibri"/>
                <w:b w:val="0"/>
                <w:i w:val="0"/>
                <w:color w:val="212121"/>
                <w:sz w:val="19"/>
              </w:rPr>
              <w:t>Evidence for clefts is weak; moderation advised as general pregnancy guidance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hygiene / caries around the cleft</w:t>
            </w:r>
          </w:p>
        </w:tc>
        <w:tc>
          <w:tcPr>
            <w:tcW w:type="dxa" w:w="1655"/>
            <w:vAlign w:val="top"/>
          </w:tcPr>
          <w:p>
            <w:pPr>
              <w:spacing w:after="40" w:before="0" w:line="259" w:lineRule="auto"/>
            </w:pPr>
            <w:r>
              <w:rPr>
                <w:rFonts w:ascii="Calibri" w:hAnsi="Calibri"/>
                <w:b w:val="0"/>
                <w:i w:val="0"/>
                <w:color w:val="212121"/>
                <w:sz w:val="19"/>
              </w:rPr>
              <w:t>Children with repaired or unrepaired cleft</w:t>
            </w:r>
          </w:p>
        </w:tc>
        <w:tc>
          <w:tcPr>
            <w:tcW w:type="dxa" w:w="1512"/>
            <w:vAlign w:val="top"/>
          </w:tcPr>
          <w:p>
            <w:pPr>
              <w:spacing w:after="40" w:before="0" w:line="259" w:lineRule="auto"/>
            </w:pPr>
            <w:r>
              <w:rPr>
                <w:rFonts w:ascii="Calibri" w:hAnsi="Calibri"/>
                <w:b w:val="0"/>
                <w:i w:val="0"/>
                <w:color w:val="212121"/>
                <w:sz w:val="19"/>
              </w:rPr>
              <w:t>Twice-daily brushing, caries-free</w:t>
            </w:r>
          </w:p>
        </w:tc>
        <w:tc>
          <w:tcPr>
            <w:tcW w:type="dxa" w:w="1512"/>
            <w:vAlign w:val="top"/>
          </w:tcPr>
          <w:p>
            <w:pPr>
              <w:spacing w:after="40" w:before="0" w:line="259" w:lineRule="auto"/>
            </w:pPr>
            <w:r>
              <w:rPr>
                <w:rFonts w:ascii="Calibri" w:hAnsi="Calibri"/>
                <w:b w:val="0"/>
                <w:i w:val="0"/>
                <w:color w:val="212121"/>
                <w:sz w:val="19"/>
              </w:rPr>
              <w:t>Visible plaque, active caries near cleft/appliance</w:t>
            </w:r>
          </w:p>
        </w:tc>
        <w:tc>
          <w:tcPr>
            <w:tcW w:type="dxa" w:w="1468"/>
            <w:vAlign w:val="top"/>
          </w:tcPr>
          <w:p>
            <w:pPr>
              <w:spacing w:after="40" w:before="0" w:line="259" w:lineRule="auto"/>
            </w:pPr>
            <w:r>
              <w:rPr>
                <w:rFonts w:ascii="Calibri" w:hAnsi="Calibri"/>
                <w:b w:val="0"/>
                <w:i w:val="0"/>
                <w:color w:val="212121"/>
                <w:sz w:val="19"/>
              </w:rPr>
              <w:t>Teeth adjacent to the cleft are prone to caries and malposition; needs paediatric dental care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Fetal lip/palate on anomaly scan</w:t>
            </w:r>
          </w:p>
        </w:tc>
        <w:tc>
          <w:tcPr>
            <w:tcW w:type="dxa" w:w="892"/>
            <w:vAlign w:val="top"/>
          </w:tcPr>
          <w:p>
            <w:pPr>
              <w:spacing w:after="40" w:before="0" w:line="259" w:lineRule="auto"/>
            </w:pPr>
            <w:r>
              <w:rPr>
                <w:rFonts w:ascii="Calibri" w:hAnsi="Calibri"/>
                <w:b w:val="0"/>
                <w:i w:val="0"/>
                <w:color w:val="212121"/>
                <w:sz w:val="16"/>
              </w:rPr>
              <w:t>Mid-trimester ultrasound (18–22 wk)</w:t>
            </w:r>
          </w:p>
        </w:tc>
        <w:tc>
          <w:tcPr>
            <w:tcW w:type="dxa" w:w="950"/>
            <w:vAlign w:val="top"/>
          </w:tcPr>
          <w:p>
            <w:pPr>
              <w:spacing w:after="40" w:before="0" w:line="259" w:lineRule="auto"/>
            </w:pPr>
            <w:r>
              <w:rPr>
                <w:rFonts w:ascii="Calibri" w:hAnsi="Calibri"/>
                <w:b w:val="0"/>
                <w:i w:val="0"/>
                <w:color w:val="212121"/>
                <w:sz w:val="16"/>
              </w:rPr>
              <w:t>Intact lip and facial profile</w:t>
            </w:r>
          </w:p>
        </w:tc>
        <w:tc>
          <w:tcPr>
            <w:tcW w:type="dxa" w:w="950"/>
            <w:vAlign w:val="top"/>
          </w:tcPr>
          <w:p>
            <w:pPr>
              <w:spacing w:after="40" w:before="0" w:line="259" w:lineRule="auto"/>
            </w:pPr>
            <w:r>
              <w:rPr>
                <w:rFonts w:ascii="Calibri" w:hAnsi="Calibri"/>
                <w:b w:val="0"/>
                <w:i w:val="0"/>
                <w:color w:val="212121"/>
                <w:sz w:val="16"/>
              </w:rPr>
              <w:t>Cleft of lip ± alveolus seen</w:t>
            </w:r>
          </w:p>
        </w:tc>
        <w:tc>
          <w:tcPr>
            <w:tcW w:type="dxa" w:w="1036"/>
            <w:vAlign w:val="top"/>
          </w:tcPr>
          <w:p>
            <w:pPr>
              <w:spacing w:after="40" w:before="0" w:line="259" w:lineRule="auto"/>
            </w:pPr>
            <w:r>
              <w:rPr>
                <w:rFonts w:ascii="Calibri" w:hAnsi="Calibri"/>
                <w:b w:val="0"/>
                <w:i w:val="0"/>
                <w:color w:val="212121"/>
                <w:sz w:val="16"/>
              </w:rPr>
              <w:t>Antenatal detection of cleft lip; isolated cleft palate is often not visualised</w:t>
            </w:r>
          </w:p>
        </w:tc>
        <w:tc>
          <w:tcPr>
            <w:tcW w:type="dxa" w:w="1036"/>
            <w:vAlign w:val="top"/>
          </w:tcPr>
          <w:p>
            <w:pPr>
              <w:spacing w:after="40" w:before="0" w:line="259" w:lineRule="auto"/>
            </w:pPr>
            <w:r>
              <w:rPr>
                <w:rFonts w:ascii="Calibri" w:hAnsi="Calibri"/>
                <w:b w:val="0"/>
                <w:i w:val="0"/>
                <w:color w:val="212121"/>
                <w:sz w:val="16"/>
              </w:rPr>
              <w:t>All pregnancies; high-risk mothers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Enables antenatal counselling and delivery planning at a cleft-capable centre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structure</w:t>
            </w:r>
          </w:p>
        </w:tc>
        <w:tc>
          <w:tcPr>
            <w:tcW w:type="dxa" w:w="892"/>
            <w:vAlign w:val="top"/>
          </w:tcPr>
          <w:p>
            <w:pPr>
              <w:spacing w:after="40" w:before="0" w:line="259" w:lineRule="auto"/>
            </w:pPr>
            <w:r>
              <w:rPr>
                <w:rFonts w:ascii="Calibri" w:hAnsi="Calibri"/>
                <w:b w:val="0"/>
                <w:i w:val="0"/>
                <w:color w:val="212121"/>
                <w:sz w:val="16"/>
              </w:rPr>
              <w:t>Echocardiography</w:t>
            </w:r>
          </w:p>
        </w:tc>
        <w:tc>
          <w:tcPr>
            <w:tcW w:type="dxa" w:w="950"/>
            <w:vAlign w:val="top"/>
          </w:tcPr>
          <w:p>
            <w:pPr>
              <w:spacing w:after="40" w:before="0" w:line="259" w:lineRule="auto"/>
            </w:pPr>
            <w:r>
              <w:rPr>
                <w:rFonts w:ascii="Calibri" w:hAnsi="Calibri"/>
                <w:b w:val="0"/>
                <w:i w:val="0"/>
                <w:color w:val="212121"/>
                <w:sz w:val="16"/>
              </w:rPr>
              <w:t>Structurally normal heart</w:t>
            </w:r>
          </w:p>
        </w:tc>
        <w:tc>
          <w:tcPr>
            <w:tcW w:type="dxa" w:w="950"/>
            <w:vAlign w:val="top"/>
          </w:tcPr>
          <w:p>
            <w:pPr>
              <w:spacing w:after="40" w:before="0" w:line="259" w:lineRule="auto"/>
            </w:pPr>
            <w:r>
              <w:rPr>
                <w:rFonts w:ascii="Calibri" w:hAnsi="Calibri"/>
                <w:b w:val="0"/>
                <w:i w:val="0"/>
                <w:color w:val="212121"/>
                <w:sz w:val="16"/>
              </w:rPr>
              <w:t>Septal or other congenital heart defect</w:t>
            </w:r>
          </w:p>
        </w:tc>
        <w:tc>
          <w:tcPr>
            <w:tcW w:type="dxa" w:w="1036"/>
            <w:vAlign w:val="top"/>
          </w:tcPr>
          <w:p>
            <w:pPr>
              <w:spacing w:after="40" w:before="0" w:line="259" w:lineRule="auto"/>
            </w:pPr>
            <w:r>
              <w:rPr>
                <w:rFonts w:ascii="Calibri" w:hAnsi="Calibri"/>
                <w:b w:val="0"/>
                <w:i w:val="0"/>
                <w:color w:val="212121"/>
                <w:sz w:val="16"/>
              </w:rPr>
              <w:t>Screens for associated cardiac anomalies, common in syndromic clefts</w:t>
            </w:r>
          </w:p>
        </w:tc>
        <w:tc>
          <w:tcPr>
            <w:tcW w:type="dxa" w:w="1036"/>
            <w:vAlign w:val="top"/>
          </w:tcPr>
          <w:p>
            <w:pPr>
              <w:spacing w:after="40" w:before="0" w:line="259" w:lineRule="auto"/>
            </w:pPr>
            <w:r>
              <w:rPr>
                <w:rFonts w:ascii="Calibri" w:hAnsi="Calibri"/>
                <w:b w:val="0"/>
                <w:i w:val="0"/>
                <w:color w:val="212121"/>
                <w:sz w:val="16"/>
              </w:rPr>
              <w:t>Syndromic clefts, multiple anomalies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fitness and timing for cleft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Chromosomes / copy-number</w:t>
            </w:r>
          </w:p>
        </w:tc>
        <w:tc>
          <w:tcPr>
            <w:tcW w:type="dxa" w:w="892"/>
            <w:vAlign w:val="top"/>
          </w:tcPr>
          <w:p>
            <w:pPr>
              <w:spacing w:after="40" w:before="0" w:line="259" w:lineRule="auto"/>
            </w:pPr>
            <w:r>
              <w:rPr>
                <w:rFonts w:ascii="Calibri" w:hAnsi="Calibri"/>
                <w:b w:val="0"/>
                <w:i w:val="0"/>
                <w:color w:val="212121"/>
                <w:sz w:val="16"/>
              </w:rPr>
              <w:t>Karyotype / chromosomal microarray</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Deletion (e.g., 22q11.2) or syndromic variant</w:t>
            </w:r>
          </w:p>
        </w:tc>
        <w:tc>
          <w:tcPr>
            <w:tcW w:type="dxa" w:w="1036"/>
            <w:vAlign w:val="top"/>
          </w:tcPr>
          <w:p>
            <w:pPr>
              <w:spacing w:after="40" w:before="0" w:line="259" w:lineRule="auto"/>
            </w:pPr>
            <w:r>
              <w:rPr>
                <w:rFonts w:ascii="Calibri" w:hAnsi="Calibri"/>
                <w:b w:val="0"/>
                <w:i w:val="0"/>
                <w:color w:val="212121"/>
                <w:sz w:val="16"/>
              </w:rPr>
              <w:t>Confirms a syndromic diagnosis and informs recurrence risk</w:t>
            </w:r>
          </w:p>
        </w:tc>
        <w:tc>
          <w:tcPr>
            <w:tcW w:type="dxa" w:w="1036"/>
            <w:vAlign w:val="top"/>
          </w:tcPr>
          <w:p>
            <w:pPr>
              <w:spacing w:after="40" w:before="0" w:line="259" w:lineRule="auto"/>
            </w:pPr>
            <w:r>
              <w:rPr>
                <w:rFonts w:ascii="Calibri" w:hAnsi="Calibri"/>
                <w:b w:val="0"/>
                <w:i w:val="0"/>
                <w:color w:val="212121"/>
                <w:sz w:val="16"/>
              </w:rPr>
              <w:t>Dysmorphic infants, multiple anomalies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Directs genetic counselling for the family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Audiology</w:t>
            </w:r>
          </w:p>
        </w:tc>
        <w:tc>
          <w:tcPr>
            <w:tcW w:type="dxa" w:w="1036"/>
            <w:vAlign w:val="top"/>
          </w:tcPr>
          <w:p>
            <w:pPr>
              <w:spacing w:after="40" w:before="0" w:line="259" w:lineRule="auto"/>
            </w:pPr>
            <w:r>
              <w:rPr>
                <w:rFonts w:ascii="Calibri" w:hAnsi="Calibri"/>
                <w:b w:val="0"/>
                <w:i w:val="0"/>
                <w:color w:val="212121"/>
                <w:sz w:val="16"/>
              </w:rPr>
              <w:t>Hearing thresholds / middle-ear status</w:t>
            </w:r>
          </w:p>
        </w:tc>
        <w:tc>
          <w:tcPr>
            <w:tcW w:type="dxa" w:w="892"/>
            <w:vAlign w:val="top"/>
          </w:tcPr>
          <w:p>
            <w:pPr>
              <w:spacing w:after="40" w:before="0" w:line="259" w:lineRule="auto"/>
            </w:pPr>
            <w:r>
              <w:rPr>
                <w:rFonts w:ascii="Calibri" w:hAnsi="Calibri"/>
                <w:b w:val="0"/>
                <w:i w:val="0"/>
                <w:color w:val="212121"/>
                <w:sz w:val="16"/>
              </w:rPr>
              <w:t>OAE, BERA &amp; tympanometry</w:t>
            </w:r>
          </w:p>
        </w:tc>
        <w:tc>
          <w:tcPr>
            <w:tcW w:type="dxa" w:w="950"/>
            <w:vAlign w:val="top"/>
          </w:tcPr>
          <w:p>
            <w:pPr>
              <w:spacing w:after="40" w:before="0" w:line="259" w:lineRule="auto"/>
            </w:pPr>
            <w:r>
              <w:rPr>
                <w:rFonts w:ascii="Calibri" w:hAnsi="Calibri"/>
                <w:b w:val="0"/>
                <w:i w:val="0"/>
                <w:color w:val="212121"/>
                <w:sz w:val="16"/>
              </w:rPr>
              <w:t>Normal thresholds, type A tympanogram</w:t>
            </w:r>
          </w:p>
        </w:tc>
        <w:tc>
          <w:tcPr>
            <w:tcW w:type="dxa" w:w="950"/>
            <w:vAlign w:val="top"/>
          </w:tcPr>
          <w:p>
            <w:pPr>
              <w:spacing w:after="40" w:before="0" w:line="259" w:lineRule="auto"/>
            </w:pPr>
            <w:r>
              <w:rPr>
                <w:rFonts w:ascii="Calibri" w:hAnsi="Calibri"/>
                <w:b w:val="0"/>
                <w:i w:val="0"/>
                <w:color w:val="212121"/>
                <w:sz w:val="16"/>
              </w:rPr>
              <w:t>Conductive loss, type B (flat) tympanogram</w:t>
            </w:r>
          </w:p>
        </w:tc>
        <w:tc>
          <w:tcPr>
            <w:tcW w:type="dxa" w:w="1036"/>
            <w:vAlign w:val="top"/>
          </w:tcPr>
          <w:p>
            <w:pPr>
              <w:spacing w:after="40" w:before="0" w:line="259" w:lineRule="auto"/>
            </w:pPr>
            <w:r>
              <w:rPr>
                <w:rFonts w:ascii="Calibri" w:hAnsi="Calibri"/>
                <w:b w:val="0"/>
                <w:i w:val="0"/>
                <w:color w:val="212121"/>
                <w:sz w:val="16"/>
              </w:rPr>
              <w:t>Detects otitis media with effusion and conductive hearing loss, near-universal in cleft palate</w:t>
            </w:r>
          </w:p>
        </w:tc>
        <w:tc>
          <w:tcPr>
            <w:tcW w:type="dxa" w:w="1036"/>
            <w:vAlign w:val="top"/>
          </w:tcPr>
          <w:p>
            <w:pPr>
              <w:spacing w:after="40" w:before="0" w:line="259" w:lineRule="auto"/>
            </w:pPr>
            <w:r>
              <w:rPr>
                <w:rFonts w:ascii="Calibri" w:hAnsi="Calibri"/>
                <w:b w:val="0"/>
                <w:i w:val="0"/>
                <w:color w:val="212121"/>
                <w:sz w:val="16"/>
              </w:rPr>
              <w:t>All children with cleft palate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Repeated through childhood; may need grommets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TLC</w:t>
            </w:r>
          </w:p>
        </w:tc>
        <w:tc>
          <w:tcPr>
            <w:tcW w:type="dxa" w:w="892"/>
            <w:vAlign w:val="top"/>
          </w:tcPr>
          <w:p>
            <w:pPr>
              <w:spacing w:after="40" w:before="0" w:line="259" w:lineRule="auto"/>
            </w:pPr>
            <w:r>
              <w:rPr>
                <w:rFonts w:ascii="Calibri" w:hAnsi="Calibri"/>
                <w:b w:val="0"/>
                <w:i w:val="0"/>
                <w:color w:val="212121"/>
                <w:sz w:val="16"/>
              </w:rPr>
              <w:t>Preoperative haemogram</w:t>
            </w:r>
          </w:p>
        </w:tc>
        <w:tc>
          <w:tcPr>
            <w:tcW w:type="dxa" w:w="950"/>
            <w:vAlign w:val="top"/>
          </w:tcPr>
          <w:p>
            <w:pPr>
              <w:spacing w:after="40" w:before="0" w:line="259" w:lineRule="auto"/>
            </w:pPr>
            <w:r>
              <w:rPr>
                <w:rFonts w:ascii="Calibri" w:hAnsi="Calibri"/>
                <w:b w:val="0"/>
                <w:i w:val="0"/>
                <w:color w:val="212121"/>
                <w:sz w:val="16"/>
              </w:rPr>
              <w:t>Age-appropriate Hb (often ≥ 10 g/dL)</w:t>
            </w:r>
          </w:p>
        </w:tc>
        <w:tc>
          <w:tcPr>
            <w:tcW w:type="dxa" w:w="950"/>
            <w:vAlign w:val="top"/>
          </w:tcPr>
          <w:p>
            <w:pPr>
              <w:spacing w:after="40" w:before="0" w:line="259" w:lineRule="auto"/>
            </w:pPr>
            <w:r>
              <w:rPr>
                <w:rFonts w:ascii="Calibri" w:hAnsi="Calibri"/>
                <w:b w:val="0"/>
                <w:i w:val="0"/>
                <w:color w:val="212121"/>
                <w:sz w:val="16"/>
              </w:rPr>
              <w:t>Anaemia or leucocytosis</w:t>
            </w:r>
          </w:p>
        </w:tc>
        <w:tc>
          <w:tcPr>
            <w:tcW w:type="dxa" w:w="1036"/>
            <w:vAlign w:val="top"/>
          </w:tcPr>
          <w:p>
            <w:pPr>
              <w:spacing w:after="40" w:before="0" w:line="259" w:lineRule="auto"/>
            </w:pPr>
            <w:r>
              <w:rPr>
                <w:rFonts w:ascii="Calibri" w:hAnsi="Calibri"/>
                <w:b w:val="0"/>
                <w:i w:val="0"/>
                <w:color w:val="212121"/>
                <w:sz w:val="16"/>
              </w:rPr>
              <w:t>Assesses fitness for lip/palate repair anaesthesia</w:t>
            </w:r>
          </w:p>
        </w:tc>
        <w:tc>
          <w:tcPr>
            <w:tcW w:type="dxa" w:w="1036"/>
            <w:vAlign w:val="top"/>
          </w:tcPr>
          <w:p>
            <w:pPr>
              <w:spacing w:after="40" w:before="0" w:line="259" w:lineRule="auto"/>
            </w:pPr>
            <w:r>
              <w:rPr>
                <w:rFonts w:ascii="Calibri" w:hAnsi="Calibri"/>
                <w:b w:val="0"/>
                <w:i w:val="0"/>
                <w:color w:val="212121"/>
                <w:sz w:val="16"/>
              </w:rPr>
              <w:t>Infants scheduled for cleft repair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Preoperative</w:t>
            </w:r>
          </w:p>
        </w:tc>
        <w:tc>
          <w:tcPr>
            <w:tcW w:type="dxa" w:w="720"/>
            <w:vAlign w:val="top"/>
          </w:tcPr>
          <w:p>
            <w:pPr>
              <w:spacing w:after="40" w:before="0" w:line="259" w:lineRule="auto"/>
            </w:pPr>
            <w:r>
              <w:rPr>
                <w:rFonts w:ascii="Calibri" w:hAnsi="Calibri"/>
                <w:b w:val="0"/>
                <w:i w:val="0"/>
                <w:color w:val="212121"/>
                <w:sz w:val="16"/>
              </w:rPr>
              <w:t>“Rule of 10s” traditionally guides timing of lip repair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Speech imaging</w:t>
            </w:r>
          </w:p>
        </w:tc>
        <w:tc>
          <w:tcPr>
            <w:tcW w:type="dxa" w:w="1036"/>
            <w:vAlign w:val="top"/>
          </w:tcPr>
          <w:p>
            <w:pPr>
              <w:spacing w:after="40" w:before="0" w:line="259" w:lineRule="auto"/>
            </w:pPr>
            <w:r>
              <w:rPr>
                <w:rFonts w:ascii="Calibri" w:hAnsi="Calibri"/>
                <w:b w:val="0"/>
                <w:i w:val="0"/>
                <w:color w:val="212121"/>
                <w:sz w:val="16"/>
              </w:rPr>
              <w:t>Velopharyngeal closure</w:t>
            </w:r>
          </w:p>
        </w:tc>
        <w:tc>
          <w:tcPr>
            <w:tcW w:type="dxa" w:w="892"/>
            <w:vAlign w:val="top"/>
          </w:tcPr>
          <w:p>
            <w:pPr>
              <w:spacing w:after="40" w:before="0" w:line="259" w:lineRule="auto"/>
            </w:pPr>
            <w:r>
              <w:rPr>
                <w:rFonts w:ascii="Calibri" w:hAnsi="Calibri"/>
                <w:b w:val="0"/>
                <w:i w:val="0"/>
                <w:color w:val="212121"/>
                <w:sz w:val="16"/>
              </w:rPr>
              <w:t>Videofluoroscopy / nasendoscopy</w:t>
            </w:r>
          </w:p>
        </w:tc>
        <w:tc>
          <w:tcPr>
            <w:tcW w:type="dxa" w:w="950"/>
            <w:vAlign w:val="top"/>
          </w:tcPr>
          <w:p>
            <w:pPr>
              <w:spacing w:after="40" w:before="0" w:line="259" w:lineRule="auto"/>
            </w:pPr>
            <w:r>
              <w:rPr>
                <w:rFonts w:ascii="Calibri" w:hAnsi="Calibri"/>
                <w:b w:val="0"/>
                <w:i w:val="0"/>
                <w:color w:val="212121"/>
                <w:sz w:val="16"/>
              </w:rPr>
              <w:t>Complete velopharyngeal closure</w:t>
            </w:r>
          </w:p>
        </w:tc>
        <w:tc>
          <w:tcPr>
            <w:tcW w:type="dxa" w:w="950"/>
            <w:vAlign w:val="top"/>
          </w:tcPr>
          <w:p>
            <w:pPr>
              <w:spacing w:after="40" w:before="0" w:line="259" w:lineRule="auto"/>
            </w:pPr>
            <w:r>
              <w:rPr>
                <w:rFonts w:ascii="Calibri" w:hAnsi="Calibri"/>
                <w:b w:val="0"/>
                <w:i w:val="0"/>
                <w:color w:val="212121"/>
                <w:sz w:val="16"/>
              </w:rPr>
              <w:t>Closure gap with hypernasality/nasal emission</w:t>
            </w:r>
          </w:p>
        </w:tc>
        <w:tc>
          <w:tcPr>
            <w:tcW w:type="dxa" w:w="1036"/>
            <w:vAlign w:val="top"/>
          </w:tcPr>
          <w:p>
            <w:pPr>
              <w:spacing w:after="40" w:before="0" w:line="259" w:lineRule="auto"/>
            </w:pPr>
            <w:r>
              <w:rPr>
                <w:rFonts w:ascii="Calibri" w:hAnsi="Calibri"/>
                <w:b w:val="0"/>
                <w:i w:val="0"/>
                <w:color w:val="212121"/>
                <w:sz w:val="16"/>
              </w:rPr>
              <w:t>Objectively assesses velopharyngeal insufficiency after palate repair</w:t>
            </w:r>
          </w:p>
        </w:tc>
        <w:tc>
          <w:tcPr>
            <w:tcW w:type="dxa" w:w="1036"/>
            <w:vAlign w:val="top"/>
          </w:tcPr>
          <w:p>
            <w:pPr>
              <w:spacing w:after="40" w:before="0" w:line="259" w:lineRule="auto"/>
            </w:pPr>
            <w:r>
              <w:rPr>
                <w:rFonts w:ascii="Calibri" w:hAnsi="Calibri"/>
                <w:b w:val="0"/>
                <w:i w:val="0"/>
                <w:color w:val="212121"/>
                <w:sz w:val="16"/>
              </w:rPr>
              <w:t>Children with hypernasal speech</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secondary speech surgery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birth &amp; family history</w:t>
            </w:r>
          </w:p>
        </w:tc>
        <w:tc>
          <w:tcPr>
            <w:tcW w:type="dxa" w:w="979"/>
            <w:vAlign w:val="top"/>
          </w:tcPr>
          <w:p>
            <w:pPr>
              <w:spacing w:after="40" w:before="0" w:line="259" w:lineRule="auto"/>
            </w:pPr>
            <w:r>
              <w:rPr>
                <w:rFonts w:ascii="Calibri" w:hAnsi="Calibri"/>
                <w:b w:val="0"/>
                <w:i w:val="0"/>
                <w:color w:val="212121"/>
                <w:sz w:val="16"/>
              </w:rPr>
              <w:t>Teratogen exposure, diabetes, consanguinity, family cleft</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Any risk factor present</w:t>
            </w:r>
          </w:p>
        </w:tc>
        <w:tc>
          <w:tcPr>
            <w:tcW w:type="dxa" w:w="1036"/>
            <w:vAlign w:val="top"/>
          </w:tcPr>
          <w:p>
            <w:pPr>
              <w:spacing w:after="40" w:before="0" w:line="259" w:lineRule="auto"/>
            </w:pPr>
            <w:r>
              <w:rPr>
                <w:rFonts w:ascii="Calibri" w:hAnsi="Calibri"/>
                <w:b w:val="0"/>
                <w:i w:val="0"/>
                <w:color w:val="212121"/>
                <w:sz w:val="16"/>
              </w:rPr>
              <w:t>Identifies aetiological and recurrence factors</w:t>
            </w:r>
          </w:p>
        </w:tc>
        <w:tc>
          <w:tcPr>
            <w:tcW w:type="dxa" w:w="1036"/>
            <w:vAlign w:val="top"/>
          </w:tcPr>
          <w:p>
            <w:pPr>
              <w:spacing w:after="40" w:before="0" w:line="259" w:lineRule="auto"/>
            </w:pPr>
            <w:r>
              <w:rPr>
                <w:rFonts w:ascii="Calibri" w:hAnsi="Calibri"/>
                <w:b w:val="0"/>
                <w:i w:val="0"/>
                <w:color w:val="212121"/>
                <w:sz w:val="16"/>
              </w:rPr>
              <w:t>All affected families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Record maternal medication, folate use and pedigree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Lip &amp; intraoral inspection</w:t>
            </w:r>
          </w:p>
        </w:tc>
        <w:tc>
          <w:tcPr>
            <w:tcW w:type="dxa" w:w="979"/>
            <w:vAlign w:val="top"/>
          </w:tcPr>
          <w:p>
            <w:pPr>
              <w:spacing w:after="40" w:before="0" w:line="259" w:lineRule="auto"/>
            </w:pPr>
            <w:r>
              <w:rPr>
                <w:rFonts w:ascii="Calibri" w:hAnsi="Calibri"/>
                <w:b w:val="0"/>
                <w:i w:val="0"/>
                <w:color w:val="212121"/>
                <w:sz w:val="16"/>
              </w:rPr>
              <w:t>Extent of cleft (Veau class)</w:t>
            </w:r>
          </w:p>
        </w:tc>
        <w:tc>
          <w:tcPr>
            <w:tcW w:type="dxa" w:w="950"/>
            <w:vAlign w:val="top"/>
          </w:tcPr>
          <w:p>
            <w:pPr>
              <w:spacing w:after="40" w:before="0" w:line="259" w:lineRule="auto"/>
            </w:pPr>
            <w:r>
              <w:rPr>
                <w:rFonts w:ascii="Calibri" w:hAnsi="Calibri"/>
                <w:b w:val="0"/>
                <w:i w:val="0"/>
                <w:color w:val="212121"/>
                <w:sz w:val="16"/>
              </w:rPr>
              <w:t>Intact lip and palate</w:t>
            </w:r>
          </w:p>
        </w:tc>
        <w:tc>
          <w:tcPr>
            <w:tcW w:type="dxa" w:w="950"/>
            <w:vAlign w:val="top"/>
          </w:tcPr>
          <w:p>
            <w:pPr>
              <w:spacing w:after="40" w:before="0" w:line="259" w:lineRule="auto"/>
            </w:pPr>
            <w:r>
              <w:rPr>
                <w:rFonts w:ascii="Calibri" w:hAnsi="Calibri"/>
                <w:b w:val="0"/>
                <w:i w:val="0"/>
                <w:color w:val="212121"/>
                <w:sz w:val="16"/>
              </w:rPr>
              <w:t>Cleft — side, complete/incomplete, structures involved</w:t>
            </w:r>
          </w:p>
        </w:tc>
        <w:tc>
          <w:tcPr>
            <w:tcW w:type="dxa" w:w="1036"/>
            <w:vAlign w:val="top"/>
          </w:tcPr>
          <w:p>
            <w:pPr>
              <w:spacing w:after="40" w:before="0" w:line="259" w:lineRule="auto"/>
            </w:pPr>
            <w:r>
              <w:rPr>
                <w:rFonts w:ascii="Calibri" w:hAnsi="Calibri"/>
                <w:b w:val="0"/>
                <w:i w:val="0"/>
                <w:color w:val="212121"/>
                <w:sz w:val="16"/>
              </w:rPr>
              <w:t>Defines the anatomical defect and surgical plan</w:t>
            </w:r>
          </w:p>
        </w:tc>
        <w:tc>
          <w:tcPr>
            <w:tcW w:type="dxa" w:w="1036"/>
            <w:vAlign w:val="top"/>
          </w:tcPr>
          <w:p>
            <w:pPr>
              <w:spacing w:after="40" w:before="0" w:line="259" w:lineRule="auto"/>
            </w:pPr>
            <w:r>
              <w:rPr>
                <w:rFonts w:ascii="Calibri" w:hAnsi="Calibri"/>
                <w:b w:val="0"/>
                <w:i w:val="0"/>
                <w:color w:val="212121"/>
                <w:sz w:val="16"/>
              </w:rPr>
              <w:t>All newborns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Inspect and palpate the whole palate to the uvula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Submucous cleft screen</w:t>
            </w:r>
          </w:p>
        </w:tc>
        <w:tc>
          <w:tcPr>
            <w:tcW w:type="dxa" w:w="979"/>
            <w:vAlign w:val="top"/>
          </w:tcPr>
          <w:p>
            <w:pPr>
              <w:spacing w:after="40" w:before="0" w:line="259" w:lineRule="auto"/>
            </w:pPr>
            <w:r>
              <w:rPr>
                <w:rFonts w:ascii="Calibri" w:hAnsi="Calibri"/>
                <w:b w:val="0"/>
                <w:i w:val="0"/>
                <w:color w:val="212121"/>
                <w:sz w:val="16"/>
              </w:rPr>
              <w:t>Bifid uvula, zona pellucida, hard-palate notch</w:t>
            </w:r>
          </w:p>
        </w:tc>
        <w:tc>
          <w:tcPr>
            <w:tcW w:type="dxa" w:w="950"/>
            <w:vAlign w:val="top"/>
          </w:tcPr>
          <w:p>
            <w:pPr>
              <w:spacing w:after="40" w:before="0" w:line="259" w:lineRule="auto"/>
            </w:pPr>
            <w:r>
              <w:rPr>
                <w:rFonts w:ascii="Calibri" w:hAnsi="Calibri"/>
                <w:b w:val="0"/>
                <w:i w:val="0"/>
                <w:color w:val="212121"/>
                <w:sz w:val="16"/>
              </w:rPr>
              <w:t>None of the triad</w:t>
            </w:r>
          </w:p>
        </w:tc>
        <w:tc>
          <w:tcPr>
            <w:tcW w:type="dxa" w:w="950"/>
            <w:vAlign w:val="top"/>
          </w:tcPr>
          <w:p>
            <w:pPr>
              <w:spacing w:after="40" w:before="0" w:line="259" w:lineRule="auto"/>
            </w:pPr>
            <w:r>
              <w:rPr>
                <w:rFonts w:ascii="Calibri" w:hAnsi="Calibri"/>
                <w:b w:val="0"/>
                <w:i w:val="0"/>
                <w:color w:val="212121"/>
                <w:sz w:val="16"/>
              </w:rPr>
              <w:t>Any component present</w:t>
            </w:r>
          </w:p>
        </w:tc>
        <w:tc>
          <w:tcPr>
            <w:tcW w:type="dxa" w:w="1036"/>
            <w:vAlign w:val="top"/>
          </w:tcPr>
          <w:p>
            <w:pPr>
              <w:spacing w:after="40" w:before="0" w:line="259" w:lineRule="auto"/>
            </w:pPr>
            <w:r>
              <w:rPr>
                <w:rFonts w:ascii="Calibri" w:hAnsi="Calibri"/>
                <w:b w:val="0"/>
                <w:i w:val="0"/>
                <w:color w:val="212121"/>
                <w:sz w:val="16"/>
              </w:rPr>
              <w:t>Detects occult submucous cleft palate that can cause speech problems</w:t>
            </w:r>
          </w:p>
        </w:tc>
        <w:tc>
          <w:tcPr>
            <w:tcW w:type="dxa" w:w="1036"/>
            <w:vAlign w:val="top"/>
          </w:tcPr>
          <w:p>
            <w:pPr>
              <w:spacing w:after="40" w:before="0" w:line="259" w:lineRule="auto"/>
            </w:pPr>
            <w:r>
              <w:rPr>
                <w:rFonts w:ascii="Calibri" w:hAnsi="Calibri"/>
                <w:b w:val="0"/>
                <w:i w:val="0"/>
                <w:color w:val="212121"/>
                <w:sz w:val="16"/>
              </w:rPr>
              <w:t>Infants with feeding/nasal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Easily missed on cursory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Feeding assessment</w:t>
            </w:r>
          </w:p>
        </w:tc>
        <w:tc>
          <w:tcPr>
            <w:tcW w:type="dxa" w:w="979"/>
            <w:vAlign w:val="top"/>
          </w:tcPr>
          <w:p>
            <w:pPr>
              <w:spacing w:after="40" w:before="0" w:line="259" w:lineRule="auto"/>
            </w:pPr>
            <w:r>
              <w:rPr>
                <w:rFonts w:ascii="Calibri" w:hAnsi="Calibri"/>
                <w:b w:val="0"/>
                <w:i w:val="0"/>
                <w:color w:val="212121"/>
                <w:sz w:val="16"/>
              </w:rPr>
              <w:t>Suck/latch, nasal regurgitation, weight gain</w:t>
            </w:r>
          </w:p>
        </w:tc>
        <w:tc>
          <w:tcPr>
            <w:tcW w:type="dxa" w:w="950"/>
            <w:vAlign w:val="top"/>
          </w:tcPr>
          <w:p>
            <w:pPr>
              <w:spacing w:after="40" w:before="0" w:line="259" w:lineRule="auto"/>
            </w:pPr>
            <w:r>
              <w:rPr>
                <w:rFonts w:ascii="Calibri" w:hAnsi="Calibri"/>
                <w:b w:val="0"/>
                <w:i w:val="0"/>
                <w:color w:val="212121"/>
                <w:sz w:val="16"/>
              </w:rPr>
              <w:t>Effective feeding, normal growth</w:t>
            </w:r>
          </w:p>
        </w:tc>
        <w:tc>
          <w:tcPr>
            <w:tcW w:type="dxa" w:w="950"/>
            <w:vAlign w:val="top"/>
          </w:tcPr>
          <w:p>
            <w:pPr>
              <w:spacing w:after="40" w:before="0" w:line="259" w:lineRule="auto"/>
            </w:pPr>
            <w:r>
              <w:rPr>
                <w:rFonts w:ascii="Calibri" w:hAnsi="Calibri"/>
                <w:b w:val="0"/>
                <w:i w:val="0"/>
                <w:color w:val="212121"/>
                <w:sz w:val="16"/>
              </w:rPr>
              <w:t>Poor suck, nasal escape, faltering growth</w:t>
            </w:r>
          </w:p>
        </w:tc>
        <w:tc>
          <w:tcPr>
            <w:tcW w:type="dxa" w:w="1036"/>
            <w:vAlign w:val="top"/>
          </w:tcPr>
          <w:p>
            <w:pPr>
              <w:spacing w:after="40" w:before="0" w:line="259" w:lineRule="auto"/>
            </w:pPr>
            <w:r>
              <w:rPr>
                <w:rFonts w:ascii="Calibri" w:hAnsi="Calibri"/>
                <w:b w:val="0"/>
                <w:i w:val="0"/>
                <w:color w:val="212121"/>
                <w:sz w:val="16"/>
              </w:rPr>
              <w:t>Quantifies feeding difficulty and failure to thrive</w:t>
            </w:r>
          </w:p>
        </w:tc>
        <w:tc>
          <w:tcPr>
            <w:tcW w:type="dxa" w:w="1036"/>
            <w:vAlign w:val="top"/>
          </w:tcPr>
          <w:p>
            <w:pPr>
              <w:spacing w:after="40" w:before="0" w:line="259" w:lineRule="auto"/>
            </w:pPr>
            <w:r>
              <w:rPr>
                <w:rFonts w:ascii="Calibri" w:hAnsi="Calibri"/>
                <w:b w:val="0"/>
                <w:i w:val="0"/>
                <w:color w:val="212121"/>
                <w:sz w:val="16"/>
              </w:rPr>
              <w:t>Neonates and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Cleft-specific bottles/teats and upright feeding help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Speech &amp; language assessment</w:t>
            </w:r>
          </w:p>
        </w:tc>
        <w:tc>
          <w:tcPr>
            <w:tcW w:type="dxa" w:w="979"/>
            <w:vAlign w:val="top"/>
          </w:tcPr>
          <w:p>
            <w:pPr>
              <w:spacing w:after="40" w:before="0" w:line="259" w:lineRule="auto"/>
            </w:pPr>
            <w:r>
              <w:rPr>
                <w:rFonts w:ascii="Calibri" w:hAnsi="Calibri"/>
                <w:b w:val="0"/>
                <w:i w:val="0"/>
                <w:color w:val="212121"/>
                <w:sz w:val="16"/>
              </w:rPr>
              <w:t>Resonance, articulation, velopharyngeal function</w:t>
            </w:r>
          </w:p>
        </w:tc>
        <w:tc>
          <w:tcPr>
            <w:tcW w:type="dxa" w:w="950"/>
            <w:vAlign w:val="top"/>
          </w:tcPr>
          <w:p>
            <w:pPr>
              <w:spacing w:after="40" w:before="0" w:line="259" w:lineRule="auto"/>
            </w:pPr>
            <w:r>
              <w:rPr>
                <w:rFonts w:ascii="Calibri" w:hAnsi="Calibri"/>
                <w:b w:val="0"/>
                <w:i w:val="0"/>
                <w:color w:val="212121"/>
                <w:sz w:val="16"/>
              </w:rPr>
              <w:t>Age-appropriate, non-nasal speech</w:t>
            </w:r>
          </w:p>
        </w:tc>
        <w:tc>
          <w:tcPr>
            <w:tcW w:type="dxa" w:w="950"/>
            <w:vAlign w:val="top"/>
          </w:tcPr>
          <w:p>
            <w:pPr>
              <w:spacing w:after="40" w:before="0" w:line="259" w:lineRule="auto"/>
            </w:pPr>
            <w:r>
              <w:rPr>
                <w:rFonts w:ascii="Calibri" w:hAnsi="Calibri"/>
                <w:b w:val="0"/>
                <w:i w:val="0"/>
                <w:color w:val="212121"/>
                <w:sz w:val="16"/>
              </w:rPr>
              <w:t>Hypernasality, nasal emission, compensatory articulation</w:t>
            </w:r>
          </w:p>
        </w:tc>
        <w:tc>
          <w:tcPr>
            <w:tcW w:type="dxa" w:w="1036"/>
            <w:vAlign w:val="top"/>
          </w:tcPr>
          <w:p>
            <w:pPr>
              <w:spacing w:after="40" w:before="0" w:line="259" w:lineRule="auto"/>
            </w:pPr>
            <w:r>
              <w:rPr>
                <w:rFonts w:ascii="Calibri" w:hAnsi="Calibri"/>
                <w:b w:val="0"/>
                <w:i w:val="0"/>
                <w:color w:val="212121"/>
                <w:sz w:val="16"/>
              </w:rPr>
              <w:t>Detects velopharyngeal insufficiency and speech delay</w:t>
            </w:r>
          </w:p>
        </w:tc>
        <w:tc>
          <w:tcPr>
            <w:tcW w:type="dxa" w:w="1036"/>
            <w:vAlign w:val="top"/>
          </w:tcPr>
          <w:p>
            <w:pPr>
              <w:spacing w:after="40" w:before="0" w:line="259" w:lineRule="auto"/>
            </w:pPr>
            <w:r>
              <w:rPr>
                <w:rFonts w:ascii="Calibri" w:hAnsi="Calibri"/>
                <w:b w:val="0"/>
                <w:i w:val="0"/>
                <w:color w:val="212121"/>
                <w:sz w:val="16"/>
              </w:rPr>
              <w:t>Children after palate repair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review by a speech-language pathologist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Dysmorphology / systemic exam</w:t>
            </w:r>
          </w:p>
        </w:tc>
        <w:tc>
          <w:tcPr>
            <w:tcW w:type="dxa" w:w="979"/>
            <w:vAlign w:val="top"/>
          </w:tcPr>
          <w:p>
            <w:pPr>
              <w:spacing w:after="40" w:before="0" w:line="259" w:lineRule="auto"/>
            </w:pPr>
            <w:r>
              <w:rPr>
                <w:rFonts w:ascii="Calibri" w:hAnsi="Calibri"/>
                <w:b w:val="0"/>
                <w:i w:val="0"/>
                <w:color w:val="212121"/>
                <w:sz w:val="16"/>
              </w:rPr>
              <w:t>Associated anomalies &amp; dysmorphic features</w:t>
            </w:r>
          </w:p>
        </w:tc>
        <w:tc>
          <w:tcPr>
            <w:tcW w:type="dxa" w:w="950"/>
            <w:vAlign w:val="top"/>
          </w:tcPr>
          <w:p>
            <w:pPr>
              <w:spacing w:after="40" w:before="0" w:line="259" w:lineRule="auto"/>
            </w:pPr>
            <w:r>
              <w:rPr>
                <w:rFonts w:ascii="Calibri" w:hAnsi="Calibri"/>
                <w:b w:val="0"/>
                <w:i w:val="0"/>
                <w:color w:val="212121"/>
                <w:sz w:val="16"/>
              </w:rPr>
              <w:t>Isolated cleft, no other features</w:t>
            </w:r>
          </w:p>
        </w:tc>
        <w:tc>
          <w:tcPr>
            <w:tcW w:type="dxa" w:w="950"/>
            <w:vAlign w:val="top"/>
          </w:tcPr>
          <w:p>
            <w:pPr>
              <w:spacing w:after="40" w:before="0" w:line="259" w:lineRule="auto"/>
            </w:pPr>
            <w:r>
              <w:rPr>
                <w:rFonts w:ascii="Calibri" w:hAnsi="Calibri"/>
                <w:b w:val="0"/>
                <w:i w:val="0"/>
                <w:color w:val="212121"/>
                <w:sz w:val="16"/>
              </w:rPr>
              <w:t>Additional anomalies suggesting a syndrome</w:t>
            </w:r>
          </w:p>
        </w:tc>
        <w:tc>
          <w:tcPr>
            <w:tcW w:type="dxa" w:w="1036"/>
            <w:vAlign w:val="top"/>
          </w:tcPr>
          <w:p>
            <w:pPr>
              <w:spacing w:after="40" w:before="0" w:line="259" w:lineRule="auto"/>
            </w:pPr>
            <w:r>
              <w:rPr>
                <w:rFonts w:ascii="Calibri" w:hAnsi="Calibri"/>
                <w:b w:val="0"/>
                <w:i w:val="0"/>
                <w:color w:val="212121"/>
                <w:sz w:val="16"/>
              </w:rPr>
              <w:t>Distinguishes syndromic from non-syndromic clefts</w:t>
            </w:r>
          </w:p>
        </w:tc>
        <w:tc>
          <w:tcPr>
            <w:tcW w:type="dxa" w:w="1036"/>
            <w:vAlign w:val="top"/>
          </w:tcPr>
          <w:p>
            <w:pPr>
              <w:spacing w:after="40" w:before="0" w:line="259" w:lineRule="auto"/>
            </w:pPr>
            <w:r>
              <w:rPr>
                <w:rFonts w:ascii="Calibri" w:hAnsi="Calibri"/>
                <w:b w:val="0"/>
                <w:i w:val="0"/>
                <w:color w:val="212121"/>
                <w:sz w:val="16"/>
              </w:rPr>
              <w:t>All affected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Triggers genetic and cardiac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Dental &amp; occlusion exam</w:t>
            </w:r>
          </w:p>
        </w:tc>
        <w:tc>
          <w:tcPr>
            <w:tcW w:type="dxa" w:w="979"/>
            <w:vAlign w:val="top"/>
          </w:tcPr>
          <w:p>
            <w:pPr>
              <w:spacing w:after="40" w:before="0" w:line="259" w:lineRule="auto"/>
            </w:pPr>
            <w:r>
              <w:rPr>
                <w:rFonts w:ascii="Calibri" w:hAnsi="Calibri"/>
                <w:b w:val="0"/>
                <w:i w:val="0"/>
                <w:color w:val="212121"/>
                <w:sz w:val="16"/>
              </w:rPr>
              <w:t>Teeth near cleft, occlusion, maxillary growth</w:t>
            </w:r>
          </w:p>
        </w:tc>
        <w:tc>
          <w:tcPr>
            <w:tcW w:type="dxa" w:w="950"/>
            <w:vAlign w:val="top"/>
          </w:tcPr>
          <w:p>
            <w:pPr>
              <w:spacing w:after="40" w:before="0" w:line="259" w:lineRule="auto"/>
            </w:pPr>
            <w:r>
              <w:rPr>
                <w:rFonts w:ascii="Calibri" w:hAnsi="Calibri"/>
                <w:b w:val="0"/>
                <w:i w:val="0"/>
                <w:color w:val="212121"/>
                <w:sz w:val="16"/>
              </w:rPr>
              <w:t>Normal dentition and bite</w:t>
            </w:r>
          </w:p>
        </w:tc>
        <w:tc>
          <w:tcPr>
            <w:tcW w:type="dxa" w:w="950"/>
            <w:vAlign w:val="top"/>
          </w:tcPr>
          <w:p>
            <w:pPr>
              <w:spacing w:after="40" w:before="0" w:line="259" w:lineRule="auto"/>
            </w:pPr>
            <w:r>
              <w:rPr>
                <w:rFonts w:ascii="Calibri" w:hAnsi="Calibri"/>
                <w:b w:val="0"/>
                <w:i w:val="0"/>
                <w:color w:val="212121"/>
                <w:sz w:val="16"/>
              </w:rPr>
              <w:t>Missing/supernumerary/malformed teeth, crossbite, maxillary hypoplasia</w:t>
            </w:r>
          </w:p>
        </w:tc>
        <w:tc>
          <w:tcPr>
            <w:tcW w:type="dxa" w:w="1036"/>
            <w:vAlign w:val="top"/>
          </w:tcPr>
          <w:p>
            <w:pPr>
              <w:spacing w:after="40" w:before="0" w:line="259" w:lineRule="auto"/>
            </w:pPr>
            <w:r>
              <w:rPr>
                <w:rFonts w:ascii="Calibri" w:hAnsi="Calibri"/>
                <w:b w:val="0"/>
                <w:i w:val="0"/>
                <w:color w:val="212121"/>
                <w:sz w:val="16"/>
              </w:rPr>
              <w:t>Documents dental anomalies and malocclusion for orthodontic planning</w:t>
            </w:r>
          </w:p>
        </w:tc>
        <w:tc>
          <w:tcPr>
            <w:tcW w:type="dxa" w:w="1036"/>
            <w:vAlign w:val="top"/>
          </w:tcPr>
          <w:p>
            <w:pPr>
              <w:spacing w:after="40" w:before="0" w:line="259" w:lineRule="auto"/>
            </w:pPr>
            <w:r>
              <w:rPr>
                <w:rFonts w:ascii="Calibri" w:hAnsi="Calibri"/>
                <w:b w:val="0"/>
                <w:i w:val="0"/>
                <w:color w:val="212121"/>
                <w:sz w:val="16"/>
              </w:rPr>
              <w:t>Growing children with cleft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Coordinated with alveolar bone grafting and orthodontics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Feeding difficulty / poor suck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Inability to generate adequate suction because of the oronasal opening; the earliest and most pressing problem in cleft palate.</w:t>
            </w:r>
          </w:p>
        </w:tc>
      </w:tr>
      <w:tr>
        <w:trPr>
          <w:cantSplit/>
        </w:trPr>
        <w:tc>
          <w:tcPr>
            <w:tcW w:type="dxa" w:w="2304"/>
            <w:vAlign w:val="top"/>
          </w:tcPr>
          <w:p>
            <w:pPr>
              <w:spacing w:after="40" w:before="0" w:line="259" w:lineRule="auto"/>
            </w:pPr>
            <w:r>
              <w:rPr>
                <w:rFonts w:ascii="Calibri" w:hAnsi="Calibri"/>
                <w:b/>
                <w:i w:val="0"/>
                <w:color w:val="212121"/>
                <w:sz w:val="19"/>
              </w:rPr>
              <w:t>Nasal regurgitation of milk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Milk escapes into the nose through the palatal defect during feeds.</w:t>
            </w:r>
          </w:p>
        </w:tc>
      </w:tr>
      <w:tr>
        <w:trPr>
          <w:cantSplit/>
        </w:trPr>
        <w:tc>
          <w:tcPr>
            <w:tcW w:type="dxa" w:w="2304"/>
            <w:vAlign w:val="top"/>
          </w:tcPr>
          <w:p>
            <w:pPr>
              <w:spacing w:after="40" w:before="0" w:line="259" w:lineRule="auto"/>
            </w:pPr>
            <w:r>
              <w:rPr>
                <w:rFonts w:ascii="Calibri" w:hAnsi="Calibri"/>
                <w:b/>
                <w:i w:val="0"/>
                <w:color w:val="212121"/>
                <w:sz w:val="19"/>
              </w:rPr>
              <w:t>Poor weight gain / failure to thrive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Consequence of inefficient, prolonged and tiring feeds.</w:t>
            </w:r>
          </w:p>
        </w:tc>
      </w:tr>
      <w:tr>
        <w:trPr>
          <w:cantSplit/>
        </w:trPr>
        <w:tc>
          <w:tcPr>
            <w:tcW w:type="dxa" w:w="2304"/>
            <w:vAlign w:val="top"/>
          </w:tcPr>
          <w:p>
            <w:pPr>
              <w:spacing w:after="40" w:before="0" w:line="259" w:lineRule="auto"/>
            </w:pPr>
            <w:r>
              <w:rPr>
                <w:rFonts w:ascii="Calibri" w:hAnsi="Calibri"/>
                <w:b/>
                <w:i w:val="0"/>
                <w:color w:val="212121"/>
                <w:sz w:val="19"/>
              </w:rPr>
              <w:t>Choking or coughing during feeds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milk entering the nasopharynx; raises aspiration concern.</w:t>
            </w:r>
          </w:p>
        </w:tc>
      </w:tr>
      <w:tr>
        <w:trPr>
          <w:cantSplit/>
        </w:trPr>
        <w:tc>
          <w:tcPr>
            <w:tcW w:type="dxa" w:w="2304"/>
            <w:vAlign w:val="top"/>
          </w:tcPr>
          <w:p>
            <w:pPr>
              <w:spacing w:after="40" w:before="0" w:line="259" w:lineRule="auto"/>
            </w:pPr>
            <w:r>
              <w:rPr>
                <w:rFonts w:ascii="Calibri" w:hAnsi="Calibri"/>
                <w:b/>
                <w:i w:val="0"/>
                <w:color w:val="212121"/>
                <w:sz w:val="19"/>
              </w:rPr>
              <w:t>Recurrent ear infections &amp; hearing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Eustachian tube dysfunction from abnormal palatal muscles causes middle-ear fluid and muffled hearing.</w:t>
            </w:r>
          </w:p>
        </w:tc>
      </w:tr>
      <w:tr>
        <w:trPr>
          <w:cantSplit/>
        </w:trPr>
        <w:tc>
          <w:tcPr>
            <w:tcW w:type="dxa" w:w="2304"/>
            <w:vAlign w:val="top"/>
          </w:tcPr>
          <w:p>
            <w:pPr>
              <w:spacing w:after="40" w:before="0" w:line="259" w:lineRule="auto"/>
            </w:pPr>
            <w:r>
              <w:rPr>
                <w:rFonts w:ascii="Calibri" w:hAnsi="Calibri"/>
                <w:b/>
                <w:i w:val="0"/>
                <w:color w:val="212121"/>
                <w:sz w:val="19"/>
              </w:rPr>
              <w:t>Hypernasal or unclear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Air escapes down the nose (velopharyngeal insufficiency), making speech nasal and hard to understand.</w:t>
            </w:r>
          </w:p>
        </w:tc>
      </w:tr>
      <w:tr>
        <w:trPr>
          <w:cantSplit/>
        </w:trPr>
        <w:tc>
          <w:tcPr>
            <w:tcW w:type="dxa" w:w="2304"/>
            <w:vAlign w:val="top"/>
          </w:tcPr>
          <w:p>
            <w:pPr>
              <w:spacing w:after="40" w:before="0" w:line="259" w:lineRule="auto"/>
            </w:pPr>
            <w:r>
              <w:rPr>
                <w:rFonts w:ascii="Calibri" w:hAnsi="Calibri"/>
                <w:b/>
                <w:i w:val="0"/>
                <w:color w:val="212121"/>
                <w:sz w:val="19"/>
              </w:rPr>
              <w:t>Difficulty with specific speech sounds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Pressure consonants (p, b, t, d, k, g, s) are especially affected.</w:t>
            </w:r>
          </w:p>
        </w:tc>
      </w:tr>
      <w:tr>
        <w:trPr>
          <w:cantSplit/>
        </w:trPr>
        <w:tc>
          <w:tcPr>
            <w:tcW w:type="dxa" w:w="2304"/>
            <w:vAlign w:val="top"/>
          </w:tcPr>
          <w:p>
            <w:pPr>
              <w:spacing w:after="40" w:before="0" w:line="259" w:lineRule="auto"/>
            </w:pPr>
            <w:r>
              <w:rPr>
                <w:rFonts w:ascii="Calibri" w:hAnsi="Calibri"/>
                <w:b/>
                <w:i w:val="0"/>
                <w:color w:val="212121"/>
                <w:sz w:val="19"/>
              </w:rPr>
              <w:t>Difficulty chewing / dental problems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Missing, extra or malpositioned teeth and malocclusion around the cleft.</w:t>
            </w:r>
          </w:p>
        </w:tc>
      </w:tr>
      <w:tr>
        <w:trPr>
          <w:cantSplit/>
        </w:trPr>
        <w:tc>
          <w:tcPr>
            <w:tcW w:type="dxa" w:w="2304"/>
            <w:vAlign w:val="top"/>
          </w:tcPr>
          <w:p>
            <w:pPr>
              <w:spacing w:after="40" w:before="0" w:line="259" w:lineRule="auto"/>
            </w:pPr>
            <w:r>
              <w:rPr>
                <w:rFonts w:ascii="Calibri" w:hAnsi="Calibri"/>
                <w:b/>
                <w:i w:val="0"/>
                <w:color w:val="212121"/>
                <w:sz w:val="19"/>
              </w:rPr>
              <w:t>Snoring / mouth breathing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follow palate repair or accompany associated jaw anomalies.</w:t>
            </w:r>
          </w:p>
        </w:tc>
      </w:tr>
      <w:tr>
        <w:trPr>
          <w:cantSplit/>
        </w:trPr>
        <w:tc>
          <w:tcPr>
            <w:tcW w:type="dxa" w:w="2304"/>
            <w:vAlign w:val="top"/>
          </w:tcPr>
          <w:p>
            <w:pPr>
              <w:spacing w:after="40" w:before="0" w:line="259" w:lineRule="auto"/>
            </w:pPr>
            <w:r>
              <w:rPr>
                <w:rFonts w:ascii="Calibri" w:hAnsi="Calibri"/>
                <w:b/>
                <w:i w:val="0"/>
                <w:color w:val="212121"/>
                <w:sz w:val="19"/>
              </w:rPr>
              <w:t>Psychosocial distress / low self-esteem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Older children may experience teasing, self-consciousness and social anxiety about appearance and speech.</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 cleft of the upper lip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gap in the lip — unilateral (usually left) or bilateral, complete or incomplete — often extending toward the nostril.</w:t>
            </w:r>
          </w:p>
        </w:tc>
      </w:tr>
      <w:tr>
        <w:trPr>
          <w:cantSplit/>
        </w:trPr>
        <w:tc>
          <w:tcPr>
            <w:tcW w:type="dxa" w:w="3456"/>
            <w:vAlign w:val="top"/>
          </w:tcPr>
          <w:p>
            <w:pPr>
              <w:spacing w:after="40" w:before="0" w:line="259" w:lineRule="auto"/>
            </w:pPr>
            <w:r>
              <w:rPr>
                <w:rFonts w:ascii="Calibri" w:hAnsi="Calibri"/>
                <w:b/>
                <w:i w:val="0"/>
                <w:color w:val="212121"/>
                <w:sz w:val="19"/>
              </w:rPr>
              <w:t>Cleft of the palate on intraoral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opening in the hard and/or soft palate seen and palpated on inspecting the mouth.</w:t>
            </w:r>
          </w:p>
        </w:tc>
      </w:tr>
      <w:tr>
        <w:trPr>
          <w:cantSplit/>
        </w:trPr>
        <w:tc>
          <w:tcPr>
            <w:tcW w:type="dxa" w:w="3456"/>
            <w:vAlign w:val="top"/>
          </w:tcPr>
          <w:p>
            <w:pPr>
              <w:spacing w:after="40" w:before="0" w:line="259" w:lineRule="auto"/>
            </w:pPr>
            <w:r>
              <w:rPr>
                <w:rFonts w:ascii="Calibri" w:hAnsi="Calibri"/>
                <w:b/>
                <w:i w:val="0"/>
                <w:color w:val="212121"/>
                <w:sz w:val="19"/>
              </w:rPr>
              <w:t>Nasal deformity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Flattened or notched nostril rim, deviated columella and depressed nasal tip on the cleft side.</w:t>
            </w:r>
          </w:p>
        </w:tc>
      </w:tr>
      <w:tr>
        <w:trPr>
          <w:cantSplit/>
        </w:trPr>
        <w:tc>
          <w:tcPr>
            <w:tcW w:type="dxa" w:w="3456"/>
            <w:vAlign w:val="top"/>
          </w:tcPr>
          <w:p>
            <w:pPr>
              <w:spacing w:after="40" w:before="0" w:line="259" w:lineRule="auto"/>
            </w:pPr>
            <w:r>
              <w:rPr>
                <w:rFonts w:ascii="Calibri" w:hAnsi="Calibri"/>
                <w:b/>
                <w:i w:val="0"/>
                <w:color w:val="212121"/>
                <w:sz w:val="19"/>
              </w:rPr>
              <w:t>Bifid uvula / submucous cleft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Split uvula, midline translucency and a posterior hard-palate notch indicate an occult submucous cleft.</w:t>
            </w:r>
          </w:p>
        </w:tc>
      </w:tr>
      <w:tr>
        <w:trPr>
          <w:cantSplit/>
        </w:trPr>
        <w:tc>
          <w:tcPr>
            <w:tcW w:type="dxa" w:w="3456"/>
            <w:vAlign w:val="top"/>
          </w:tcPr>
          <w:p>
            <w:pPr>
              <w:spacing w:after="40" w:before="0" w:line="259" w:lineRule="auto"/>
            </w:pPr>
            <w:r>
              <w:rPr>
                <w:rFonts w:ascii="Calibri" w:hAnsi="Calibri"/>
                <w:b/>
                <w:i w:val="0"/>
                <w:color w:val="212121"/>
                <w:sz w:val="19"/>
              </w:rPr>
              <w:t>Otitis media with effusion on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Dull, retracted tympanic membrane with middle-ear fluid; near-universal in cleft palate.</w:t>
            </w:r>
          </w:p>
        </w:tc>
      </w:tr>
      <w:tr>
        <w:trPr>
          <w:cantSplit/>
        </w:trPr>
        <w:tc>
          <w:tcPr>
            <w:tcW w:type="dxa" w:w="3456"/>
            <w:vAlign w:val="top"/>
          </w:tcPr>
          <w:p>
            <w:pPr>
              <w:spacing w:after="40" w:before="0" w:line="259" w:lineRule="auto"/>
            </w:pPr>
            <w:r>
              <w:rPr>
                <w:rFonts w:ascii="Calibri" w:hAnsi="Calibri"/>
                <w:b/>
                <w:i w:val="0"/>
                <w:color w:val="212121"/>
                <w:sz w:val="19"/>
              </w:rPr>
              <w:t>Dental anomalies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Hypodontia, supernumerary or malformed teeth and malpositioned teeth adjacent to the alveolar cleft.</w:t>
            </w:r>
          </w:p>
        </w:tc>
      </w:tr>
      <w:tr>
        <w:trPr>
          <w:cantSplit/>
        </w:trPr>
        <w:tc>
          <w:tcPr>
            <w:tcW w:type="dxa" w:w="3456"/>
            <w:vAlign w:val="top"/>
          </w:tcPr>
          <w:p>
            <w:pPr>
              <w:spacing w:after="40" w:before="0" w:line="259" w:lineRule="auto"/>
            </w:pPr>
            <w:r>
              <w:rPr>
                <w:rFonts w:ascii="Calibri" w:hAnsi="Calibri"/>
                <w:b/>
                <w:i w:val="0"/>
                <w:color w:val="212121"/>
                <w:sz w:val="19"/>
              </w:rPr>
              <w:t>Malocclusion / maxillary hypoplasia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Crossbite and mid-face retrusion, especially as the child grows.</w:t>
            </w:r>
          </w:p>
        </w:tc>
      </w:tr>
      <w:tr>
        <w:trPr>
          <w:cantSplit/>
        </w:trPr>
        <w:tc>
          <w:tcPr>
            <w:tcW w:type="dxa" w:w="3456"/>
            <w:vAlign w:val="top"/>
          </w:tcPr>
          <w:p>
            <w:pPr>
              <w:spacing w:after="40" w:before="0" w:line="259" w:lineRule="auto"/>
            </w:pPr>
            <w:r>
              <w:rPr>
                <w:rFonts w:ascii="Calibri" w:hAnsi="Calibri"/>
                <w:b/>
                <w:i w:val="0"/>
                <w:color w:val="212121"/>
                <w:sz w:val="19"/>
              </w:rPr>
              <w:t>Hypernasal resonance / audible nasal emission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Detected on speech examination, indicating velopharyngeal insufficiency.</w:t>
            </w:r>
          </w:p>
        </w:tc>
      </w:tr>
      <w:tr>
        <w:trPr>
          <w:cantSplit/>
        </w:trPr>
        <w:tc>
          <w:tcPr>
            <w:tcW w:type="dxa" w:w="3456"/>
            <w:vAlign w:val="top"/>
          </w:tcPr>
          <w:p>
            <w:pPr>
              <w:spacing w:after="40" w:before="0" w:line="259" w:lineRule="auto"/>
            </w:pPr>
            <w:r>
              <w:rPr>
                <w:rFonts w:ascii="Calibri" w:hAnsi="Calibri"/>
                <w:b/>
                <w:i w:val="0"/>
                <w:color w:val="212121"/>
                <w:sz w:val="19"/>
              </w:rPr>
              <w:t>Faltering growth / low weight for age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feeding inefficiency in early infancy.</w:t>
            </w:r>
          </w:p>
        </w:tc>
      </w:tr>
      <w:tr>
        <w:trPr>
          <w:cantSplit/>
        </w:trPr>
        <w:tc>
          <w:tcPr>
            <w:tcW w:type="dxa" w:w="3456"/>
            <w:vAlign w:val="top"/>
          </w:tcPr>
          <w:p>
            <w:pPr>
              <w:spacing w:after="40" w:before="0" w:line="259" w:lineRule="auto"/>
            </w:pPr>
            <w:r>
              <w:rPr>
                <w:rFonts w:ascii="Calibri" w:hAnsi="Calibri"/>
                <w:b/>
                <w:i w:val="0"/>
                <w:color w:val="212121"/>
                <w:sz w:val="19"/>
              </w:rPr>
              <w:t>Dysmorphic features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Additional anomalies (e.g., lip pits in Van der Woude, micrognathia in Pierre Robin) point to a syndromic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Feeding difficulty and inefficient suckling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Nasal regurgitation of feeds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 to thrive / faltering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choking during feeds</w:t>
            </w:r>
          </w:p>
        </w:tc>
        <w:tc>
          <w:tcPr>
            <w:tcW w:type="dxa" w:w="2980"/>
            <w:vAlign w:val="top"/>
          </w:tcPr>
          <w:p>
            <w:pPr>
              <w:spacing w:after="40" w:before="0" w:line="259" w:lineRule="auto"/>
            </w:pPr>
            <w:r>
              <w:rPr>
                <w:rFonts w:ascii="Calibri" w:hAnsi="Calibri"/>
                <w:b w:val="0"/>
                <w:i w:val="0"/>
                <w:color w:val="212121"/>
                <w:sz w:val="19"/>
              </w:rPr>
              <w:t>Immediate functional consequences of the oronasal communication, present from birth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media with effusion and conductive hearing loss (Eustachian tube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disorders — velopharyngeal insufficiency, hypernasality, compensatory articulation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 anomalies and malocclusion around the cleft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upper-respiratory and middle-ear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speech and language development</w:t>
            </w:r>
          </w:p>
        </w:tc>
        <w:tc>
          <w:tcPr>
            <w:tcW w:type="dxa" w:w="2980"/>
            <w:vAlign w:val="top"/>
          </w:tcPr>
          <w:p>
            <w:pPr>
              <w:spacing w:after="40" w:before="0" w:line="259" w:lineRule="auto"/>
            </w:pPr>
            <w:r>
              <w:rPr>
                <w:rFonts w:ascii="Calibri" w:hAnsi="Calibri"/>
                <w:b w:val="0"/>
                <w:i w:val="0"/>
                <w:color w:val="212121"/>
                <w:sz w:val="19"/>
              </w:rPr>
              <w:t>Develop over infancy and childhood from the anatomical defect and its effect on the ear, palate and dentition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Maxillary (mid-face) hypoplasia needing orthognathic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oronasal fistula or residual nasal/lip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speech and hearing disability if untreated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impact — low self-esteem, social anxiety, bullying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Educational and social disadvantage where repair and rehabilitation are delayed</w:t>
            </w:r>
          </w:p>
        </w:tc>
        <w:tc>
          <w:tcPr>
            <w:tcW w:type="dxa" w:w="2980"/>
            <w:vAlign w:val="top"/>
          </w:tcPr>
          <w:p>
            <w:pPr>
              <w:spacing w:after="40" w:before="0" w:line="259" w:lineRule="auto"/>
            </w:pPr>
            <w:r>
              <w:rPr>
                <w:rFonts w:ascii="Calibri" w:hAnsi="Calibri"/>
                <w:b w:val="0"/>
                <w:i w:val="0"/>
                <w:color w:val="212121"/>
                <w:sz w:val="19"/>
              </w:rPr>
              <w:t>Longer-term, potentially disabling outcomes, largely preventable with timely multidisciplinary care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Otitis media with effusion &amp; conductive hearing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Abnormal palatal (levator veli palatini) muscle function impairs Eustachian tube ventilation, so middle-ear fluid and conductive hearing loss affect the large majority of children with cleft palate.</w:t>
            </w:r>
          </w:p>
          <w:p>
            <w:pPr>
              <w:spacing w:after="40" w:before="0" w:line="259" w:lineRule="auto"/>
            </w:pPr>
            <w:r>
              <w:rPr>
                <w:rFonts w:ascii="Calibri" w:hAnsi="Calibri"/>
                <w:b/>
                <w:i w:val="0"/>
                <w:color w:val="212121"/>
                <w:sz w:val="19"/>
              </w:rPr>
              <w:t>Up to ~90%</w:t>
            </w:r>
          </w:p>
        </w:tc>
      </w:tr>
      <w:tr>
        <w:trPr>
          <w:cantSplit/>
        </w:trPr>
        <w:tc>
          <w:tcPr>
            <w:tcW w:type="dxa" w:w="2232"/>
            <w:vAlign w:val="top"/>
          </w:tcPr>
          <w:p>
            <w:pPr>
              <w:spacing w:after="40" w:before="0" w:line="259" w:lineRule="auto"/>
            </w:pPr>
            <w:r>
              <w:rPr>
                <w:rFonts w:ascii="Calibri" w:hAnsi="Calibri"/>
                <w:b/>
                <w:i w:val="0"/>
                <w:color w:val="212121"/>
                <w:sz w:val="19"/>
              </w:rPr>
              <w:t>Velopharyngeal insufficiency &amp; speech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Incompetent palatal closure after repair causes hypernasal, unintelligible speech requiring speech therapy and sometimes secondary surgery.</w:t>
            </w:r>
          </w:p>
        </w:tc>
      </w:tr>
      <w:tr>
        <w:trPr>
          <w:cantSplit/>
        </w:trPr>
        <w:tc>
          <w:tcPr>
            <w:tcW w:type="dxa" w:w="2232"/>
            <w:vAlign w:val="top"/>
          </w:tcPr>
          <w:p>
            <w:pPr>
              <w:spacing w:after="40" w:before="0" w:line="259" w:lineRule="auto"/>
            </w:pPr>
            <w:r>
              <w:rPr>
                <w:rFonts w:ascii="Calibri" w:hAnsi="Calibri"/>
                <w:b/>
                <w:i w:val="0"/>
                <w:color w:val="212121"/>
                <w:sz w:val="19"/>
              </w:rPr>
              <w:t>Dental anomalies (hypodontia, supernumerary, malformed teeth)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alveolar cleft disrupts the dental lamina, producing missing, extra or malformed teeth and malposition near the cleft.</w:t>
            </w:r>
          </w:p>
        </w:tc>
      </w:tr>
      <w:tr>
        <w:trPr>
          <w:cantSplit/>
        </w:trPr>
        <w:tc>
          <w:tcPr>
            <w:tcW w:type="dxa" w:w="2232"/>
            <w:vAlign w:val="top"/>
          </w:tcPr>
          <w:p>
            <w:pPr>
              <w:spacing w:after="40" w:before="0" w:line="259" w:lineRule="auto"/>
            </w:pPr>
            <w:r>
              <w:rPr>
                <w:rFonts w:ascii="Calibri" w:hAnsi="Calibri"/>
                <w:b/>
                <w:i w:val="0"/>
                <w:color w:val="212121"/>
                <w:sz w:val="19"/>
              </w:rPr>
              <w:t>Malocclusion &amp; maxillary hypoplasia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Intrinsic growth disturbance and surgical scarring restrict mid-face growth, causing crossbite and retrusion that often need orthodontics and orthognathic surgery.</w:t>
            </w:r>
          </w:p>
        </w:tc>
      </w:tr>
      <w:tr>
        <w:trPr>
          <w:cantSplit/>
        </w:trPr>
        <w:tc>
          <w:tcPr>
            <w:tcW w:type="dxa" w:w="2232"/>
            <w:vAlign w:val="top"/>
          </w:tcPr>
          <w:p>
            <w:pPr>
              <w:spacing w:after="40" w:before="0" w:line="259" w:lineRule="auto"/>
            </w:pPr>
            <w:r>
              <w:rPr>
                <w:rFonts w:ascii="Calibri" w:hAnsi="Calibri"/>
                <w:b/>
                <w:i w:val="0"/>
                <w:color w:val="212121"/>
                <w:sz w:val="19"/>
              </w:rPr>
              <w:t>Congenital heart defects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in syndromic clefts and must be screened for by echocardiography before surgery, as they alter anaesthetic and operative risk.</w:t>
            </w:r>
          </w:p>
        </w:tc>
      </w:tr>
      <w:tr>
        <w:trPr>
          <w:cantSplit/>
        </w:trPr>
        <w:tc>
          <w:tcPr>
            <w:tcW w:type="dxa" w:w="2232"/>
            <w:vAlign w:val="top"/>
          </w:tcPr>
          <w:p>
            <w:pPr>
              <w:spacing w:after="40" w:before="0" w:line="259" w:lineRule="auto"/>
            </w:pPr>
            <w:r>
              <w:rPr>
                <w:rFonts w:ascii="Calibri" w:hAnsi="Calibri"/>
                <w:b/>
                <w:i w:val="0"/>
                <w:color w:val="212121"/>
                <w:sz w:val="19"/>
              </w:rPr>
              <w:t>Van der Woude &amp; other genetic syndromes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About one-third of clefts are syndromic; identifying a syndrome (e.g., Van der Woude, IRF6) changes prognosis, associated-anomaly screening and recurrence counselling.</w:t>
            </w:r>
          </w:p>
          <w:p>
            <w:pPr>
              <w:spacing w:after="40" w:before="0" w:line="259" w:lineRule="auto"/>
            </w:pPr>
            <w:r>
              <w:rPr>
                <w:rFonts w:ascii="Calibri" w:hAnsi="Calibri"/>
                <w:b/>
                <w:i w:val="0"/>
                <w:color w:val="212121"/>
                <w:sz w:val="19"/>
              </w:rPr>
              <w:t>~30% of cases</w:t>
            </w:r>
          </w:p>
        </w:tc>
      </w:tr>
      <w:tr>
        <w:trPr>
          <w:cantSplit/>
        </w:trPr>
        <w:tc>
          <w:tcPr>
            <w:tcW w:type="dxa" w:w="2232"/>
            <w:vAlign w:val="top"/>
          </w:tcPr>
          <w:p>
            <w:pPr>
              <w:spacing w:after="40" w:before="0" w:line="259" w:lineRule="auto"/>
            </w:pPr>
            <w:r>
              <w:rPr>
                <w:rFonts w:ascii="Calibri" w:hAnsi="Calibri"/>
                <w:b/>
                <w:i w:val="0"/>
                <w:color w:val="212121"/>
                <w:sz w:val="19"/>
              </w:rPr>
              <w:t>Failure to thrive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Feeding inefficiency and increased effort lead to inadequate intake and poor weight gain until feeding is supported or the cleft is repaired.</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Malpositioned teeth, enamel defects and orthodontic appliances around the cleft raise caries risk, demanding intensive preventive dental care.</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Retrognathia (e.g., Pierre Robin sequence) or a tight pharyngeal flap after palate surgery can obstruct the airway during sleep.</w:t>
            </w:r>
          </w:p>
        </w:tc>
      </w:tr>
      <w:tr>
        <w:trPr>
          <w:cantSplit/>
        </w:trPr>
        <w:tc>
          <w:tcPr>
            <w:tcW w:type="dxa" w:w="2232"/>
            <w:vAlign w:val="top"/>
          </w:tcPr>
          <w:p>
            <w:pPr>
              <w:spacing w:after="40" w:before="0" w:line="259" w:lineRule="auto"/>
            </w:pPr>
            <w:r>
              <w:rPr>
                <w:rFonts w:ascii="Calibri" w:hAnsi="Calibri"/>
                <w:b/>
                <w:i w:val="0"/>
                <w:color w:val="212121"/>
                <w:sz w:val="19"/>
              </w:rPr>
              <w:t>Anxiety, low self-esteem &amp; psychosocial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Visible difference, speech problems and repeated surgery contribute to social anxiety and low self-esteem, which in turn affect engagement with treatment.</w:t>
            </w:r>
          </w:p>
        </w:tc>
      </w:tr>
      <w:tr>
        <w:trPr>
          <w:cantSplit/>
        </w:trPr>
        <w:tc>
          <w:tcPr>
            <w:tcW w:type="dxa" w:w="2232"/>
            <w:vAlign w:val="top"/>
          </w:tcPr>
          <w:p>
            <w:pPr>
              <w:spacing w:after="40" w:before="0" w:line="259" w:lineRule="auto"/>
            </w:pPr>
            <w:r>
              <w:rPr>
                <w:rFonts w:ascii="Calibri" w:hAnsi="Calibri"/>
                <w:b/>
                <w:i w:val="0"/>
                <w:color w:val="212121"/>
                <w:sz w:val="19"/>
              </w:rPr>
              <w:t>Pierre Robin sequence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triad of micrognathia, glossoptosis and a U-shaped cleft palate shares a developmental mechanism and adds airway and feeding challenges.</w:t>
            </w:r>
          </w:p>
        </w:tc>
      </w:tr>
      <w:tr>
        <w:trPr>
          <w:cantSplit/>
        </w:trPr>
        <w:tc>
          <w:tcPr>
            <w:tcW w:type="dxa" w:w="2232"/>
            <w:vAlign w:val="top"/>
          </w:tcPr>
          <w:p>
            <w:pPr>
              <w:spacing w:after="40" w:before="0" w:line="259" w:lineRule="auto"/>
            </w:pPr>
            <w:r>
              <w:rPr>
                <w:rFonts w:ascii="Calibri" w:hAnsi="Calibri"/>
                <w:b/>
                <w:i w:val="0"/>
                <w:color w:val="212121"/>
                <w:sz w:val="19"/>
              </w:rPr>
              <w:t>Neural tube defects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Both share periconceptional folate-deficiency pathways, so folate optimisation reduces the risk of each.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all women planning pregnancy to take folic acid daily from at least one month before conception through the first trimester; use high-dose (5 mg) folic acid for high-risk mothers (previous affected child, on anticonvulsants, or diabetic).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pre-conception counselling to review and, where possible, switch teratogenic medications (valproate, phenytoin, topiramate, retinoids, systemic steroids) to safer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pregestational diabetes and body weight before conception, and treat early-pregnancy fever/infection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genetic counselling on recurrence risk to families with an affected child or relative, and explain the higher risk with consanguineous marriage.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the mid-trimester anomaly scan and, if a cleft is found, early referral to a multidisciplinary cleft team for antenatal counselling and a feeding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clefts are highly treatable and outline the staged surgical timeline (lip repair ~3–6 months, palate repair ~9–12 months).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cleft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Consanguineous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Antenatally diagnosed pregnancies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women in reaching a healthy pre-pregnancy BMI (18.5–24.9 kg/m²) through regular activity, since maternal obesity modestly raises cleft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moderate physical activity with balanced nutrition rather than crash dieting, to protect folate and micronutrient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moderate activity during pregnancy as part of good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pregestational diabetes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folate-rich diet — green leafy vegetables, legumes/dals, citrus and fortified cereals — alongside folic acid supplementation.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B6 and zinc, which is especially important for vegetarian and low-diversity Indian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overall dietary diversity and correct anaemia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and limit caffeine when planning and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poor dietary diversity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Feed the infant upright/semi-upright using a cleft-specific squeezable bottle or wide/cross-cut teat (e.g., Haberman) to compensate for poor suction.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feeds, wind frequently and monitor weight to prevent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continued breast milk where possible via expression and cleft feeding 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team's pre- and post-operative feeding protocol around lip and palate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Transition to a soft, non-traumatic diet after palate surgery to protect the repair.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and infants with cleft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awaiting/after cleft repair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Position infants with micrognathia (Pierre Robin) prone/side-lying as advised to keep the airway open, under professional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snoring, pauses or laboured breathing in sleep, particularly after palate repair or pharyngeal flap surgery, and evaluate for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review appointments so airway and sleep concerns are caught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Pierre Robin sequence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after palate/flap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before conception and throughout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at home and shift cooking to clean fuels/ventilated kitchens to reduce biomass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to mothers and household members.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 or biomass cooking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completely when trying to conceive and during pregnancy, as no safe level is established.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in particular, given its link with orofacial clefts and the wider fetal alcohol spectrum.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brief counselling and referral for mothers who need help reducing alcohol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parents clear, hopeful information at diagnosis and connect them with cleft-team and peer/parent 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children and adolescents for anxiety, low self-esteem and bullying, and provide counselling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psychology and speech therapy early to build communication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long-term multidisciplinary follow-up so families are supported through each surgical stage.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newborns with cleft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children and adolescents with cleft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undergoing staged repair</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2984097/" TargetMode="External"/><Relationship Id="rId10" Type="http://schemas.openxmlformats.org/officeDocument/2006/relationships/hyperlink" Target="https://pubmed.ncbi.nlm.nih.gov/24806625/" TargetMode="External"/><Relationship Id="rId11" Type="http://schemas.openxmlformats.org/officeDocument/2006/relationships/hyperlink" Target="https://pubmed.ncbi.nlm.nih.gov/19747722/" TargetMode="External"/><Relationship Id="rId12" Type="http://schemas.openxmlformats.org/officeDocument/2006/relationships/hyperlink" Target="https://www.cdc.gov/birth-defects/about/cleft-lip-cleft-palate.html" TargetMode="External"/><Relationship Id="rId13" Type="http://schemas.openxmlformats.org/officeDocument/2006/relationships/hyperlink" Target="https://pubmed.ncbi.nlm.nih.gov/31602129/" TargetMode="External"/><Relationship Id="rId14" Type="http://schemas.openxmlformats.org/officeDocument/2006/relationships/hyperlink" Target="https://pubmed.ncbi.nlm.nih.gov/21331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