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Megaloblastic Anemia</w:t>
      </w:r>
    </w:p>
    <w:p>
      <w:pPr>
        <w:spacing w:before="0" w:after="160"/>
      </w:pPr>
      <w:r>
        <w:rPr>
          <w:rFonts w:ascii="Calibri" w:hAnsi="Calibri"/>
          <w:b/>
          <w:i w:val="0"/>
          <w:color w:val="212121"/>
          <w:sz w:val="22"/>
        </w:rPr>
        <w:t xml:space="preserve">AKA </w:t>
      </w:r>
      <w:r>
        <w:rPr>
          <w:rFonts w:ascii="Calibri" w:hAnsi="Calibri"/>
          <w:b w:val="0"/>
          <w:i w:val="0"/>
          <w:color w:val="212121"/>
          <w:sz w:val="22"/>
        </w:rPr>
        <w:t>i.e., Vitamin B12 (cobalamin) deficiency anemia, Folate (folic acid) deficiency anemia, Macrocytic / macro-ovalocytic anemia, Pernicious anemia (autoimmune B12-deficiency type); lay terms: “B12/folic-acid deficiency”, “large red-cell anemia”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Megaloblastic anemia is a group of macrocytic anemias caused by impaired DNA synthesis in haematopoietic precursors, most often due to deficiency of vitamin B12 (cobalamin) or folate (folic acid). Defective nuclear maturation with preserved cytoplasmic (haemoglobin) development produces large, immature megaloblasts in the marrow and macro-ovalocytes with hypersegmented neutrophils in the blood. Because B12 and folate are essential for one-carbon metabolism in every tissue, the disorder is systemic — causing not only anemia but also glossitis, malabsorption, and, with B12, potentially irreversible neurological injury.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megaloblastic anemia is estimated to account for roughly 15–20% of all anemias and is one of the commonest causes of nutritional pancytopenia (vitamin B12 deficiency was the second-commonest cause — 19.2% — of adult pancytopenia in a north-Indian series, after aplastic anemia). Because most Indians follow lacto-vegetarian or low-animal-food diets, vitamin B12 deficiency is strikingly common: Pune data first flagged a high prevalence of cobalamin deficiency in Asian Indians, and recent Indian studies report B12 deficiency in ~42% of adults at a South-Indian nutrition centre and 72.3% of apparently healthy infants aged 9–12 months. Anaemia overall affects about 57% of Indian women aged 15–49 years (NFHS-5, 2019–21), with folate and B12 deficiency contributing an important, frequently overlooked share of the nutritional burden.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Megaloblastic anemia is diagnosed by demonstrating macrocytic anemia with megaloblastic changes and confirming the underlying micronutrient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macrocytic anemia — low haemoglobin with elevated mean corpuscular volume (MCV &gt; 100 fL; an MCV &gt; 115 fL is highly specific for B12/folate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peripheral smear — oval macrocytes (macro-ovalocytes), anisopoikilocytosis and hypersegmented neutrophils (≥ 5% with 5 lobes, or any neutrophil with ≥ 6 lobes); leucopenia and thrombocytopenia are common, with frank pancytopenia in severe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 serum vitamin B12 (cobalamin &lt; 200 pg/mL; 200–300 pg/mL borderline) and/or low serum or red-cell folate (serum folate &lt; 2 ng/mL; 2–4 ng/mL borderline);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elevated metabolites confirm a functional deficiency — raised serum methylmalonic acid (MMA) and homocysteine in B12 deficiency; raised homocysteine with normal MMA in isolated folate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markers of ineffective erythropoiesis — raised LDH and unconjugated (indirect) bilirubin, low haptoglobin, and an inappropriately low reticulocyte count;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aetiological work-up — anti-intrinsic-factor and anti-parietal-cell antibodies (pernicious anemia), and evaluation for malabsorption, drugs (metformin, PPIs, methotrexate) or dietary cause.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Megaloblastic anemia is classified by the deficient micronutrient and the mechanism of impaired DNA synthesis:</w:t>
      </w:r>
    </w:p>
    <w:p>
      <w:pPr>
        <w:spacing w:before="0" w:after="80"/>
      </w:pPr>
      <w:r>
        <w:rPr>
          <w:rFonts w:ascii="Calibri" w:hAnsi="Calibri"/>
          <w:b w:val="0"/>
          <w:i w:val="0"/>
          <w:color w:val="212121"/>
          <w:sz w:val="21"/>
        </w:rPr>
        <w:t>(1) Vitamin B12 (cobalamin) deficiency — the commonest type in India; from inadequate intake (vegetarian/vegan diets), malabsorption (pernicious anemia, atrophic gastritis, ileal disease or resection, tropical sprue, fish-tapeworm) or drugs (metformin, chronic proton-pump inhibitors, nitrous oxide). It is distinguished by neurological involvement (subacute combined degeneration).</w:t>
      </w:r>
    </w:p>
    <w:p>
      <w:pPr>
        <w:spacing w:before="0" w:after="80"/>
      </w:pPr>
      <w:r>
        <w:rPr>
          <w:rFonts w:ascii="Calibri" w:hAnsi="Calibri"/>
          <w:b w:val="0"/>
          <w:i w:val="0"/>
          <w:color w:val="212121"/>
          <w:sz w:val="21"/>
        </w:rPr>
        <w:t>(2) Folate (folic acid) deficiency — from poor intake (overcooked food, poverty), increased demand (pregnancy, lactation, haemolysis, rapid growth, malignancy), malabsorption, chronic alcoholism, or folate-antagonist drugs (methotrexate, phenytoin, trimethoprim, sulfasalazine). It causes anemia and raises neural-tube-defect risk but does not produce the spinal-cord degeneration seen with B12.</w:t>
      </w:r>
    </w:p>
    <w:p>
      <w:pPr>
        <w:spacing w:before="0" w:after="80"/>
      </w:pPr>
      <w:r>
        <w:rPr>
          <w:rFonts w:ascii="Calibri" w:hAnsi="Calibri"/>
          <w:b w:val="0"/>
          <w:i w:val="0"/>
          <w:color w:val="212121"/>
          <w:sz w:val="21"/>
        </w:rPr>
        <w:t>(3) Combined B12 and folate deficiency — common in malnutrition, malabsorptive states and pregnancy; the “folate trap”, in which B12 deficiency functionally sequesters folate, can coexist and mask the biochemical picture.</w:t>
      </w:r>
    </w:p>
    <w:p>
      <w:pPr>
        <w:spacing w:before="0" w:after="80"/>
      </w:pPr>
      <w:r>
        <w:rPr>
          <w:rFonts w:ascii="Calibri" w:hAnsi="Calibri"/>
          <w:b w:val="0"/>
          <w:i w:val="0"/>
          <w:color w:val="212121"/>
          <w:sz w:val="21"/>
        </w:rPr>
        <w:t>(4) Non-nutritional / inherited and drug-induced megaloblastosis — hereditary orotic aciduria, thiamine-responsive megaloblastic anemia (TRMA), congenital transcobalamin or intrinsic-factor defects, and antimetabolite drugs (hydroxyurea, methotrexate, azathioprine, 5-fluorouracil, zidovudine) that impair DNA synthesis independent of B12/folate levels.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Dietary insufficiency: Predominantly lacto-vegetarian and low-animal-food Indian diets provide little cobalamin (found mainly in meat, fish, eggs and dairy) — the leading cause of B12 deficiency; poor intake of green leafy vegetables and legumes, or prolonged overcooking, depletes heat-labile folate.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Malabsorption: Pernicious anemia (autoimmune destruction of gastric parietal cells and intrinsic factor), atrophic gastritis, coeliac disease, tropical sprue, Crohn's disease, ileal resection and fish-tapeworm (Diphyllobothrium) impair uptake of B12 and/or folate.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Increased demand: Pregnancy, lactation, infancy and adolescence, chronic haemolysis and malignancy raise folate (and B12) requirements and can precipitate overt deficiency.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Drugs: Metformin and long-term proton-pump inhibitors reduce B12 absorption; methotrexate, trimethoprim, phenytoin and sulfasalazine antagonise folate; nitrous oxide irreversibly inactivates B12.</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Chronic alcoholism: Impairs folate absorption, hepatic storage and metabolism while worsening dietary intake, a major cause of folate-deficient megaloblastic anemia.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Impaired DNA synthesis (non-vitamin): Inherited disorders (orotic aciduria, TRMA, transcobalamin deficiency) and antimetabolite / antiretroviral chemotherapy cause megaloblastic change despite normal serum B12 and folate.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Hepatic B12 stores last several years, so deficiency from a chronically low-animal-food diet typically becomes overt in adulthood, presenting as anemia, glossitis or neuropathy.</w:t>
            </w:r>
          </w:p>
          <w:p>
            <w:pPr>
              <w:spacing w:after="40" w:before="60" w:line="259" w:lineRule="auto"/>
            </w:pPr>
            <w:r>
              <w:rPr>
                <w:rFonts w:ascii="Calibri" w:hAnsi="Calibri"/>
                <w:b w:val="0"/>
                <w:i w:val="0"/>
                <w:color w:val="212121"/>
                <w:sz w:val="19"/>
              </w:rPr>
              <w:t>Pune (Maharashtra) data in adults aged 27–55 y showed hyperhomocysteinemia and elevated methylmalonic acid indicating a high prevalence of cobalamin deficiency in Asian Indians.</w:t>
            </w:r>
          </w:p>
          <w:p>
            <w:pPr>
              <w:spacing w:after="40" w:line="252" w:lineRule="auto"/>
            </w:pPr>
            <w:hyperlink r:id="rId9">
              <w:r>
                <w:rPr>
                  <w:rFonts w:ascii="Calibri" w:hAnsi="Calibri" w:cs="Calibri"/>
                  <w:sz w:val="18"/>
                  <w:color w:val="1155CC"/>
                  <w:u w:val="single"/>
                </w:rPr>
                <w:t xml:space="preserve">pubmed.ncbi.nlm.nih.gov/11470726 — Refsum/Yajnik, Am J Clin Nutr 2001</w:t>
              </w:r>
            </w:hyperlink>
          </w:p>
          <w:p>
            <w:pPr>
              <w:spacing w:before="60" w:after="40"/>
            </w:pPr>
            <w:r>
              <w:rPr>
                <w:rFonts w:ascii="Calibri" w:hAnsi="Calibri"/>
                <w:b w:val="0"/>
                <w:i w:val="0"/>
                <w:color w:val="5A5A5A"/>
                <w:sz w:val="18"/>
              </w:rPr>
              <w:t>#B12  #cobalamin  #vegetariandiet  #homocysteine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Atrophic gastritis, achlorhydria, reduced intake, polypharmacy and long-term PPI use impair B12 absorption; autoimmune pernicious anemia also peaks in later life.</w:t>
            </w:r>
          </w:p>
          <w:p>
            <w:pPr>
              <w:spacing w:after="40" w:before="60" w:line="259" w:lineRule="auto"/>
            </w:pPr>
            <w:r>
              <w:rPr>
                <w:rFonts w:ascii="Calibri" w:hAnsi="Calibri"/>
                <w:b w:val="0"/>
                <w:i w:val="0"/>
                <w:color w:val="212121"/>
                <w:sz w:val="19"/>
              </w:rPr>
              <w:t>Pernicious anemia affects &lt; 1% of people of European ancestry overall but rises to about 2% in those aged over 60–70 years.</w:t>
            </w:r>
          </w:p>
          <w:p>
            <w:pPr>
              <w:spacing w:after="40" w:line="252" w:lineRule="auto"/>
            </w:pPr>
            <w:hyperlink r:id="rId10">
              <w:r>
                <w:rPr>
                  <w:rFonts w:ascii="Calibri" w:hAnsi="Calibri" w:cs="Calibri"/>
                  <w:sz w:val="18"/>
                  <w:color w:val="1155CC"/>
                  <w:u w:val="single"/>
                </w:rPr>
                <w:t xml:space="preserve">ncbi.nlm.nih.gov — StatPearls: Pernicious Anemia</w:t>
              </w:r>
            </w:hyperlink>
          </w:p>
          <w:p>
            <w:pPr>
              <w:spacing w:before="60" w:after="40"/>
            </w:pPr>
            <w:r>
              <w:rPr>
                <w:rFonts w:ascii="Calibri" w:hAnsi="Calibri"/>
                <w:b w:val="0"/>
                <w:i w:val="0"/>
                <w:color w:val="5A5A5A"/>
                <w:sz w:val="18"/>
              </w:rPr>
              <w:t>#elderly  #atrophicgastritis  #perniciousanemia  #PPI</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young children</w:t>
            </w:r>
          </w:p>
        </w:tc>
        <w:tc>
          <w:tcPr>
            <w:tcW w:type="dxa" w:w="4276"/>
            <w:vAlign w:val="top"/>
          </w:tcPr>
          <w:p>
            <w:pPr>
              <w:spacing w:after="60" w:line="259" w:lineRule="auto"/>
            </w:pPr>
            <w:r>
              <w:rPr>
                <w:rFonts w:ascii="Calibri" w:hAnsi="Calibri"/>
                <w:b w:val="0"/>
                <w:i w:val="0"/>
                <w:color w:val="212121"/>
                <w:sz w:val="19"/>
              </w:rPr>
              <w:t>Exclusively breast-fed infants of B12-deficient (vegetarian) mothers deplete their small stores rapidly, risking anemia and irreversible neurodevelopmental delay if untreated.</w:t>
            </w:r>
          </w:p>
          <w:p>
            <w:pPr>
              <w:spacing w:after="40" w:before="60" w:line="259" w:lineRule="auto"/>
            </w:pPr>
            <w:r>
              <w:rPr>
                <w:rFonts w:ascii="Calibri" w:hAnsi="Calibri"/>
                <w:b w:val="0"/>
                <w:i w:val="0"/>
                <w:color w:val="212121"/>
                <w:sz w:val="19"/>
              </w:rPr>
              <w:t>Among 137 apparently healthy Indian infants aged 9–12 months, 72.3% were vitamin B12 deficient and 89.1% iron deficient, with 65.7% having concurrent deficiencies.</w:t>
            </w:r>
          </w:p>
          <w:p>
            <w:pPr>
              <w:spacing w:after="40" w:line="252" w:lineRule="auto"/>
            </w:pPr>
            <w:hyperlink r:id="rId11">
              <w:r>
                <w:rPr>
                  <w:rFonts w:ascii="Calibri" w:hAnsi="Calibri" w:cs="Calibri"/>
                  <w:sz w:val="18"/>
                  <w:color w:val="1155CC"/>
                  <w:u w:val="single"/>
                </w:rPr>
                <w:t xml:space="preserve">pubmed.ncbi.nlm.nih.gov/42435295 — Indian J Pediatr 2026</w:t>
              </w:r>
            </w:hyperlink>
          </w:p>
          <w:p>
            <w:pPr>
              <w:spacing w:before="60" w:after="40"/>
            </w:pPr>
            <w:r>
              <w:rPr>
                <w:rFonts w:ascii="Calibri" w:hAnsi="Calibri"/>
                <w:b w:val="0"/>
                <w:i w:val="0"/>
                <w:color w:val="5A5A5A"/>
                <w:sz w:val="18"/>
              </w:rPr>
              <w:t>#infants  #breastfeeding  #neurodevelopment  #maternalB12</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(reproductive-age &amp; pregnant)</w:t>
            </w:r>
          </w:p>
        </w:tc>
        <w:tc>
          <w:tcPr>
            <w:tcW w:type="dxa" w:w="4276"/>
            <w:vAlign w:val="top"/>
          </w:tcPr>
          <w:p>
            <w:pPr>
              <w:spacing w:after="60" w:line="259" w:lineRule="auto"/>
            </w:pPr>
            <w:r>
              <w:rPr>
                <w:rFonts w:ascii="Calibri" w:hAnsi="Calibri"/>
                <w:b w:val="0"/>
                <w:i w:val="0"/>
                <w:color w:val="212121"/>
                <w:sz w:val="19"/>
              </w:rPr>
              <w:t>Menstrual iron loss, and the sharply increased folate/B12 demand of pregnancy and lactation, make anaemia — including a nutritional megaloblastic component — far commoner in women.</w:t>
            </w:r>
          </w:p>
          <w:p>
            <w:pPr>
              <w:spacing w:after="40" w:before="60" w:line="259" w:lineRule="auto"/>
            </w:pPr>
            <w:r>
              <w:rPr>
                <w:rFonts w:ascii="Calibri" w:hAnsi="Calibri"/>
                <w:b w:val="0"/>
                <w:i w:val="0"/>
                <w:color w:val="212121"/>
                <w:sz w:val="19"/>
              </w:rPr>
              <w:t>At a South-Indian nutrition clinic (n = 2,303) anaemia affected 74.2% of those tested and B12 deficiency 41.9%; women had 3.6-fold higher odds of anaemia (OR 3.64).</w:t>
            </w:r>
          </w:p>
          <w:p>
            <w:pPr>
              <w:spacing w:after="40" w:line="252" w:lineRule="auto"/>
            </w:pPr>
            <w:hyperlink r:id="rId12">
              <w:r>
                <w:rPr>
                  <w:rFonts w:ascii="Calibri" w:hAnsi="Calibri" w:cs="Calibri"/>
                  <w:sz w:val="18"/>
                  <w:color w:val="1155CC"/>
                  <w:u w:val="single"/>
                </w:rPr>
                <w:t xml:space="preserve">pmc.ncbi.nlm.nih.gov/PMC13274581 — Cureus 2026</w:t>
              </w:r>
            </w:hyperlink>
          </w:p>
          <w:p>
            <w:pPr>
              <w:spacing w:before="60" w:after="40"/>
            </w:pPr>
            <w:r>
              <w:rPr>
                <w:rFonts w:ascii="Calibri" w:hAnsi="Calibri"/>
                <w:b w:val="0"/>
                <w:i w:val="0"/>
                <w:color w:val="5A5A5A"/>
                <w:sz w:val="18"/>
              </w:rPr>
              <w:t>#women  #pregnancy  #folate  #anaemia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food-insecure households</w:t>
            </w:r>
          </w:p>
        </w:tc>
        <w:tc>
          <w:tcPr>
            <w:tcW w:type="dxa" w:w="4276"/>
            <w:vAlign w:val="top"/>
          </w:tcPr>
          <w:p>
            <w:pPr>
              <w:spacing w:after="60" w:line="259" w:lineRule="auto"/>
            </w:pPr>
            <w:r>
              <w:rPr>
                <w:rFonts w:ascii="Calibri" w:hAnsi="Calibri"/>
                <w:b w:val="0"/>
                <w:i w:val="0"/>
                <w:color w:val="212121"/>
                <w:sz w:val="19"/>
              </w:rPr>
              <w:t>Limited access to animal-source foods, fresh fruit and vegetables, plus reliance on refined staples, drives combined B12 and folate deficiency.</w:t>
            </w:r>
          </w:p>
          <w:p>
            <w:pPr>
              <w:spacing w:after="40" w:before="60" w:line="259" w:lineRule="auto"/>
            </w:pPr>
            <w:r>
              <w:rPr>
                <w:rFonts w:ascii="Calibri" w:hAnsi="Calibri"/>
                <w:b w:val="0"/>
                <w:i w:val="0"/>
                <w:color w:val="212121"/>
                <w:sz w:val="19"/>
              </w:rPr>
              <w:t>In low-income countries the prevalence of folate deficiency among women of reproductive age exceeds 20%.</w:t>
            </w:r>
          </w:p>
          <w:p>
            <w:pPr>
              <w:spacing w:after="40" w:line="252" w:lineRule="auto"/>
            </w:pPr>
            <w:hyperlink r:id="rId13">
              <w:r>
                <w:rPr>
                  <w:rFonts w:ascii="Calibri" w:hAnsi="Calibri" w:cs="Calibri"/>
                  <w:sz w:val="18"/>
                  <w:color w:val="1155CC"/>
                  <w:u w:val="single"/>
                </w:rPr>
                <w:t xml:space="preserve">ncbi.nlm.nih.gov — StatPearls: Folic Acid Deficiency</w:t>
              </w:r>
            </w:hyperlink>
          </w:p>
          <w:p>
            <w:pPr>
              <w:spacing w:before="60" w:after="40"/>
            </w:pPr>
            <w:r>
              <w:rPr>
                <w:rFonts w:ascii="Calibri" w:hAnsi="Calibri"/>
                <w:b w:val="0"/>
                <w:i w:val="0"/>
                <w:color w:val="5A5A5A"/>
                <w:sz w:val="18"/>
              </w:rPr>
              <w:t>#poverty  #foodinsecurity  #nutrition  #folate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Indian (vegetarian populations)</w:t>
            </w:r>
          </w:p>
        </w:tc>
        <w:tc>
          <w:tcPr>
            <w:tcW w:type="dxa" w:w="4276"/>
            <w:vAlign w:val="top"/>
          </w:tcPr>
          <w:p>
            <w:pPr>
              <w:spacing w:after="60" w:line="259" w:lineRule="auto"/>
            </w:pPr>
            <w:r>
              <w:rPr>
                <w:rFonts w:ascii="Calibri" w:hAnsi="Calibri"/>
                <w:b w:val="0"/>
                <w:i w:val="0"/>
                <w:color w:val="212121"/>
                <w:sz w:val="19"/>
              </w:rPr>
              <w:t>A predominantly vegetarian dietary culture supplies minimal cobalamin, producing one of the highest population B12-deficiency burdens worldwide and a large nutritional share of anemia.</w:t>
            </w:r>
          </w:p>
          <w:p>
            <w:pPr>
              <w:spacing w:after="40" w:before="60" w:line="259" w:lineRule="auto"/>
            </w:pPr>
            <w:r>
              <w:rPr>
                <w:rFonts w:ascii="Calibri" w:hAnsi="Calibri"/>
                <w:b w:val="0"/>
                <w:i w:val="0"/>
                <w:color w:val="212121"/>
                <w:sz w:val="19"/>
              </w:rPr>
              <w:t>Indians have a high prevalence of B12 deficiency; genetic (GWAS/Pune Maternal Nutrition Study) work identified population-specific FUT6 variants influencing circulating B12.</w:t>
            </w:r>
          </w:p>
          <w:p>
            <w:pPr>
              <w:spacing w:after="40" w:line="252" w:lineRule="auto"/>
            </w:pPr>
            <w:hyperlink r:id="rId14">
              <w:r>
                <w:rPr>
                  <w:rFonts w:ascii="Calibri" w:hAnsi="Calibri" w:cs="Calibri"/>
                  <w:sz w:val="18"/>
                  <w:color w:val="1155CC"/>
                  <w:u w:val="single"/>
                </w:rPr>
                <w:t xml:space="preserve">pmc.ncbi.nlm.nih.gov/PMC5886186 — Hum Mol Genet 2017</w:t>
              </w:r>
            </w:hyperlink>
          </w:p>
          <w:p>
            <w:pPr>
              <w:spacing w:before="60" w:after="40"/>
            </w:pPr>
            <w:r>
              <w:rPr>
                <w:rFonts w:ascii="Calibri" w:hAnsi="Calibri"/>
                <w:b w:val="0"/>
                <w:i w:val="0"/>
                <w:color w:val="5A5A5A"/>
                <w:sz w:val="18"/>
              </w:rPr>
              <w:t>#AsianIndian  #vegetarian  #B12deficiency  #PMNS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Rural, tribal &amp; low-wealth communities</w:t>
            </w:r>
          </w:p>
        </w:tc>
        <w:tc>
          <w:tcPr>
            <w:tcW w:type="dxa" w:w="4276"/>
            <w:vAlign w:val="top"/>
          </w:tcPr>
          <w:p>
            <w:pPr>
              <w:spacing w:after="60" w:line="259" w:lineRule="auto"/>
            </w:pPr>
            <w:r>
              <w:rPr>
                <w:rFonts w:ascii="Calibri" w:hAnsi="Calibri"/>
                <w:b w:val="0"/>
                <w:i w:val="0"/>
                <w:color w:val="212121"/>
                <w:sz w:val="19"/>
              </w:rPr>
              <w:t>NFHS-5 shows anaemia is highest among rural, scheduled-tribe and poorer women, reflecting diet quality, food insecurity and limited supplementation reach.</w:t>
            </w:r>
          </w:p>
          <w:p>
            <w:pPr>
              <w:spacing w:after="40" w:before="60" w:line="259" w:lineRule="auto"/>
            </w:pPr>
            <w:r>
              <w:rPr>
                <w:rFonts w:ascii="Calibri" w:hAnsi="Calibri"/>
                <w:b w:val="0"/>
                <w:i w:val="0"/>
                <w:color w:val="212121"/>
                <w:sz w:val="19"/>
              </w:rPr>
              <w:t>In NFHS-5 (2019–21) analyses, pregnant women who were younger, less educated, rural, from scheduled-tribe communities and poorer households were more likely to be anaemic.</w:t>
            </w:r>
          </w:p>
          <w:p>
            <w:pPr>
              <w:spacing w:after="40" w:line="252" w:lineRule="auto"/>
            </w:pPr>
            <w:hyperlink r:id="rId15">
              <w:r>
                <w:rPr>
                  <w:rFonts w:ascii="Calibri" w:hAnsi="Calibri" w:cs="Calibri"/>
                  <w:sz w:val="18"/>
                  <w:color w:val="1155CC"/>
                  <w:u w:val="single"/>
                </w:rPr>
                <w:t xml:space="preserve">pmc.ncbi.nlm.nih.gov/PMC12952621 — NFHS-5 analysis 2026</w:t>
              </w:r>
            </w:hyperlink>
          </w:p>
          <w:p>
            <w:pPr>
              <w:spacing w:before="60" w:after="40"/>
            </w:pPr>
            <w:r>
              <w:rPr>
                <w:rFonts w:ascii="Calibri" w:hAnsi="Calibri"/>
                <w:b w:val="0"/>
                <w:i w:val="0"/>
                <w:color w:val="5A5A5A"/>
                <w:sz w:val="18"/>
              </w:rPr>
              <w:t>#rural  #tribal  #NFHS5  #healthequity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Strict vegetarians &amp; vegans</w:t>
            </w:r>
          </w:p>
        </w:tc>
        <w:tc>
          <w:tcPr>
            <w:tcW w:type="dxa" w:w="4276"/>
            <w:vAlign w:val="top"/>
          </w:tcPr>
          <w:p>
            <w:pPr>
              <w:spacing w:after="60" w:line="259" w:lineRule="auto"/>
            </w:pPr>
            <w:r>
              <w:rPr>
                <w:rFonts w:ascii="Calibri" w:hAnsi="Calibri"/>
                <w:b w:val="0"/>
                <w:i w:val="0"/>
                <w:color w:val="212121"/>
                <w:sz w:val="19"/>
              </w:rPr>
              <w:t>Cobalamin is essentially absent from plant foods; vegans are at highest risk, often becoming deficient after roughly three years once body stores are exhausted.</w:t>
            </w:r>
          </w:p>
          <w:p>
            <w:pPr>
              <w:spacing w:after="40" w:before="60" w:line="259" w:lineRule="auto"/>
            </w:pPr>
            <w:r>
              <w:rPr>
                <w:rFonts w:ascii="Calibri" w:hAnsi="Calibri"/>
                <w:b w:val="0"/>
                <w:i w:val="0"/>
                <w:color w:val="212121"/>
                <w:sz w:val="19"/>
              </w:rPr>
              <w:t>Strict vegan diets of about 3 years' duration are a recognised dietary cause of B12 deficiency.</w:t>
            </w:r>
          </w:p>
          <w:p>
            <w:pPr>
              <w:spacing w:after="40" w:line="252" w:lineRule="auto"/>
            </w:pPr>
            <w:hyperlink r:id="rId16">
              <w:r>
                <w:rPr>
                  <w:rFonts w:ascii="Calibri" w:hAnsi="Calibri" w:cs="Calibri"/>
                  <w:sz w:val="18"/>
                  <w:color w:val="1155CC"/>
                  <w:u w:val="single"/>
                </w:rPr>
                <w:t xml:space="preserve">ncbi.nlm.nih.gov — StatPearls: Vitamin B12 Deficiency</w:t>
              </w:r>
            </w:hyperlink>
          </w:p>
          <w:p>
            <w:pPr>
              <w:spacing w:before="60" w:after="40"/>
            </w:pPr>
            <w:r>
              <w:rPr>
                <w:rFonts w:ascii="Calibri" w:hAnsi="Calibri"/>
                <w:b w:val="0"/>
                <w:i w:val="0"/>
                <w:color w:val="5A5A5A"/>
                <w:sz w:val="18"/>
              </w:rPr>
              <w:t>#vegan  #vegetarian  #dietaryB12  #supplementation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alcohol misuse impairs folate absorption, hepatic storage and metabolism and displaces nutrient-dense food, a leading cause of folate-deficient megaloblastic anemia.</w:t>
            </w:r>
          </w:p>
          <w:p>
            <w:pPr>
              <w:spacing w:after="40" w:before="60" w:line="259" w:lineRule="auto"/>
            </w:pPr>
            <w:r>
              <w:rPr>
                <w:rFonts w:ascii="Calibri" w:hAnsi="Calibri"/>
                <w:b w:val="0"/>
                <w:i w:val="0"/>
                <w:color w:val="212121"/>
                <w:sz w:val="19"/>
              </w:rPr>
              <w:t>Chronic alcohol consumption disrupts folate absorption, hepatic storage and metabolism.</w:t>
            </w:r>
          </w:p>
          <w:p>
            <w:pPr>
              <w:spacing w:after="40" w:line="252" w:lineRule="auto"/>
            </w:pPr>
            <w:hyperlink r:id="rId13">
              <w:r>
                <w:rPr>
                  <w:rFonts w:ascii="Calibri" w:hAnsi="Calibri" w:cs="Calibri"/>
                  <w:sz w:val="18"/>
                  <w:color w:val="1155CC"/>
                  <w:u w:val="single"/>
                </w:rPr>
                <w:t xml:space="preserve">ncbi.nlm.nih.gov — StatPearls: Folic Acid Deficiency</w:t>
              </w:r>
            </w:hyperlink>
          </w:p>
          <w:p>
            <w:pPr>
              <w:spacing w:before="60" w:after="40"/>
            </w:pPr>
            <w:r>
              <w:rPr>
                <w:rFonts w:ascii="Calibri" w:hAnsi="Calibri"/>
                <w:b w:val="0"/>
                <w:i w:val="0"/>
                <w:color w:val="5A5A5A"/>
                <w:sz w:val="18"/>
              </w:rPr>
              <w:t>#alcohol  #folate  #liver  #malnutrition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Tobacco smoke is associated with modestly lower serum B12 and folate and higher homocysteine (partly via cyanide/oxidative load), which can aggravate an existing deficiency.</w:t>
            </w:r>
          </w:p>
          <w:p>
            <w:pPr>
              <w:spacing w:before="60" w:after="40"/>
            </w:pPr>
            <w:r>
              <w:rPr>
                <w:rFonts w:ascii="Calibri" w:hAnsi="Calibri"/>
                <w:b w:val="0"/>
                <w:i w:val="0"/>
                <w:color w:val="5A5A5A"/>
                <w:sz w:val="18"/>
              </w:rPr>
              <w:t>#smoking  #homocysteine  #oxidativestress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Cooking practice</w:t>
            </w:r>
          </w:p>
        </w:tc>
        <w:tc>
          <w:tcPr>
            <w:tcW w:type="dxa" w:w="2160"/>
            <w:vAlign w:val="top"/>
          </w:tcPr>
          <w:p>
            <w:pPr>
              <w:spacing w:after="40" w:before="0" w:line="259" w:lineRule="auto"/>
            </w:pPr>
            <w:r>
              <w:rPr>
                <w:rFonts w:ascii="Calibri" w:hAnsi="Calibri"/>
                <w:b w:val="0"/>
                <w:i w:val="0"/>
                <w:color w:val="212121"/>
                <w:sz w:val="19"/>
              </w:rPr>
              <w:t>Consumers of overcooked / reheated food</w:t>
            </w:r>
          </w:p>
        </w:tc>
        <w:tc>
          <w:tcPr>
            <w:tcW w:type="dxa" w:w="4276"/>
            <w:vAlign w:val="top"/>
          </w:tcPr>
          <w:p>
            <w:pPr>
              <w:spacing w:after="60" w:line="259" w:lineRule="auto"/>
            </w:pPr>
            <w:r>
              <w:rPr>
                <w:rFonts w:ascii="Calibri" w:hAnsi="Calibri"/>
                <w:b w:val="0"/>
                <w:i w:val="0"/>
                <w:color w:val="212121"/>
                <w:sz w:val="19"/>
              </w:rPr>
              <w:t>Folate is heat-labile; prolonged boiling, reheating and discarding of cooking water destroy a large fraction of dietary folate even when intake appears adequate.</w:t>
            </w:r>
          </w:p>
          <w:p>
            <w:pPr>
              <w:spacing w:after="40" w:before="60" w:line="259" w:lineRule="auto"/>
            </w:pPr>
            <w:r>
              <w:rPr>
                <w:rFonts w:ascii="Calibri" w:hAnsi="Calibri"/>
                <w:b w:val="0"/>
                <w:i w:val="0"/>
                <w:color w:val="212121"/>
                <w:sz w:val="19"/>
              </w:rPr>
              <w:t>Low intake of leafy greens, legumes and fortified grains is a principal cause of folate deficiency.</w:t>
            </w:r>
          </w:p>
          <w:p>
            <w:pPr>
              <w:spacing w:after="40" w:line="252" w:lineRule="auto"/>
            </w:pPr>
            <w:hyperlink r:id="rId13">
              <w:r>
                <w:rPr>
                  <w:rFonts w:ascii="Calibri" w:hAnsi="Calibri" w:cs="Calibri"/>
                  <w:sz w:val="18"/>
                  <w:color w:val="1155CC"/>
                  <w:u w:val="single"/>
                </w:rPr>
                <w:t xml:space="preserve">ncbi.nlm.nih.gov — StatPearls: Folic Acid Deficiency</w:t>
              </w:r>
            </w:hyperlink>
          </w:p>
          <w:p>
            <w:pPr>
              <w:spacing w:before="60" w:after="40"/>
            </w:pPr>
            <w:r>
              <w:rPr>
                <w:rFonts w:ascii="Calibri" w:hAnsi="Calibri"/>
                <w:b w:val="0"/>
                <w:i w:val="0"/>
                <w:color w:val="5A5A5A"/>
                <w:sz w:val="18"/>
              </w:rPr>
              <w:t>#folate  #cooking  #leafygreens  #heatlabile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Increased demand</w:t>
            </w:r>
          </w:p>
        </w:tc>
        <w:tc>
          <w:tcPr>
            <w:tcW w:type="dxa" w:w="2160"/>
            <w:vAlign w:val="top"/>
          </w:tcPr>
          <w:p>
            <w:pPr>
              <w:spacing w:after="40" w:before="0" w:line="259" w:lineRule="auto"/>
            </w:pPr>
            <w:r>
              <w:rPr>
                <w:rFonts w:ascii="Calibri" w:hAnsi="Calibri"/>
                <w:b w:val="0"/>
                <w:i w:val="0"/>
                <w:color w:val="212121"/>
                <w:sz w:val="19"/>
              </w:rPr>
              <w:t>Pregnant &amp; lactating women</w:t>
            </w:r>
          </w:p>
        </w:tc>
        <w:tc>
          <w:tcPr>
            <w:tcW w:type="dxa" w:w="4276"/>
            <w:vAlign w:val="top"/>
          </w:tcPr>
          <w:p>
            <w:pPr>
              <w:spacing w:after="60" w:line="259" w:lineRule="auto"/>
            </w:pPr>
            <w:r>
              <w:rPr>
                <w:rFonts w:ascii="Calibri" w:hAnsi="Calibri"/>
                <w:b w:val="0"/>
                <w:i w:val="0"/>
                <w:color w:val="212121"/>
                <w:sz w:val="19"/>
              </w:rPr>
              <w:t>Rapid fetal growth and lactation raise folate and B12 requirements; deficiency causes maternal megaloblastic anemia and, for folate, fetal neural-tube defects.</w:t>
            </w:r>
          </w:p>
          <w:p>
            <w:pPr>
              <w:spacing w:after="40" w:before="60" w:line="259" w:lineRule="auto"/>
            </w:pPr>
            <w:r>
              <w:rPr>
                <w:rFonts w:ascii="Calibri" w:hAnsi="Calibri"/>
                <w:b w:val="0"/>
                <w:i w:val="0"/>
                <w:color w:val="212121"/>
                <w:sz w:val="19"/>
              </w:rPr>
              <w:t>Adolescent and maternal folate deficiency disrupts haematopoiesis, causing megaloblastic anemia and impairing growth and cognition.</w:t>
            </w:r>
          </w:p>
          <w:p>
            <w:pPr>
              <w:spacing w:after="40" w:line="252" w:lineRule="auto"/>
            </w:pPr>
            <w:hyperlink r:id="rId17">
              <w:r>
                <w:rPr>
                  <w:rFonts w:ascii="Calibri" w:hAnsi="Calibri" w:cs="Calibri"/>
                  <w:sz w:val="18"/>
                  <w:color w:val="1155CC"/>
                  <w:u w:val="single"/>
                </w:rPr>
                <w:t xml:space="preserve">pmc.ncbi.nlm.nih.gov/PMC13094969 — PLoS One 2026</w:t>
              </w:r>
            </w:hyperlink>
          </w:p>
          <w:p>
            <w:pPr>
              <w:spacing w:before="60" w:after="40"/>
            </w:pPr>
            <w:r>
              <w:rPr>
                <w:rFonts w:ascii="Calibri" w:hAnsi="Calibri"/>
                <w:b w:val="0"/>
                <w:i w:val="0"/>
                <w:color w:val="5A5A5A"/>
                <w:sz w:val="18"/>
              </w:rPr>
              <w:t>#pregnancy  #folate  #NTD  #lactation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pernicious anemia / autoimmune disease</w:t>
            </w:r>
          </w:p>
        </w:tc>
        <w:tc>
          <w:tcPr>
            <w:tcW w:type="dxa" w:w="4276"/>
            <w:vAlign w:val="top"/>
          </w:tcPr>
          <w:p>
            <w:pPr>
              <w:spacing w:after="60" w:line="259" w:lineRule="auto"/>
            </w:pPr>
            <w:r>
              <w:rPr>
                <w:rFonts w:ascii="Calibri" w:hAnsi="Calibri"/>
                <w:b w:val="0"/>
                <w:i w:val="0"/>
                <w:color w:val="212121"/>
                <w:sz w:val="19"/>
              </w:rPr>
              <w:t>Pernicious anemia and autoimmune atrophic gastritis cluster in families and co-occur with other autoimmune disorders, raising an individual's risk of B12 malabsorption.</w:t>
            </w:r>
          </w:p>
          <w:p>
            <w:pPr>
              <w:spacing w:after="40" w:before="60" w:line="259" w:lineRule="auto"/>
            </w:pPr>
            <w:r>
              <w:rPr>
                <w:rFonts w:ascii="Calibri" w:hAnsi="Calibri"/>
                <w:b w:val="0"/>
                <w:i w:val="0"/>
                <w:color w:val="212121"/>
                <w:sz w:val="19"/>
              </w:rPr>
              <w:t>Type 1 blocking anti-intrinsic-factor autoantibodies are present in about 70% of patients with pernicious anemia, and GWAS has identified five genome-wide significant signals for the disease.</w:t>
            </w:r>
          </w:p>
          <w:p>
            <w:pPr>
              <w:spacing w:after="40" w:line="252" w:lineRule="auto"/>
            </w:pPr>
            <w:hyperlink r:id="rId10">
              <w:r>
                <w:rPr>
                  <w:rFonts w:ascii="Calibri" w:hAnsi="Calibri" w:cs="Calibri"/>
                  <w:sz w:val="18"/>
                  <w:color w:val="1155CC"/>
                  <w:u w:val="single"/>
                </w:rPr>
                <w:t xml:space="preserve">ncbi.nlm.nih.gov — StatPearls: Pernicious Anemia</w:t>
              </w:r>
            </w:hyperlink>
          </w:p>
          <w:p>
            <w:pPr>
              <w:spacing w:before="60" w:after="40"/>
            </w:pPr>
            <w:r>
              <w:rPr>
                <w:rFonts w:ascii="Calibri" w:hAnsi="Calibri"/>
                <w:b w:val="0"/>
                <w:i w:val="0"/>
                <w:color w:val="5A5A5A"/>
                <w:sz w:val="18"/>
              </w:rPr>
              <w:t>#autoimmune  #intrinsicfactor  #familyhistory  #genetics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Polymorphisms</w:t>
            </w:r>
          </w:p>
        </w:tc>
        <w:tc>
          <w:tcPr>
            <w:tcW w:type="dxa" w:w="2160"/>
            <w:vAlign w:val="top"/>
          </w:tcPr>
          <w:p>
            <w:pPr>
              <w:spacing w:after="40" w:before="0" w:line="259" w:lineRule="auto"/>
            </w:pPr>
            <w:r>
              <w:rPr>
                <w:rFonts w:ascii="Calibri" w:hAnsi="Calibri"/>
                <w:b w:val="0"/>
                <w:i w:val="0"/>
                <w:color w:val="212121"/>
                <w:sz w:val="19"/>
              </w:rPr>
              <w:t>Carriers of FUT6 / TCN2 / MTHFR variants (Indians)</w:t>
            </w:r>
          </w:p>
        </w:tc>
        <w:tc>
          <w:tcPr>
            <w:tcW w:type="dxa" w:w="4276"/>
            <w:vAlign w:val="top"/>
          </w:tcPr>
          <w:p>
            <w:pPr>
              <w:spacing w:after="60" w:line="259" w:lineRule="auto"/>
            </w:pPr>
            <w:r>
              <w:rPr>
                <w:rFonts w:ascii="Calibri" w:hAnsi="Calibri"/>
                <w:b w:val="0"/>
                <w:i w:val="0"/>
                <w:color w:val="212121"/>
                <w:sz w:val="19"/>
              </w:rPr>
              <w:t>Common variants in genes of B12/folate transport and one-carbon metabolism modulate circulating vitamin levels and homocysteine, contributing to the high Indian deficiency burden.</w:t>
            </w:r>
          </w:p>
          <w:p>
            <w:pPr>
              <w:spacing w:after="40" w:before="60" w:line="259" w:lineRule="auto"/>
            </w:pPr>
            <w:r>
              <w:rPr>
                <w:rFonts w:ascii="Calibri" w:hAnsi="Calibri"/>
                <w:b w:val="0"/>
                <w:i w:val="0"/>
                <w:color w:val="212121"/>
                <w:sz w:val="19"/>
              </w:rPr>
              <w:t>A genome-wide association study in Indians identified population-specific regulatory FUT6 variants associated with plasma B12 concentrations.</w:t>
            </w:r>
          </w:p>
          <w:p>
            <w:pPr>
              <w:spacing w:after="40" w:line="252" w:lineRule="auto"/>
            </w:pPr>
            <w:hyperlink r:id="rId14">
              <w:r>
                <w:rPr>
                  <w:rFonts w:ascii="Calibri" w:hAnsi="Calibri" w:cs="Calibri"/>
                  <w:sz w:val="18"/>
                  <w:color w:val="1155CC"/>
                  <w:u w:val="single"/>
                </w:rPr>
                <w:t xml:space="preserve">pmc.ncbi.nlm.nih.gov/PMC5886186 — Hum Mol Genet 2017</w:t>
              </w:r>
            </w:hyperlink>
          </w:p>
          <w:p>
            <w:pPr>
              <w:spacing w:before="60" w:after="40"/>
            </w:pPr>
            <w:r>
              <w:rPr>
                <w:rFonts w:ascii="Calibri" w:hAnsi="Calibri"/>
                <w:b w:val="0"/>
                <w:i w:val="0"/>
                <w:color w:val="5A5A5A"/>
                <w:sz w:val="18"/>
              </w:rPr>
              <w:t>#FUT6  #MTHFR  #onecarbon  #genomics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Inherited disorders</w:t>
            </w:r>
          </w:p>
        </w:tc>
        <w:tc>
          <w:tcPr>
            <w:tcW w:type="dxa" w:w="2160"/>
            <w:vAlign w:val="top"/>
          </w:tcPr>
          <w:p>
            <w:pPr>
              <w:spacing w:after="40" w:before="0" w:line="259" w:lineRule="auto"/>
            </w:pPr>
            <w:r>
              <w:rPr>
                <w:rFonts w:ascii="Calibri" w:hAnsi="Calibri"/>
                <w:b w:val="0"/>
                <w:i w:val="0"/>
                <w:color w:val="212121"/>
                <w:sz w:val="19"/>
              </w:rPr>
              <w:t>TRMA &amp; congenital B12-transport defects</w:t>
            </w:r>
          </w:p>
        </w:tc>
        <w:tc>
          <w:tcPr>
            <w:tcW w:type="dxa" w:w="4276"/>
            <w:vAlign w:val="top"/>
          </w:tcPr>
          <w:p>
            <w:pPr>
              <w:spacing w:after="60" w:line="259" w:lineRule="auto"/>
            </w:pPr>
            <w:r>
              <w:rPr>
                <w:rFonts w:ascii="Calibri" w:hAnsi="Calibri"/>
                <w:b w:val="0"/>
                <w:i w:val="0"/>
                <w:color w:val="212121"/>
                <w:sz w:val="19"/>
              </w:rPr>
              <w:t>Rare autosomal-recessive conditions — thiamine-responsive megaloblastic anemia (SLC19A2), transcobalamin II deficiency and congenital intrinsic-factor deficiency — cause early-life megaloblastic anemia despite adequate diet.</w:t>
            </w:r>
          </w:p>
          <w:p>
            <w:pPr>
              <w:spacing w:before="60" w:after="40"/>
            </w:pPr>
            <w:r>
              <w:rPr>
                <w:rFonts w:ascii="Calibri" w:hAnsi="Calibri"/>
                <w:b w:val="0"/>
                <w:i w:val="0"/>
                <w:color w:val="5A5A5A"/>
                <w:sz w:val="18"/>
              </w:rPr>
              <w:t>#TRMA  #SLC19A2  #transcobalamin  #inheritedanemia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Pernicious anemia</w:t>
            </w:r>
          </w:p>
        </w:tc>
        <w:tc>
          <w:tcPr>
            <w:tcW w:type="dxa" w:w="2160"/>
            <w:vAlign w:val="top"/>
          </w:tcPr>
          <w:p>
            <w:pPr>
              <w:spacing w:after="40" w:before="0" w:line="259" w:lineRule="auto"/>
            </w:pPr>
            <w:r>
              <w:rPr>
                <w:rFonts w:ascii="Calibri" w:hAnsi="Calibri"/>
                <w:b w:val="0"/>
                <w:i w:val="0"/>
                <w:color w:val="212121"/>
                <w:sz w:val="19"/>
              </w:rPr>
              <w:t>Autoimmune atrophic gastritis</w:t>
            </w:r>
          </w:p>
        </w:tc>
        <w:tc>
          <w:tcPr>
            <w:tcW w:type="dxa" w:w="4276"/>
            <w:vAlign w:val="top"/>
          </w:tcPr>
          <w:p>
            <w:pPr>
              <w:spacing w:after="60" w:line="259" w:lineRule="auto"/>
            </w:pPr>
            <w:r>
              <w:rPr>
                <w:rFonts w:ascii="Calibri" w:hAnsi="Calibri"/>
                <w:b w:val="0"/>
                <w:i w:val="0"/>
                <w:color w:val="212121"/>
                <w:sz w:val="19"/>
              </w:rPr>
              <w:t>Autoimmune destruction of parietal cells and intrinsic factor is the classic cause of severe B12 malabsorption and the commonest cause of profound B12 deficiency in non-vegetarians.</w:t>
            </w:r>
          </w:p>
          <w:p>
            <w:pPr>
              <w:spacing w:after="40" w:before="60" w:line="259" w:lineRule="auto"/>
            </w:pPr>
            <w:r>
              <w:rPr>
                <w:rFonts w:ascii="Calibri" w:hAnsi="Calibri"/>
                <w:b w:val="0"/>
                <w:i w:val="0"/>
                <w:color w:val="212121"/>
                <w:sz w:val="19"/>
              </w:rPr>
              <w:t>Anti-intrinsic-factor antibodies occur in ~70% of cases; pernicious anemia also carries a pooled gastric-cancer incidence of about 0.27% per person-year.</w:t>
            </w:r>
          </w:p>
          <w:p>
            <w:pPr>
              <w:spacing w:after="40" w:line="252" w:lineRule="auto"/>
            </w:pPr>
            <w:hyperlink r:id="rId10">
              <w:r>
                <w:rPr>
                  <w:rFonts w:ascii="Calibri" w:hAnsi="Calibri" w:cs="Calibri"/>
                  <w:sz w:val="18"/>
                  <w:color w:val="1155CC"/>
                  <w:u w:val="single"/>
                </w:rPr>
                <w:t xml:space="preserve">ncbi.nlm.nih.gov — StatPearls: Pernicious Anemia</w:t>
              </w:r>
            </w:hyperlink>
          </w:p>
          <w:p>
            <w:pPr>
              <w:spacing w:before="60" w:after="40"/>
            </w:pPr>
            <w:r>
              <w:rPr>
                <w:rFonts w:ascii="Calibri" w:hAnsi="Calibri"/>
                <w:b w:val="0"/>
                <w:i w:val="0"/>
                <w:color w:val="5A5A5A"/>
                <w:sz w:val="18"/>
              </w:rPr>
              <w:t>#perniciousanemia  #atrophicgastritis  #intrinsicfactor  #gastriccancer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w:t>
            </w:r>
          </w:p>
        </w:tc>
        <w:tc>
          <w:tcPr>
            <w:tcW w:type="dxa" w:w="2160"/>
            <w:vAlign w:val="top"/>
          </w:tcPr>
          <w:p>
            <w:pPr>
              <w:spacing w:after="40" w:before="0" w:line="259" w:lineRule="auto"/>
            </w:pPr>
            <w:r>
              <w:rPr>
                <w:rFonts w:ascii="Calibri" w:hAnsi="Calibri"/>
                <w:b w:val="0"/>
                <w:i w:val="0"/>
                <w:color w:val="212121"/>
                <w:sz w:val="19"/>
              </w:rPr>
              <w:t>Long-term metformin users</w:t>
            </w:r>
          </w:p>
        </w:tc>
        <w:tc>
          <w:tcPr>
            <w:tcW w:type="dxa" w:w="4276"/>
            <w:vAlign w:val="top"/>
          </w:tcPr>
          <w:p>
            <w:pPr>
              <w:spacing w:after="60" w:line="259" w:lineRule="auto"/>
            </w:pPr>
            <w:r>
              <w:rPr>
                <w:rFonts w:ascii="Calibri" w:hAnsi="Calibri"/>
                <w:b w:val="0"/>
                <w:i w:val="0"/>
                <w:color w:val="212121"/>
                <w:sz w:val="19"/>
              </w:rPr>
              <w:t>Metformin reduces intestinal (calcium-dependent) B12 absorption in a dose- and duration-dependent manner, and can cause or worsen peripheral neuropathy; B12 monitoring is advised.</w:t>
            </w:r>
          </w:p>
          <w:p>
            <w:pPr>
              <w:spacing w:after="40" w:before="60" w:line="259" w:lineRule="auto"/>
            </w:pPr>
            <w:r>
              <w:rPr>
                <w:rFonts w:ascii="Calibri" w:hAnsi="Calibri"/>
                <w:b w:val="0"/>
                <w:i w:val="0"/>
                <w:color w:val="212121"/>
                <w:sz w:val="19"/>
              </w:rPr>
              <w:t>Increasing evidence links vitamin B12 deficiency to malabsorption of B12 in metformin-treated type 2 diabetes; B12 deficiency is a recognised complication of long-term therapy.</w:t>
            </w:r>
          </w:p>
          <w:p>
            <w:pPr>
              <w:spacing w:after="40" w:line="252" w:lineRule="auto"/>
            </w:pPr>
            <w:hyperlink r:id="rId18">
              <w:r>
                <w:rPr>
                  <w:rFonts w:ascii="Calibri" w:hAnsi="Calibri" w:cs="Calibri"/>
                  <w:sz w:val="18"/>
                  <w:color w:val="1155CC"/>
                  <w:u w:val="single"/>
                </w:rPr>
                <w:t xml:space="preserve">pmc.ncbi.nlm.nih.gov/PMC10236989 — World J Diabetes 2023</w:t>
              </w:r>
            </w:hyperlink>
          </w:p>
          <w:p>
            <w:pPr>
              <w:spacing w:before="60" w:after="40"/>
            </w:pPr>
            <w:r>
              <w:rPr>
                <w:rFonts w:ascii="Calibri" w:hAnsi="Calibri"/>
                <w:b w:val="0"/>
                <w:i w:val="0"/>
                <w:color w:val="5A5A5A"/>
                <w:sz w:val="18"/>
              </w:rPr>
              <w:t>#metformin  #diabetes  #B12  #neuropathy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Malabsorption syndromes</w:t>
            </w:r>
          </w:p>
        </w:tc>
        <w:tc>
          <w:tcPr>
            <w:tcW w:type="dxa" w:w="2160"/>
            <w:vAlign w:val="top"/>
          </w:tcPr>
          <w:p>
            <w:pPr>
              <w:spacing w:after="40" w:before="0" w:line="259" w:lineRule="auto"/>
            </w:pPr>
            <w:r>
              <w:rPr>
                <w:rFonts w:ascii="Calibri" w:hAnsi="Calibri"/>
                <w:b w:val="0"/>
                <w:i w:val="0"/>
                <w:color w:val="212121"/>
                <w:sz w:val="19"/>
              </w:rPr>
              <w:t>Coeliac / tropical sprue / IBD / post-bariatric surgery</w:t>
            </w:r>
          </w:p>
        </w:tc>
        <w:tc>
          <w:tcPr>
            <w:tcW w:type="dxa" w:w="4276"/>
            <w:vAlign w:val="top"/>
          </w:tcPr>
          <w:p>
            <w:pPr>
              <w:spacing w:after="60" w:line="259" w:lineRule="auto"/>
            </w:pPr>
            <w:r>
              <w:rPr>
                <w:rFonts w:ascii="Calibri" w:hAnsi="Calibri"/>
                <w:b w:val="0"/>
                <w:i w:val="0"/>
                <w:color w:val="212121"/>
                <w:sz w:val="19"/>
              </w:rPr>
              <w:t>Small-bowel disease, tropical sprue, Crohn's disease and gastric/ileal surgery impair absorption of B12 and folate, frequently producing combined deficiency.</w:t>
            </w:r>
          </w:p>
          <w:p>
            <w:pPr>
              <w:spacing w:after="40" w:before="60" w:line="259" w:lineRule="auto"/>
            </w:pPr>
            <w:r>
              <w:rPr>
                <w:rFonts w:ascii="Calibri" w:hAnsi="Calibri"/>
                <w:b w:val="0"/>
                <w:i w:val="0"/>
                <w:color w:val="212121"/>
                <w:sz w:val="19"/>
              </w:rPr>
              <w:t>Malabsorption — including gastric bypass surgery, Crohn's disease and coeliac disease — is a major aetiology of B12 deficiency.</w:t>
            </w:r>
          </w:p>
          <w:p>
            <w:pPr>
              <w:spacing w:after="40" w:line="252" w:lineRule="auto"/>
            </w:pPr>
            <w:hyperlink r:id="rId16">
              <w:r>
                <w:rPr>
                  <w:rFonts w:ascii="Calibri" w:hAnsi="Calibri" w:cs="Calibri"/>
                  <w:sz w:val="18"/>
                  <w:color w:val="1155CC"/>
                  <w:u w:val="single"/>
                </w:rPr>
                <w:t xml:space="preserve">ncbi.nlm.nih.gov — StatPearls: Vitamin B12 Deficiency</w:t>
              </w:r>
            </w:hyperlink>
          </w:p>
          <w:p>
            <w:pPr>
              <w:spacing w:before="60" w:after="40"/>
            </w:pPr>
            <w:r>
              <w:rPr>
                <w:rFonts w:ascii="Calibri" w:hAnsi="Calibri"/>
                <w:b w:val="0"/>
                <w:i w:val="0"/>
                <w:color w:val="5A5A5A"/>
                <w:sz w:val="18"/>
              </w:rPr>
              <w:t>#malabsorption  #coeliac  #bariatric  #tropicalsprue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cluster</w:t>
            </w:r>
          </w:p>
        </w:tc>
        <w:tc>
          <w:tcPr>
            <w:tcW w:type="dxa" w:w="2160"/>
            <w:vAlign w:val="top"/>
          </w:tcPr>
          <w:p>
            <w:pPr>
              <w:spacing w:after="40" w:before="0" w:line="259" w:lineRule="auto"/>
            </w:pPr>
            <w:r>
              <w:rPr>
                <w:rFonts w:ascii="Calibri" w:hAnsi="Calibri"/>
                <w:b w:val="0"/>
                <w:i w:val="0"/>
                <w:color w:val="212121"/>
                <w:sz w:val="19"/>
              </w:rPr>
              <w:t>Autoimmune thyroid disease, type 1 diabetes, vitiligo</w:t>
            </w:r>
          </w:p>
        </w:tc>
        <w:tc>
          <w:tcPr>
            <w:tcW w:type="dxa" w:w="4276"/>
            <w:vAlign w:val="top"/>
          </w:tcPr>
          <w:p>
            <w:pPr>
              <w:spacing w:after="60" w:line="259" w:lineRule="auto"/>
            </w:pPr>
            <w:r>
              <w:rPr>
                <w:rFonts w:ascii="Calibri" w:hAnsi="Calibri"/>
                <w:b w:val="0"/>
                <w:i w:val="0"/>
                <w:color w:val="212121"/>
                <w:sz w:val="19"/>
              </w:rPr>
              <w:t>Pernicious anemia is part of the autoimmune polyglandular spectrum, so patients with autoimmune thyroid disease, type 1 diabetes or vitiligo carry a higher risk of B12-deficiency anemia.</w:t>
            </w:r>
          </w:p>
          <w:p>
            <w:pPr>
              <w:spacing w:after="40" w:before="60" w:line="259" w:lineRule="auto"/>
            </w:pPr>
            <w:r>
              <w:rPr>
                <w:rFonts w:ascii="Calibri" w:hAnsi="Calibri"/>
                <w:b w:val="0"/>
                <w:i w:val="0"/>
                <w:color w:val="212121"/>
                <w:sz w:val="19"/>
              </w:rPr>
              <w:t>Pernicious anemia shows a higher incidence of co-occurring autoimmune disorders, including type 1 diabetes mellitus, autoimmune thyroid disease and vitiligo.</w:t>
            </w:r>
          </w:p>
          <w:p>
            <w:pPr>
              <w:spacing w:after="40" w:line="252" w:lineRule="auto"/>
            </w:pPr>
            <w:hyperlink r:id="rId10">
              <w:r>
                <w:rPr>
                  <w:rFonts w:ascii="Calibri" w:hAnsi="Calibri" w:cs="Calibri"/>
                  <w:sz w:val="18"/>
                  <w:color w:val="1155CC"/>
                  <w:u w:val="single"/>
                </w:rPr>
                <w:t xml:space="preserve">ncbi.nlm.nih.gov — StatPearls: Pernicious Anemia</w:t>
              </w:r>
            </w:hyperlink>
          </w:p>
          <w:p>
            <w:pPr>
              <w:spacing w:before="60" w:after="40"/>
            </w:pPr>
            <w:r>
              <w:rPr>
                <w:rFonts w:ascii="Calibri" w:hAnsi="Calibri"/>
                <w:b w:val="0"/>
                <w:i w:val="0"/>
                <w:color w:val="5A5A5A"/>
                <w:sz w:val="18"/>
              </w:rPr>
              <w:t>#autoimmune  #thyroid  #T1DM  #vitiligo</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does not cause megaloblastic anemia; however, deficiency-related anemia and neuropathy reduce exercise tolerance and cause fatigue, which improve after B12/folate repletion.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the dominant modifiable factor: vegetarian/vegan diets supply almost no cobalamin, and low leafy-green/legume intake or overcooking depletes folate. Predominantly vegetarian Indian diets underlie the high population B12-deficiency prevalence.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link; severe anemia can cause tiredness and restless-legs-type symptoms, and B12 deficiency may disturb sleep via neurological involvement.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associated with modestly lower serum B12 and folate and higher homocysteine, and may aggravate an existing deficiency, though it is not a primary cause.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alcohol misuse is a major cause of folate deficiency, impairing folate absorption, hepatic storage and metabolism while worsening dietary intake.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B12/folate deficiency can cause depression, irritability, cognitive impairment and, rarely, psychosis; neuropsychiatric symptoms may precede anemia, and poor mental health or neglect can in turn worsen nutrition.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meaningful relationship between hydration and B12/folate status.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weak; very heavy tea/coffee with meals mainly impairs iron absorption rather than B12 or folate, with no established causal role in megaloblastic anemia.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hygiene predisposes to intestinal infection/infestation (e.g., fish-tapeworm Diphyllobothrium, small-bowel bacterial overgrowth) that can consume dietary B12; the direct role is otherwise limited.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Pregnancy, lactation, rapid growth, malabsorptive or gastric surgery, and drugs (metformin, methotrexate, trimethoprim, nitrous oxide, long-term PPIs) precipitate or unmask deficiency.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vitamin B12 (cobalamin)</w:t>
            </w:r>
          </w:p>
        </w:tc>
        <w:tc>
          <w:tcPr>
            <w:tcW w:type="dxa" w:w="1655"/>
            <w:vAlign w:val="top"/>
          </w:tcPr>
          <w:p>
            <w:pPr>
              <w:spacing w:after="40" w:before="0" w:line="259" w:lineRule="auto"/>
            </w:pPr>
            <w:r>
              <w:rPr>
                <w:rFonts w:ascii="Calibri" w:hAnsi="Calibri"/>
                <w:b w:val="0"/>
                <w:i w:val="0"/>
                <w:color w:val="212121"/>
                <w:sz w:val="19"/>
              </w:rPr>
              <w:t>Vegetarians, elderly, metformin users</w:t>
            </w:r>
          </w:p>
        </w:tc>
        <w:tc>
          <w:tcPr>
            <w:tcW w:type="dxa" w:w="1512"/>
            <w:vAlign w:val="top"/>
          </w:tcPr>
          <w:p>
            <w:pPr>
              <w:spacing w:after="40" w:before="0" w:line="259" w:lineRule="auto"/>
            </w:pPr>
            <w:r>
              <w:rPr>
                <w:rFonts w:ascii="Calibri" w:hAnsi="Calibri"/>
                <w:b w:val="0"/>
                <w:i w:val="0"/>
                <w:color w:val="212121"/>
                <w:sz w:val="19"/>
              </w:rPr>
              <w:t>&gt; 300 pg/mL</w:t>
            </w:r>
          </w:p>
        </w:tc>
        <w:tc>
          <w:tcPr>
            <w:tcW w:type="dxa" w:w="1512"/>
            <w:vAlign w:val="top"/>
          </w:tcPr>
          <w:p>
            <w:pPr>
              <w:spacing w:after="40" w:before="0" w:line="259" w:lineRule="auto"/>
            </w:pPr>
            <w:r>
              <w:rPr>
                <w:rFonts w:ascii="Calibri" w:hAnsi="Calibri"/>
                <w:b w:val="0"/>
                <w:i w:val="0"/>
                <w:color w:val="212121"/>
                <w:sz w:val="19"/>
              </w:rPr>
              <w:t>&lt; 200 pg/mL (200–300 borderline)</w:t>
            </w:r>
          </w:p>
        </w:tc>
        <w:tc>
          <w:tcPr>
            <w:tcW w:type="dxa" w:w="1468"/>
            <w:vAlign w:val="top"/>
          </w:tcPr>
          <w:p>
            <w:pPr>
              <w:spacing w:after="60" w:line="259" w:lineRule="auto"/>
            </w:pPr>
            <w:r>
              <w:rPr>
                <w:rFonts w:ascii="Calibri" w:hAnsi="Calibri"/>
                <w:b w:val="0"/>
                <w:i w:val="0"/>
                <w:color w:val="212121"/>
                <w:sz w:val="19"/>
              </w:rPr>
              <w:t>Primary screen; confirm borderline results with MMA/homocysteine</w:t>
            </w:r>
          </w:p>
          <w:p>
            <w:pPr>
              <w:spacing w:after="40" w:line="252" w:lineRule="auto"/>
            </w:pPr>
            <w:hyperlink r:id="rId16">
              <w:r>
                <w:rPr>
                  <w:rFonts w:ascii="Calibri" w:hAnsi="Calibri" w:cs="Calibri"/>
                  <w:sz w:val="18"/>
                  <w:color w:val="1155CC"/>
                  <w:u w:val="single"/>
                </w:rPr>
                <w:t xml:space="preserve">https://www.ncbi.nlm.nih.gov/books/NBK441923/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folate</w:t>
            </w:r>
          </w:p>
        </w:tc>
        <w:tc>
          <w:tcPr>
            <w:tcW w:type="dxa" w:w="1655"/>
            <w:vAlign w:val="top"/>
          </w:tcPr>
          <w:p>
            <w:pPr>
              <w:spacing w:after="40" w:before="0" w:line="259" w:lineRule="auto"/>
            </w:pPr>
            <w:r>
              <w:rPr>
                <w:rFonts w:ascii="Calibri" w:hAnsi="Calibri"/>
                <w:b w:val="0"/>
                <w:i w:val="0"/>
                <w:color w:val="212121"/>
                <w:sz w:val="19"/>
              </w:rPr>
              <w:t>Alcohol users, pregnant women, poor diet</w:t>
            </w:r>
          </w:p>
        </w:tc>
        <w:tc>
          <w:tcPr>
            <w:tcW w:type="dxa" w:w="1512"/>
            <w:vAlign w:val="top"/>
          </w:tcPr>
          <w:p>
            <w:pPr>
              <w:spacing w:after="40" w:before="0" w:line="259" w:lineRule="auto"/>
            </w:pPr>
            <w:r>
              <w:rPr>
                <w:rFonts w:ascii="Calibri" w:hAnsi="Calibri"/>
                <w:b w:val="0"/>
                <w:i w:val="0"/>
                <w:color w:val="212121"/>
                <w:sz w:val="19"/>
              </w:rPr>
              <w:t>&gt; 4 ng/mL</w:t>
            </w:r>
          </w:p>
        </w:tc>
        <w:tc>
          <w:tcPr>
            <w:tcW w:type="dxa" w:w="1512"/>
            <w:vAlign w:val="top"/>
          </w:tcPr>
          <w:p>
            <w:pPr>
              <w:spacing w:after="40" w:before="0" w:line="259" w:lineRule="auto"/>
            </w:pPr>
            <w:r>
              <w:rPr>
                <w:rFonts w:ascii="Calibri" w:hAnsi="Calibri"/>
                <w:b w:val="0"/>
                <w:i w:val="0"/>
                <w:color w:val="212121"/>
                <w:sz w:val="19"/>
              </w:rPr>
              <w:t>&lt; 2 ng/mL (2–4 borderline)</w:t>
            </w:r>
          </w:p>
        </w:tc>
        <w:tc>
          <w:tcPr>
            <w:tcW w:type="dxa" w:w="1468"/>
            <w:vAlign w:val="top"/>
          </w:tcPr>
          <w:p>
            <w:pPr>
              <w:spacing w:after="60" w:line="259" w:lineRule="auto"/>
            </w:pPr>
            <w:r>
              <w:rPr>
                <w:rFonts w:ascii="Calibri" w:hAnsi="Calibri"/>
                <w:b w:val="0"/>
                <w:i w:val="0"/>
                <w:color w:val="212121"/>
                <w:sz w:val="19"/>
              </w:rPr>
              <w:t>Reflects recent intake; can normalise after a single good meal</w:t>
            </w:r>
          </w:p>
          <w:p>
            <w:pPr>
              <w:spacing w:after="40" w:line="252" w:lineRule="auto"/>
            </w:pPr>
            <w:hyperlink r:id="rId13">
              <w:r>
                <w:rPr>
                  <w:rFonts w:ascii="Calibri" w:hAnsi="Calibri" w:cs="Calibri"/>
                  <w:sz w:val="18"/>
                  <w:color w:val="1155CC"/>
                  <w:u w:val="single"/>
                </w:rPr>
                <w:t xml:space="preserve">https://www.ncbi.nlm.nih.gov/books/NBK535377/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Red-cell folate</w:t>
            </w:r>
          </w:p>
        </w:tc>
        <w:tc>
          <w:tcPr>
            <w:tcW w:type="dxa" w:w="1655"/>
            <w:vAlign w:val="top"/>
          </w:tcPr>
          <w:p>
            <w:pPr>
              <w:spacing w:after="40" w:before="0" w:line="259" w:lineRule="auto"/>
            </w:pPr>
            <w:r>
              <w:rPr>
                <w:rFonts w:ascii="Calibri" w:hAnsi="Calibri"/>
                <w:b w:val="0"/>
                <w:i w:val="0"/>
                <w:color w:val="212121"/>
                <w:sz w:val="19"/>
              </w:rPr>
              <w:t>Suspected chronic folate deficiency</w:t>
            </w:r>
          </w:p>
        </w:tc>
        <w:tc>
          <w:tcPr>
            <w:tcW w:type="dxa" w:w="1512"/>
            <w:vAlign w:val="top"/>
          </w:tcPr>
          <w:p>
            <w:pPr>
              <w:spacing w:after="40" w:before="0" w:line="259" w:lineRule="auto"/>
            </w:pPr>
            <w:r>
              <w:rPr>
                <w:rFonts w:ascii="Calibri" w:hAnsi="Calibri"/>
                <w:b w:val="0"/>
                <w:i w:val="0"/>
                <w:color w:val="212121"/>
                <w:sz w:val="19"/>
              </w:rPr>
              <w:t>&gt; 140 ng/mL</w:t>
            </w:r>
          </w:p>
        </w:tc>
        <w:tc>
          <w:tcPr>
            <w:tcW w:type="dxa" w:w="1512"/>
            <w:vAlign w:val="top"/>
          </w:tcPr>
          <w:p>
            <w:pPr>
              <w:spacing w:after="40" w:before="0" w:line="259" w:lineRule="auto"/>
            </w:pPr>
            <w:r>
              <w:rPr>
                <w:rFonts w:ascii="Calibri" w:hAnsi="Calibri"/>
                <w:b w:val="0"/>
                <w:i w:val="0"/>
                <w:color w:val="212121"/>
                <w:sz w:val="19"/>
              </w:rPr>
              <w:t>&lt; 100 ng/mL</w:t>
            </w:r>
          </w:p>
        </w:tc>
        <w:tc>
          <w:tcPr>
            <w:tcW w:type="dxa" w:w="1468"/>
            <w:vAlign w:val="top"/>
          </w:tcPr>
          <w:p>
            <w:pPr>
              <w:spacing w:after="40" w:before="0" w:line="259" w:lineRule="auto"/>
            </w:pPr>
            <w:r>
              <w:rPr>
                <w:rFonts w:ascii="Calibri" w:hAnsi="Calibri"/>
                <w:b w:val="0"/>
                <w:i w:val="0"/>
                <w:color w:val="212121"/>
                <w:sz w:val="19"/>
              </w:rPr>
              <w:t>Better indicator of tissue folate stores than serum folate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Mean corpuscular volume (MCV)</w:t>
            </w:r>
          </w:p>
        </w:tc>
        <w:tc>
          <w:tcPr>
            <w:tcW w:type="dxa" w:w="1655"/>
            <w:vAlign w:val="top"/>
          </w:tcPr>
          <w:p>
            <w:pPr>
              <w:spacing w:after="40" w:before="0" w:line="259" w:lineRule="auto"/>
            </w:pPr>
            <w:r>
              <w:rPr>
                <w:rFonts w:ascii="Calibri" w:hAnsi="Calibri"/>
                <w:b w:val="0"/>
                <w:i w:val="0"/>
                <w:color w:val="212121"/>
                <w:sz w:val="19"/>
              </w:rPr>
              <w:t>Any suspected macrocytic anemia</w:t>
            </w:r>
          </w:p>
        </w:tc>
        <w:tc>
          <w:tcPr>
            <w:tcW w:type="dxa" w:w="1512"/>
            <w:vAlign w:val="top"/>
          </w:tcPr>
          <w:p>
            <w:pPr>
              <w:spacing w:after="40" w:before="0" w:line="259" w:lineRule="auto"/>
            </w:pPr>
            <w:r>
              <w:rPr>
                <w:rFonts w:ascii="Calibri" w:hAnsi="Calibri"/>
                <w:b w:val="0"/>
                <w:i w:val="0"/>
                <w:color w:val="212121"/>
                <w:sz w:val="19"/>
              </w:rPr>
              <w:t>80–100 fL</w:t>
            </w:r>
          </w:p>
        </w:tc>
        <w:tc>
          <w:tcPr>
            <w:tcW w:type="dxa" w:w="1512"/>
            <w:vAlign w:val="top"/>
          </w:tcPr>
          <w:p>
            <w:pPr>
              <w:spacing w:after="40" w:before="0" w:line="259" w:lineRule="auto"/>
            </w:pPr>
            <w:r>
              <w:rPr>
                <w:rFonts w:ascii="Calibri" w:hAnsi="Calibri"/>
                <w:b w:val="0"/>
                <w:i w:val="0"/>
                <w:color w:val="212121"/>
                <w:sz w:val="19"/>
              </w:rPr>
              <w:t>&gt; 100 fL (&gt; 115 fL highly specific)</w:t>
            </w:r>
          </w:p>
        </w:tc>
        <w:tc>
          <w:tcPr>
            <w:tcW w:type="dxa" w:w="1468"/>
            <w:vAlign w:val="top"/>
          </w:tcPr>
          <w:p>
            <w:pPr>
              <w:spacing w:after="60" w:line="259" w:lineRule="auto"/>
            </w:pPr>
            <w:r>
              <w:rPr>
                <w:rFonts w:ascii="Calibri" w:hAnsi="Calibri"/>
                <w:b w:val="0"/>
                <w:i w:val="0"/>
                <w:color w:val="212121"/>
                <w:sz w:val="19"/>
              </w:rPr>
              <w:t>Normal MCV does not exclude deficiency, especially with coexisting iron deficiency/thalassaemia</w:t>
            </w:r>
          </w:p>
          <w:p>
            <w:pPr>
              <w:spacing w:after="40" w:line="252" w:lineRule="auto"/>
            </w:pPr>
            <w:hyperlink r:id="rId19">
              <w:r>
                <w:rPr>
                  <w:rFonts w:ascii="Calibri" w:hAnsi="Calibri" w:cs="Calibri"/>
                  <w:sz w:val="18"/>
                  <w:color w:val="1155CC"/>
                  <w:u w:val="single"/>
                </w:rPr>
                <w:t xml:space="preserve">https://www.ncbi.nlm.nih.gov/books/NBK537254/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methylmalonic acid (MMA)</w:t>
            </w:r>
          </w:p>
        </w:tc>
        <w:tc>
          <w:tcPr>
            <w:tcW w:type="dxa" w:w="1655"/>
            <w:vAlign w:val="top"/>
          </w:tcPr>
          <w:p>
            <w:pPr>
              <w:spacing w:after="40" w:before="0" w:line="259" w:lineRule="auto"/>
            </w:pPr>
            <w:r>
              <w:rPr>
                <w:rFonts w:ascii="Calibri" w:hAnsi="Calibri"/>
                <w:b w:val="0"/>
                <w:i w:val="0"/>
                <w:color w:val="212121"/>
                <w:sz w:val="19"/>
              </w:rPr>
              <w:t>Borderline/low B12, neuropathy</w:t>
            </w:r>
          </w:p>
        </w:tc>
        <w:tc>
          <w:tcPr>
            <w:tcW w:type="dxa" w:w="1512"/>
            <w:vAlign w:val="top"/>
          </w:tcPr>
          <w:p>
            <w:pPr>
              <w:spacing w:after="40" w:before="0" w:line="259" w:lineRule="auto"/>
            </w:pPr>
            <w:r>
              <w:rPr>
                <w:rFonts w:ascii="Calibri" w:hAnsi="Calibri"/>
                <w:b w:val="0"/>
                <w:i w:val="0"/>
                <w:color w:val="212121"/>
                <w:sz w:val="19"/>
              </w:rPr>
              <w:t>Within reference range</w:t>
            </w:r>
          </w:p>
        </w:tc>
        <w:tc>
          <w:tcPr>
            <w:tcW w:type="dxa" w:w="1512"/>
            <w:vAlign w:val="top"/>
          </w:tcPr>
          <w:p>
            <w:pPr>
              <w:spacing w:after="40" w:before="0" w:line="259" w:lineRule="auto"/>
            </w:pPr>
            <w:r>
              <w:rPr>
                <w:rFonts w:ascii="Calibri" w:hAnsi="Calibri"/>
                <w:b w:val="0"/>
                <w:i w:val="0"/>
                <w:color w:val="212121"/>
                <w:sz w:val="19"/>
              </w:rPr>
              <w:t>Elevated</w:t>
            </w:r>
          </w:p>
        </w:tc>
        <w:tc>
          <w:tcPr>
            <w:tcW w:type="dxa" w:w="1468"/>
            <w:vAlign w:val="top"/>
          </w:tcPr>
          <w:p>
            <w:pPr>
              <w:spacing w:after="60" w:line="259" w:lineRule="auto"/>
            </w:pPr>
            <w:r>
              <w:rPr>
                <w:rFonts w:ascii="Calibri" w:hAnsi="Calibri"/>
                <w:b w:val="0"/>
                <w:i w:val="0"/>
                <w:color w:val="212121"/>
                <w:sz w:val="19"/>
              </w:rPr>
              <w:t>Rises specifically in B12 (not folate) deficiency; sensitive functional marker</w:t>
            </w:r>
          </w:p>
          <w:p>
            <w:pPr>
              <w:spacing w:after="40" w:line="252" w:lineRule="auto"/>
            </w:pPr>
            <w:hyperlink r:id="rId16">
              <w:r>
                <w:rPr>
                  <w:rFonts w:ascii="Calibri" w:hAnsi="Calibri" w:cs="Calibri"/>
                  <w:sz w:val="18"/>
                  <w:color w:val="1155CC"/>
                  <w:u w:val="single"/>
                </w:rPr>
                <w:t xml:space="preserve">https://www.ncbi.nlm.nih.gov/books/NBK441923/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Plasma total homocysteine</w:t>
            </w:r>
          </w:p>
        </w:tc>
        <w:tc>
          <w:tcPr>
            <w:tcW w:type="dxa" w:w="1655"/>
            <w:vAlign w:val="top"/>
          </w:tcPr>
          <w:p>
            <w:pPr>
              <w:spacing w:after="40" w:before="0" w:line="259" w:lineRule="auto"/>
            </w:pPr>
            <w:r>
              <w:rPr>
                <w:rFonts w:ascii="Calibri" w:hAnsi="Calibri"/>
                <w:b w:val="0"/>
                <w:i w:val="0"/>
                <w:color w:val="212121"/>
                <w:sz w:val="19"/>
              </w:rPr>
              <w:t>B12 or folate deficiency, CVD risk</w:t>
            </w:r>
          </w:p>
        </w:tc>
        <w:tc>
          <w:tcPr>
            <w:tcW w:type="dxa" w:w="1512"/>
            <w:vAlign w:val="top"/>
          </w:tcPr>
          <w:p>
            <w:pPr>
              <w:spacing w:after="40" w:before="0" w:line="259" w:lineRule="auto"/>
            </w:pPr>
            <w:r>
              <w:rPr>
                <w:rFonts w:ascii="Calibri" w:hAnsi="Calibri"/>
                <w:b w:val="0"/>
                <w:i w:val="0"/>
                <w:color w:val="212121"/>
                <w:sz w:val="19"/>
              </w:rPr>
              <w:t>&lt; 15 µmol/L</w:t>
            </w:r>
          </w:p>
        </w:tc>
        <w:tc>
          <w:tcPr>
            <w:tcW w:type="dxa" w:w="1512"/>
            <w:vAlign w:val="top"/>
          </w:tcPr>
          <w:p>
            <w:pPr>
              <w:spacing w:after="40" w:before="0" w:line="259" w:lineRule="auto"/>
            </w:pPr>
            <w:r>
              <w:rPr>
                <w:rFonts w:ascii="Calibri" w:hAnsi="Calibri"/>
                <w:b w:val="0"/>
                <w:i w:val="0"/>
                <w:color w:val="212121"/>
                <w:sz w:val="19"/>
              </w:rPr>
              <w:t>Elevated</w:t>
            </w:r>
          </w:p>
        </w:tc>
        <w:tc>
          <w:tcPr>
            <w:tcW w:type="dxa" w:w="1468"/>
            <w:vAlign w:val="top"/>
          </w:tcPr>
          <w:p>
            <w:pPr>
              <w:spacing w:after="40" w:before="0" w:line="259" w:lineRule="auto"/>
            </w:pPr>
            <w:r>
              <w:rPr>
                <w:rFonts w:ascii="Calibri" w:hAnsi="Calibri"/>
                <w:b w:val="0"/>
                <w:i w:val="0"/>
                <w:color w:val="212121"/>
                <w:sz w:val="19"/>
              </w:rPr>
              <w:t>Raised in both B12 and folate deficiency; a cardiovascular/thrombotic risk marker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vitamin B12 intake</w:t>
            </w:r>
          </w:p>
        </w:tc>
        <w:tc>
          <w:tcPr>
            <w:tcW w:type="dxa" w:w="1655"/>
            <w:vAlign w:val="top"/>
          </w:tcPr>
          <w:p>
            <w:pPr>
              <w:spacing w:after="40" w:before="0" w:line="259" w:lineRule="auto"/>
            </w:pPr>
            <w:r>
              <w:rPr>
                <w:rFonts w:ascii="Calibri" w:hAnsi="Calibri"/>
                <w:b w:val="0"/>
                <w:i w:val="0"/>
                <w:color w:val="212121"/>
                <w:sz w:val="19"/>
              </w:rPr>
              <w:t>Adults (RDA)</w:t>
            </w:r>
          </w:p>
        </w:tc>
        <w:tc>
          <w:tcPr>
            <w:tcW w:type="dxa" w:w="1512"/>
            <w:vAlign w:val="top"/>
          </w:tcPr>
          <w:p>
            <w:pPr>
              <w:spacing w:after="40" w:before="0" w:line="259" w:lineRule="auto"/>
            </w:pPr>
            <w:r>
              <w:rPr>
                <w:rFonts w:ascii="Calibri" w:hAnsi="Calibri"/>
                <w:b w:val="0"/>
                <w:i w:val="0"/>
                <w:color w:val="212121"/>
                <w:sz w:val="19"/>
              </w:rPr>
              <w:t>≥ 2.4 µg/day (2.6 pregnancy, 2.8 lactation)</w:t>
            </w:r>
          </w:p>
        </w:tc>
        <w:tc>
          <w:tcPr>
            <w:tcW w:type="dxa" w:w="1512"/>
            <w:vAlign w:val="top"/>
          </w:tcPr>
          <w:p>
            <w:pPr>
              <w:spacing w:after="40" w:before="0" w:line="259" w:lineRule="auto"/>
            </w:pPr>
            <w:r>
              <w:rPr>
                <w:rFonts w:ascii="Calibri" w:hAnsi="Calibri"/>
                <w:b w:val="0"/>
                <w:i w:val="0"/>
                <w:color w:val="212121"/>
                <w:sz w:val="19"/>
              </w:rPr>
              <w:t>&lt; 2 µg/day</w:t>
            </w:r>
          </w:p>
        </w:tc>
        <w:tc>
          <w:tcPr>
            <w:tcW w:type="dxa" w:w="1468"/>
            <w:vAlign w:val="top"/>
          </w:tcPr>
          <w:p>
            <w:pPr>
              <w:spacing w:after="60" w:line="259" w:lineRule="auto"/>
            </w:pPr>
            <w:r>
              <w:rPr>
                <w:rFonts w:ascii="Calibri" w:hAnsi="Calibri"/>
                <w:b w:val="0"/>
                <w:i w:val="0"/>
                <w:color w:val="212121"/>
                <w:sz w:val="19"/>
              </w:rPr>
              <w:t>Vegetarian diets rarely meet the RDA without fortified foods or supplements</w:t>
            </w:r>
          </w:p>
          <w:p>
            <w:pPr>
              <w:spacing w:after="40" w:line="252" w:lineRule="auto"/>
            </w:pPr>
            <w:hyperlink r:id="rId20">
              <w:r>
                <w:rPr>
                  <w:rFonts w:ascii="Calibri" w:hAnsi="Calibri" w:cs="Calibri"/>
                  <w:sz w:val="18"/>
                  <w:color w:val="1155CC"/>
                  <w:u w:val="single"/>
                </w:rPr>
                <w:t xml:space="preserve">https://pmc.ncbi.nlm.nih.gov/articles/PMC6297555/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folate intake</w:t>
            </w:r>
          </w:p>
        </w:tc>
        <w:tc>
          <w:tcPr>
            <w:tcW w:type="dxa" w:w="1655"/>
            <w:vAlign w:val="top"/>
          </w:tcPr>
          <w:p>
            <w:pPr>
              <w:spacing w:after="40" w:before="0" w:line="259" w:lineRule="auto"/>
            </w:pPr>
            <w:r>
              <w:rPr>
                <w:rFonts w:ascii="Calibri" w:hAnsi="Calibri"/>
                <w:b w:val="0"/>
                <w:i w:val="0"/>
                <w:color w:val="212121"/>
                <w:sz w:val="19"/>
              </w:rPr>
              <w:t>Adults (RDA)</w:t>
            </w:r>
          </w:p>
        </w:tc>
        <w:tc>
          <w:tcPr>
            <w:tcW w:type="dxa" w:w="1512"/>
            <w:vAlign w:val="top"/>
          </w:tcPr>
          <w:p>
            <w:pPr>
              <w:spacing w:after="40" w:before="0" w:line="259" w:lineRule="auto"/>
            </w:pPr>
            <w:r>
              <w:rPr>
                <w:rFonts w:ascii="Calibri" w:hAnsi="Calibri"/>
                <w:b w:val="0"/>
                <w:i w:val="0"/>
                <w:color w:val="212121"/>
                <w:sz w:val="19"/>
              </w:rPr>
              <w:t>≥ 400 µg DFE/day (600 µg in pregnancy)</w:t>
            </w:r>
          </w:p>
        </w:tc>
        <w:tc>
          <w:tcPr>
            <w:tcW w:type="dxa" w:w="1512"/>
            <w:vAlign w:val="top"/>
          </w:tcPr>
          <w:p>
            <w:pPr>
              <w:spacing w:after="40" w:before="0" w:line="259" w:lineRule="auto"/>
            </w:pPr>
            <w:r>
              <w:rPr>
                <w:rFonts w:ascii="Calibri" w:hAnsi="Calibri"/>
                <w:b w:val="0"/>
                <w:i w:val="0"/>
                <w:color w:val="212121"/>
                <w:sz w:val="19"/>
              </w:rPr>
              <w:t>&lt; 300 µg DFE/day</w:t>
            </w:r>
          </w:p>
        </w:tc>
        <w:tc>
          <w:tcPr>
            <w:tcW w:type="dxa" w:w="1468"/>
            <w:vAlign w:val="top"/>
          </w:tcPr>
          <w:p>
            <w:pPr>
              <w:spacing w:after="40" w:before="0" w:line="259" w:lineRule="auto"/>
            </w:pPr>
            <w:r>
              <w:rPr>
                <w:rFonts w:ascii="Calibri" w:hAnsi="Calibri"/>
                <w:b w:val="0"/>
                <w:i w:val="0"/>
                <w:color w:val="212121"/>
                <w:sz w:val="19"/>
              </w:rPr>
              <w:t>Overcooking destroys heat-labile folate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 (anaemia threshold)</w:t>
            </w:r>
          </w:p>
        </w:tc>
        <w:tc>
          <w:tcPr>
            <w:tcW w:type="dxa" w:w="1655"/>
            <w:vAlign w:val="top"/>
          </w:tcPr>
          <w:p>
            <w:pPr>
              <w:spacing w:after="40" w:before="0" w:line="259" w:lineRule="auto"/>
            </w:pPr>
            <w:r>
              <w:rPr>
                <w:rFonts w:ascii="Calibri" w:hAnsi="Calibri"/>
                <w:b w:val="0"/>
                <w:i w:val="0"/>
                <w:color w:val="212121"/>
                <w:sz w:val="19"/>
              </w:rPr>
              <w:t>Women / men / pregnancy</w:t>
            </w:r>
          </w:p>
        </w:tc>
        <w:tc>
          <w:tcPr>
            <w:tcW w:type="dxa" w:w="1512"/>
            <w:vAlign w:val="top"/>
          </w:tcPr>
          <w:p>
            <w:pPr>
              <w:spacing w:after="40" w:before="0" w:line="259" w:lineRule="auto"/>
            </w:pPr>
            <w:r>
              <w:rPr>
                <w:rFonts w:ascii="Calibri" w:hAnsi="Calibri"/>
                <w:b w:val="0"/>
                <w:i w:val="0"/>
                <w:color w:val="212121"/>
                <w:sz w:val="19"/>
              </w:rPr>
              <w:t>≥ 12 g/dL (women), ≥ 13 g/dL (men)</w:t>
            </w:r>
          </w:p>
        </w:tc>
        <w:tc>
          <w:tcPr>
            <w:tcW w:type="dxa" w:w="1512"/>
            <w:vAlign w:val="top"/>
          </w:tcPr>
          <w:p>
            <w:pPr>
              <w:spacing w:after="40" w:before="0" w:line="259" w:lineRule="auto"/>
            </w:pPr>
            <w:r>
              <w:rPr>
                <w:rFonts w:ascii="Calibri" w:hAnsi="Calibri"/>
                <w:b w:val="0"/>
                <w:i w:val="0"/>
                <w:color w:val="212121"/>
                <w:sz w:val="19"/>
              </w:rPr>
              <w:t>&lt; 12 (women), &lt; 13 (men), &lt; 11 (pregnancy)</w:t>
            </w:r>
          </w:p>
        </w:tc>
        <w:tc>
          <w:tcPr>
            <w:tcW w:type="dxa" w:w="1468"/>
            <w:vAlign w:val="top"/>
          </w:tcPr>
          <w:p>
            <w:pPr>
              <w:spacing w:after="60" w:line="259" w:lineRule="auto"/>
            </w:pPr>
            <w:r>
              <w:rPr>
                <w:rFonts w:ascii="Calibri" w:hAnsi="Calibri"/>
                <w:b w:val="0"/>
                <w:i w:val="0"/>
                <w:color w:val="212121"/>
                <w:sz w:val="19"/>
              </w:rPr>
              <w:t>WHO cut-offs defining anaemia</w:t>
            </w:r>
          </w:p>
          <w:p>
            <w:pPr>
              <w:spacing w:after="40" w:line="252" w:lineRule="auto"/>
            </w:pPr>
            <w:hyperlink r:id="rId21">
              <w:r>
                <w:rPr>
                  <w:rFonts w:ascii="Calibri" w:hAnsi="Calibri" w:cs="Calibri"/>
                  <w:sz w:val="18"/>
                  <w:color w:val="1155CC"/>
                  <w:u w:val="single"/>
                </w:rPr>
                <w:t xml:space="preserve">https://www.who.int/news-room/fact-sheets/detail/anaemia</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Heavy drinkers</w:t>
            </w:r>
          </w:p>
        </w:tc>
        <w:tc>
          <w:tcPr>
            <w:tcW w:type="dxa" w:w="1512"/>
            <w:vAlign w:val="top"/>
          </w:tcPr>
          <w:p>
            <w:pPr>
              <w:spacing w:after="40" w:before="0" w:line="259" w:lineRule="auto"/>
            </w:pPr>
            <w:r>
              <w:rPr>
                <w:rFonts w:ascii="Calibri" w:hAnsi="Calibri"/>
                <w:b w:val="0"/>
                <w:i w:val="0"/>
                <w:color w:val="212121"/>
                <w:sz w:val="19"/>
              </w:rPr>
              <w:t>None / within safe limits</w:t>
            </w:r>
          </w:p>
        </w:tc>
        <w:tc>
          <w:tcPr>
            <w:tcW w:type="dxa" w:w="1512"/>
            <w:vAlign w:val="top"/>
          </w:tcPr>
          <w:p>
            <w:pPr>
              <w:spacing w:after="40" w:before="0" w:line="259" w:lineRule="auto"/>
            </w:pPr>
            <w:r>
              <w:rPr>
                <w:rFonts w:ascii="Calibri" w:hAnsi="Calibri"/>
                <w:b w:val="0"/>
                <w:i w:val="0"/>
                <w:color w:val="212121"/>
                <w:sz w:val="19"/>
              </w:rPr>
              <w:t>Chronic heavy use (&gt; 14 drinks/week)</w:t>
            </w:r>
          </w:p>
        </w:tc>
        <w:tc>
          <w:tcPr>
            <w:tcW w:type="dxa" w:w="1468"/>
            <w:vAlign w:val="top"/>
          </w:tcPr>
          <w:p>
            <w:pPr>
              <w:spacing w:after="60" w:line="259" w:lineRule="auto"/>
            </w:pPr>
            <w:r>
              <w:rPr>
                <w:rFonts w:ascii="Calibri" w:hAnsi="Calibri"/>
                <w:b w:val="0"/>
                <w:i w:val="0"/>
                <w:color w:val="212121"/>
                <w:sz w:val="19"/>
              </w:rPr>
              <w:t>Impairs folate absorption, storage and metabolism</w:t>
            </w:r>
          </w:p>
          <w:p>
            <w:pPr>
              <w:spacing w:after="40" w:line="252" w:lineRule="auto"/>
            </w:pPr>
            <w:hyperlink r:id="rId13">
              <w:r>
                <w:rPr>
                  <w:rFonts w:ascii="Calibri" w:hAnsi="Calibri" w:cs="Calibri"/>
                  <w:sz w:val="18"/>
                  <w:color w:val="1155CC"/>
                  <w:u w:val="single"/>
                </w:rPr>
                <w:t xml:space="preserve">https://www.ncbi.nlm.nih.gov/books/NBK535377/</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Metformin dose &amp; duration</w:t>
            </w:r>
          </w:p>
        </w:tc>
        <w:tc>
          <w:tcPr>
            <w:tcW w:type="dxa" w:w="1655"/>
            <w:vAlign w:val="top"/>
          </w:tcPr>
          <w:p>
            <w:pPr>
              <w:spacing w:after="40" w:before="0" w:line="259" w:lineRule="auto"/>
            </w:pPr>
            <w:r>
              <w:rPr>
                <w:rFonts w:ascii="Calibri" w:hAnsi="Calibri"/>
                <w:b w:val="0"/>
                <w:i w:val="0"/>
                <w:color w:val="212121"/>
                <w:sz w:val="19"/>
              </w:rPr>
              <w:t>Type 2 diabetes patients</w:t>
            </w:r>
          </w:p>
        </w:tc>
        <w:tc>
          <w:tcPr>
            <w:tcW w:type="dxa" w:w="1512"/>
            <w:vAlign w:val="top"/>
          </w:tcPr>
          <w:p>
            <w:pPr>
              <w:spacing w:after="40" w:before="0" w:line="259" w:lineRule="auto"/>
            </w:pPr>
            <w:r>
              <w:rPr>
                <w:rFonts w:ascii="Calibri" w:hAnsi="Calibri"/>
                <w:b w:val="0"/>
                <w:i w:val="0"/>
                <w:color w:val="212121"/>
                <w:sz w:val="19"/>
              </w:rPr>
              <w:t>Periodic B12 screening on therapy</w:t>
            </w:r>
          </w:p>
        </w:tc>
        <w:tc>
          <w:tcPr>
            <w:tcW w:type="dxa" w:w="1512"/>
            <w:vAlign w:val="top"/>
          </w:tcPr>
          <w:p>
            <w:pPr>
              <w:spacing w:after="40" w:before="0" w:line="259" w:lineRule="auto"/>
            </w:pPr>
            <w:r>
              <w:rPr>
                <w:rFonts w:ascii="Calibri" w:hAnsi="Calibri"/>
                <w:b w:val="0"/>
                <w:i w:val="0"/>
                <w:color w:val="212121"/>
                <w:sz w:val="19"/>
              </w:rPr>
              <w:t>Dose &gt; 2 g/day or use &gt; 4 years</w:t>
            </w:r>
          </w:p>
        </w:tc>
        <w:tc>
          <w:tcPr>
            <w:tcW w:type="dxa" w:w="1468"/>
            <w:vAlign w:val="top"/>
          </w:tcPr>
          <w:p>
            <w:pPr>
              <w:spacing w:after="60" w:line="259" w:lineRule="auto"/>
            </w:pPr>
            <w:r>
              <w:rPr>
                <w:rFonts w:ascii="Calibri" w:hAnsi="Calibri"/>
                <w:b w:val="0"/>
                <w:i w:val="0"/>
                <w:color w:val="212121"/>
                <w:sz w:val="19"/>
              </w:rPr>
              <w:t>Higher dose and longer duration increase risk of B12 deficiency</w:t>
            </w:r>
          </w:p>
          <w:p>
            <w:pPr>
              <w:spacing w:after="40" w:line="252" w:lineRule="auto"/>
            </w:pPr>
            <w:hyperlink r:id="rId18">
              <w:r>
                <w:rPr>
                  <w:rFonts w:ascii="Calibri" w:hAnsi="Calibri" w:cs="Calibri"/>
                  <w:sz w:val="18"/>
                  <w:color w:val="1155CC"/>
                  <w:u w:val="single"/>
                </w:rPr>
                <w:t xml:space="preserve">https://pmc.ncbi.nlm.nih.gov/articles/PMC10236989/</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&amp; MCV (CBC with indices)</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 12/13 g/dL; MCV 80–100 fL</w:t>
            </w:r>
          </w:p>
        </w:tc>
        <w:tc>
          <w:tcPr>
            <w:tcW w:type="dxa" w:w="950"/>
            <w:vAlign w:val="top"/>
          </w:tcPr>
          <w:p>
            <w:pPr>
              <w:spacing w:after="40" w:before="0" w:line="259" w:lineRule="auto"/>
            </w:pPr>
            <w:r>
              <w:rPr>
                <w:rFonts w:ascii="Calibri" w:hAnsi="Calibri"/>
                <w:b w:val="0"/>
                <w:i w:val="0"/>
                <w:color w:val="212121"/>
                <w:sz w:val="16"/>
              </w:rPr>
              <w:t>Low Hb with MCV &gt; 100 fL</w:t>
            </w:r>
          </w:p>
        </w:tc>
        <w:tc>
          <w:tcPr>
            <w:tcW w:type="dxa" w:w="1036"/>
            <w:vAlign w:val="top"/>
          </w:tcPr>
          <w:p>
            <w:pPr>
              <w:spacing w:after="40" w:before="0" w:line="259" w:lineRule="auto"/>
            </w:pPr>
            <w:r>
              <w:rPr>
                <w:rFonts w:ascii="Calibri" w:hAnsi="Calibri"/>
                <w:b w:val="0"/>
                <w:i w:val="0"/>
                <w:color w:val="212121"/>
                <w:sz w:val="16"/>
              </w:rPr>
              <w:t>Establishes macrocytic anemia and severity; guides further testing</w:t>
            </w:r>
          </w:p>
        </w:tc>
        <w:tc>
          <w:tcPr>
            <w:tcW w:type="dxa" w:w="1036"/>
            <w:vAlign w:val="top"/>
          </w:tcPr>
          <w:p>
            <w:pPr>
              <w:spacing w:after="40" w:before="0" w:line="259" w:lineRule="auto"/>
            </w:pPr>
            <w:r>
              <w:rPr>
                <w:rFonts w:ascii="Calibri" w:hAnsi="Calibri"/>
                <w:b w:val="0"/>
                <w:i w:val="0"/>
                <w:color w:val="212121"/>
                <w:sz w:val="16"/>
              </w:rPr>
              <w:t>Vegetarians, elderly, pregnant women, alcohol users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Coexisting iron deficiency/thalassaemia may mask macrocytosis (dimorphic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Peripheral blood smear</w:t>
            </w:r>
          </w:p>
        </w:tc>
        <w:tc>
          <w:tcPr>
            <w:tcW w:type="dxa" w:w="892"/>
            <w:vAlign w:val="top"/>
          </w:tcPr>
          <w:p>
            <w:pPr>
              <w:spacing w:after="40" w:before="0" w:line="259" w:lineRule="auto"/>
            </w:pPr>
            <w:r>
              <w:rPr>
                <w:rFonts w:ascii="Calibri" w:hAnsi="Calibri"/>
                <w:b w:val="0"/>
                <w:i w:val="0"/>
                <w:color w:val="212121"/>
                <w:sz w:val="16"/>
              </w:rPr>
              <w:t>Blood film examination</w:t>
            </w:r>
          </w:p>
        </w:tc>
        <w:tc>
          <w:tcPr>
            <w:tcW w:type="dxa" w:w="950"/>
            <w:vAlign w:val="top"/>
          </w:tcPr>
          <w:p>
            <w:pPr>
              <w:spacing w:after="40" w:before="0" w:line="259" w:lineRule="auto"/>
            </w:pPr>
            <w:r>
              <w:rPr>
                <w:rFonts w:ascii="Calibri" w:hAnsi="Calibri"/>
                <w:b w:val="0"/>
                <w:i w:val="0"/>
                <w:color w:val="212121"/>
                <w:sz w:val="16"/>
              </w:rPr>
              <w:t>Normochromic normocytic cells</w:t>
            </w:r>
          </w:p>
        </w:tc>
        <w:tc>
          <w:tcPr>
            <w:tcW w:type="dxa" w:w="950"/>
            <w:vAlign w:val="top"/>
          </w:tcPr>
          <w:p>
            <w:pPr>
              <w:spacing w:after="40" w:before="0" w:line="259" w:lineRule="auto"/>
            </w:pPr>
            <w:r>
              <w:rPr>
                <w:rFonts w:ascii="Calibri" w:hAnsi="Calibri"/>
                <w:b w:val="0"/>
                <w:i w:val="0"/>
                <w:color w:val="212121"/>
                <w:sz w:val="16"/>
              </w:rPr>
              <w:t>Macro-ovalocytes + hypersegmented neutrophils</w:t>
            </w:r>
          </w:p>
        </w:tc>
        <w:tc>
          <w:tcPr>
            <w:tcW w:type="dxa" w:w="1036"/>
            <w:vAlign w:val="top"/>
          </w:tcPr>
          <w:p>
            <w:pPr>
              <w:spacing w:after="40" w:before="0" w:line="259" w:lineRule="auto"/>
            </w:pPr>
            <w:r>
              <w:rPr>
                <w:rFonts w:ascii="Calibri" w:hAnsi="Calibri"/>
                <w:b w:val="0"/>
                <w:i w:val="0"/>
                <w:color w:val="212121"/>
                <w:sz w:val="16"/>
              </w:rPr>
              <w:t>Hypersegmentation (≥ 6 lobes) strongly suggests megaloblastic process</w:t>
            </w:r>
          </w:p>
        </w:tc>
        <w:tc>
          <w:tcPr>
            <w:tcW w:type="dxa" w:w="1036"/>
            <w:vAlign w:val="top"/>
          </w:tcPr>
          <w:p>
            <w:pPr>
              <w:spacing w:after="40" w:before="0" w:line="259" w:lineRule="auto"/>
            </w:pPr>
            <w:r>
              <w:rPr>
                <w:rFonts w:ascii="Calibri" w:hAnsi="Calibri"/>
                <w:b w:val="0"/>
                <w:i w:val="0"/>
                <w:color w:val="212121"/>
                <w:sz w:val="16"/>
              </w:rPr>
              <w:t>All suspected megaloblastic anemia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An early and sensitive morphological clue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vitamin B12</w:t>
            </w:r>
          </w:p>
        </w:tc>
        <w:tc>
          <w:tcPr>
            <w:tcW w:type="dxa" w:w="892"/>
            <w:vAlign w:val="top"/>
          </w:tcPr>
          <w:p>
            <w:pPr>
              <w:spacing w:after="40" w:before="0" w:line="259" w:lineRule="auto"/>
            </w:pPr>
            <w:r>
              <w:rPr>
                <w:rFonts w:ascii="Calibri" w:hAnsi="Calibri"/>
                <w:b w:val="0"/>
                <w:i w:val="0"/>
                <w:color w:val="212121"/>
                <w:sz w:val="16"/>
              </w:rPr>
              <w:t>Cobalamin assay</w:t>
            </w:r>
          </w:p>
        </w:tc>
        <w:tc>
          <w:tcPr>
            <w:tcW w:type="dxa" w:w="950"/>
            <w:vAlign w:val="top"/>
          </w:tcPr>
          <w:p>
            <w:pPr>
              <w:spacing w:after="40" w:before="0" w:line="259" w:lineRule="auto"/>
            </w:pPr>
            <w:r>
              <w:rPr>
                <w:rFonts w:ascii="Calibri" w:hAnsi="Calibri"/>
                <w:b w:val="0"/>
                <w:i w:val="0"/>
                <w:color w:val="212121"/>
                <w:sz w:val="16"/>
              </w:rPr>
              <w:t>&gt; 300 pg/mL</w:t>
            </w:r>
          </w:p>
        </w:tc>
        <w:tc>
          <w:tcPr>
            <w:tcW w:type="dxa" w:w="950"/>
            <w:vAlign w:val="top"/>
          </w:tcPr>
          <w:p>
            <w:pPr>
              <w:spacing w:after="40" w:before="0" w:line="259" w:lineRule="auto"/>
            </w:pPr>
            <w:r>
              <w:rPr>
                <w:rFonts w:ascii="Calibri" w:hAnsi="Calibri"/>
                <w:b w:val="0"/>
                <w:i w:val="0"/>
                <w:color w:val="212121"/>
                <w:sz w:val="16"/>
              </w:rPr>
              <w:t>&lt; 200 pg/mL</w:t>
            </w:r>
          </w:p>
        </w:tc>
        <w:tc>
          <w:tcPr>
            <w:tcW w:type="dxa" w:w="1036"/>
            <w:vAlign w:val="top"/>
          </w:tcPr>
          <w:p>
            <w:pPr>
              <w:spacing w:after="40" w:before="0" w:line="259" w:lineRule="auto"/>
            </w:pPr>
            <w:r>
              <w:rPr>
                <w:rFonts w:ascii="Calibri" w:hAnsi="Calibri"/>
                <w:b w:val="0"/>
                <w:i w:val="0"/>
                <w:color w:val="212121"/>
                <w:sz w:val="16"/>
              </w:rPr>
              <w:t>Confirms B12 deficiency; borderline values need metabolite testing</w:t>
            </w:r>
          </w:p>
        </w:tc>
        <w:tc>
          <w:tcPr>
            <w:tcW w:type="dxa" w:w="1036"/>
            <w:vAlign w:val="top"/>
          </w:tcPr>
          <w:p>
            <w:pPr>
              <w:spacing w:after="40" w:before="0" w:line="259" w:lineRule="auto"/>
            </w:pPr>
            <w:r>
              <w:rPr>
                <w:rFonts w:ascii="Calibri" w:hAnsi="Calibri"/>
                <w:b w:val="0"/>
                <w:i w:val="0"/>
                <w:color w:val="212121"/>
                <w:sz w:val="16"/>
              </w:rPr>
              <w:t>Vegetarians, elderly, metformin users, pernicious anemia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Falsely normal in liver disease, myeloproliferative states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 red-cell folate</w:t>
            </w:r>
          </w:p>
        </w:tc>
        <w:tc>
          <w:tcPr>
            <w:tcW w:type="dxa" w:w="892"/>
            <w:vAlign w:val="top"/>
          </w:tcPr>
          <w:p>
            <w:pPr>
              <w:spacing w:after="40" w:before="0" w:line="259" w:lineRule="auto"/>
            </w:pPr>
            <w:r>
              <w:rPr>
                <w:rFonts w:ascii="Calibri" w:hAnsi="Calibri"/>
                <w:b w:val="0"/>
                <w:i w:val="0"/>
                <w:color w:val="212121"/>
                <w:sz w:val="16"/>
              </w:rPr>
              <w:t>Folate assay</w:t>
            </w:r>
          </w:p>
        </w:tc>
        <w:tc>
          <w:tcPr>
            <w:tcW w:type="dxa" w:w="950"/>
            <w:vAlign w:val="top"/>
          </w:tcPr>
          <w:p>
            <w:pPr>
              <w:spacing w:after="40" w:before="0" w:line="259" w:lineRule="auto"/>
            </w:pPr>
            <w:r>
              <w:rPr>
                <w:rFonts w:ascii="Calibri" w:hAnsi="Calibri"/>
                <w:b w:val="0"/>
                <w:i w:val="0"/>
                <w:color w:val="212121"/>
                <w:sz w:val="16"/>
              </w:rPr>
              <w:t>Serum &gt; 4 ng/mL</w:t>
            </w:r>
          </w:p>
        </w:tc>
        <w:tc>
          <w:tcPr>
            <w:tcW w:type="dxa" w:w="950"/>
            <w:vAlign w:val="top"/>
          </w:tcPr>
          <w:p>
            <w:pPr>
              <w:spacing w:after="40" w:before="0" w:line="259" w:lineRule="auto"/>
            </w:pPr>
            <w:r>
              <w:rPr>
                <w:rFonts w:ascii="Calibri" w:hAnsi="Calibri"/>
                <w:b w:val="0"/>
                <w:i w:val="0"/>
                <w:color w:val="212121"/>
                <w:sz w:val="16"/>
              </w:rPr>
              <w:t>Serum &lt; 2 ng/mL</w:t>
            </w:r>
          </w:p>
        </w:tc>
        <w:tc>
          <w:tcPr>
            <w:tcW w:type="dxa" w:w="1036"/>
            <w:vAlign w:val="top"/>
          </w:tcPr>
          <w:p>
            <w:pPr>
              <w:spacing w:after="40" w:before="0" w:line="259" w:lineRule="auto"/>
            </w:pPr>
            <w:r>
              <w:rPr>
                <w:rFonts w:ascii="Calibri" w:hAnsi="Calibri"/>
                <w:b w:val="0"/>
                <w:i w:val="0"/>
                <w:color w:val="212121"/>
                <w:sz w:val="16"/>
              </w:rPr>
              <w:t>Confirms folate deficiency; red-cell folate reflects tissue stores</w:t>
            </w:r>
          </w:p>
        </w:tc>
        <w:tc>
          <w:tcPr>
            <w:tcW w:type="dxa" w:w="1036"/>
            <w:vAlign w:val="top"/>
          </w:tcPr>
          <w:p>
            <w:pPr>
              <w:spacing w:after="40" w:before="0" w:line="259" w:lineRule="auto"/>
            </w:pPr>
            <w:r>
              <w:rPr>
                <w:rFonts w:ascii="Calibri" w:hAnsi="Calibri"/>
                <w:b w:val="0"/>
                <w:i w:val="0"/>
                <w:color w:val="212121"/>
                <w:sz w:val="16"/>
              </w:rPr>
              <w:t>Alcohol users, pregnant women, poor diet</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Serum folate normalises quickly after a meal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Methylmalonic acid &amp; homocysteine</w:t>
            </w:r>
          </w:p>
        </w:tc>
        <w:tc>
          <w:tcPr>
            <w:tcW w:type="dxa" w:w="892"/>
            <w:vAlign w:val="top"/>
          </w:tcPr>
          <w:p>
            <w:pPr>
              <w:spacing w:after="40" w:before="0" w:line="259" w:lineRule="auto"/>
            </w:pPr>
            <w:r>
              <w:rPr>
                <w:rFonts w:ascii="Calibri" w:hAnsi="Calibri"/>
                <w:b w:val="0"/>
                <w:i w:val="0"/>
                <w:color w:val="212121"/>
                <w:sz w:val="16"/>
              </w:rPr>
              <w:t>Metabolite assays</w:t>
            </w:r>
          </w:p>
        </w:tc>
        <w:tc>
          <w:tcPr>
            <w:tcW w:type="dxa" w:w="950"/>
            <w:vAlign w:val="top"/>
          </w:tcPr>
          <w:p>
            <w:pPr>
              <w:spacing w:after="40" w:before="0" w:line="259" w:lineRule="auto"/>
            </w:pPr>
            <w:r>
              <w:rPr>
                <w:rFonts w:ascii="Calibri" w:hAnsi="Calibri"/>
                <w:b w:val="0"/>
                <w:i w:val="0"/>
                <w:color w:val="212121"/>
                <w:sz w:val="16"/>
              </w:rPr>
              <w:t>Both within reference range</w:t>
            </w:r>
          </w:p>
        </w:tc>
        <w:tc>
          <w:tcPr>
            <w:tcW w:type="dxa" w:w="950"/>
            <w:vAlign w:val="top"/>
          </w:tcPr>
          <w:p>
            <w:pPr>
              <w:spacing w:after="40" w:before="0" w:line="259" w:lineRule="auto"/>
            </w:pPr>
            <w:r>
              <w:rPr>
                <w:rFonts w:ascii="Calibri" w:hAnsi="Calibri"/>
                <w:b w:val="0"/>
                <w:i w:val="0"/>
                <w:color w:val="212121"/>
                <w:sz w:val="16"/>
              </w:rPr>
              <w:t>↑ MMA + ↑ Hcy (B12); ↑ Hcy, normal MMA (folate)</w:t>
            </w:r>
          </w:p>
        </w:tc>
        <w:tc>
          <w:tcPr>
            <w:tcW w:type="dxa" w:w="1036"/>
            <w:vAlign w:val="top"/>
          </w:tcPr>
          <w:p>
            <w:pPr>
              <w:spacing w:after="40" w:before="0" w:line="259" w:lineRule="auto"/>
            </w:pPr>
            <w:r>
              <w:rPr>
                <w:rFonts w:ascii="Calibri" w:hAnsi="Calibri"/>
                <w:b w:val="0"/>
                <w:i w:val="0"/>
                <w:color w:val="212121"/>
                <w:sz w:val="16"/>
              </w:rPr>
              <w:t>Confirm functional deficiency and distinguish B12 from folate</w:t>
            </w:r>
          </w:p>
        </w:tc>
        <w:tc>
          <w:tcPr>
            <w:tcW w:type="dxa" w:w="1036"/>
            <w:vAlign w:val="top"/>
          </w:tcPr>
          <w:p>
            <w:pPr>
              <w:spacing w:after="40" w:before="0" w:line="259" w:lineRule="auto"/>
            </w:pPr>
            <w:r>
              <w:rPr>
                <w:rFonts w:ascii="Calibri" w:hAnsi="Calibri"/>
                <w:b w:val="0"/>
                <w:i w:val="0"/>
                <w:color w:val="212121"/>
                <w:sz w:val="16"/>
              </w:rPr>
              <w:t>Borderline vitamin levels, neuropathy, CVD risk</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Most sensitive early markers of tissue deficiency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LDH, indirect bilirubin, reticulocytes</w:t>
            </w:r>
          </w:p>
        </w:tc>
        <w:tc>
          <w:tcPr>
            <w:tcW w:type="dxa" w:w="892"/>
            <w:vAlign w:val="top"/>
          </w:tcPr>
          <w:p>
            <w:pPr>
              <w:spacing w:after="40" w:before="0" w:line="259" w:lineRule="auto"/>
            </w:pPr>
            <w:r>
              <w:rPr>
                <w:rFonts w:ascii="Calibri" w:hAnsi="Calibri"/>
                <w:b w:val="0"/>
                <w:i w:val="0"/>
                <w:color w:val="212121"/>
                <w:sz w:val="16"/>
              </w:rPr>
              <w:t>Haemolysis / erythropoiesis panel</w:t>
            </w:r>
          </w:p>
        </w:tc>
        <w:tc>
          <w:tcPr>
            <w:tcW w:type="dxa" w:w="950"/>
            <w:vAlign w:val="top"/>
          </w:tcPr>
          <w:p>
            <w:pPr>
              <w:spacing w:after="40" w:before="0" w:line="259" w:lineRule="auto"/>
            </w:pPr>
            <w:r>
              <w:rPr>
                <w:rFonts w:ascii="Calibri" w:hAnsi="Calibri"/>
                <w:b w:val="0"/>
                <w:i w:val="0"/>
                <w:color w:val="212121"/>
                <w:sz w:val="16"/>
              </w:rPr>
              <w:t>Normal LDH &amp; bilirubin; normal reticulocytes</w:t>
            </w:r>
          </w:p>
        </w:tc>
        <w:tc>
          <w:tcPr>
            <w:tcW w:type="dxa" w:w="950"/>
            <w:vAlign w:val="top"/>
          </w:tcPr>
          <w:p>
            <w:pPr>
              <w:spacing w:after="40" w:before="0" w:line="259" w:lineRule="auto"/>
            </w:pPr>
            <w:r>
              <w:rPr>
                <w:rFonts w:ascii="Calibri" w:hAnsi="Calibri"/>
                <w:b w:val="0"/>
                <w:i w:val="0"/>
                <w:color w:val="212121"/>
                <w:sz w:val="16"/>
              </w:rPr>
              <w:t>↑ LDH, ↑ indirect bilirubin, low reticulocytes</w:t>
            </w:r>
          </w:p>
        </w:tc>
        <w:tc>
          <w:tcPr>
            <w:tcW w:type="dxa" w:w="1036"/>
            <w:vAlign w:val="top"/>
          </w:tcPr>
          <w:p>
            <w:pPr>
              <w:spacing w:after="40" w:before="0" w:line="259" w:lineRule="auto"/>
            </w:pPr>
            <w:r>
              <w:rPr>
                <w:rFonts w:ascii="Calibri" w:hAnsi="Calibri"/>
                <w:b w:val="0"/>
                <w:i w:val="0"/>
                <w:color w:val="212121"/>
                <w:sz w:val="16"/>
              </w:rPr>
              <w:t>Reflects ineffective erythropoiesis (intramedullary haemolysis)</w:t>
            </w:r>
          </w:p>
        </w:tc>
        <w:tc>
          <w:tcPr>
            <w:tcW w:type="dxa" w:w="1036"/>
            <w:vAlign w:val="top"/>
          </w:tcPr>
          <w:p>
            <w:pPr>
              <w:spacing w:after="40" w:before="0" w:line="259" w:lineRule="auto"/>
            </w:pPr>
            <w:r>
              <w:rPr>
                <w:rFonts w:ascii="Calibri" w:hAnsi="Calibri"/>
                <w:b w:val="0"/>
                <w:i w:val="0"/>
                <w:color w:val="212121"/>
                <w:sz w:val="16"/>
              </w:rPr>
              <w:t>Severe megaloblastic anemia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May mimic haemolytic anemia; markedly raised LDH is characteristic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Anti-intrinsic-factor &amp; anti-parietal-cell antibodies</w:t>
            </w:r>
          </w:p>
        </w:tc>
        <w:tc>
          <w:tcPr>
            <w:tcW w:type="dxa" w:w="892"/>
            <w:vAlign w:val="top"/>
          </w:tcPr>
          <w:p>
            <w:pPr>
              <w:spacing w:after="40" w:before="0" w:line="259" w:lineRule="auto"/>
            </w:pPr>
            <w:r>
              <w:rPr>
                <w:rFonts w:ascii="Calibri" w:hAnsi="Calibri"/>
                <w:b w:val="0"/>
                <w:i w:val="0"/>
                <w:color w:val="212121"/>
                <w:sz w:val="16"/>
              </w:rPr>
              <w:t>Autoantibody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(esp. anti-IF)</w:t>
            </w:r>
          </w:p>
        </w:tc>
        <w:tc>
          <w:tcPr>
            <w:tcW w:type="dxa" w:w="1036"/>
            <w:vAlign w:val="top"/>
          </w:tcPr>
          <w:p>
            <w:pPr>
              <w:spacing w:after="40" w:before="0" w:line="259" w:lineRule="auto"/>
            </w:pPr>
            <w:r>
              <w:rPr>
                <w:rFonts w:ascii="Calibri" w:hAnsi="Calibri"/>
                <w:b w:val="0"/>
                <w:i w:val="0"/>
                <w:color w:val="212121"/>
                <w:sz w:val="16"/>
              </w:rPr>
              <w:t>Confirms pernicious anemia as the cause of B12 deficiency</w:t>
            </w:r>
          </w:p>
        </w:tc>
        <w:tc>
          <w:tcPr>
            <w:tcW w:type="dxa" w:w="1036"/>
            <w:vAlign w:val="top"/>
          </w:tcPr>
          <w:p>
            <w:pPr>
              <w:spacing w:after="40" w:before="0" w:line="259" w:lineRule="auto"/>
            </w:pPr>
            <w:r>
              <w:rPr>
                <w:rFonts w:ascii="Calibri" w:hAnsi="Calibri"/>
                <w:b w:val="0"/>
                <w:i w:val="0"/>
                <w:color w:val="212121"/>
                <w:sz w:val="16"/>
              </w:rPr>
              <w:t>Adults/elderly with B12 deficiency, autoimmune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Anti-IF is specific (~70% sensitive)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Bone marrow examination</w:t>
            </w:r>
          </w:p>
        </w:tc>
        <w:tc>
          <w:tcPr>
            <w:tcW w:type="dxa" w:w="892"/>
            <w:vAlign w:val="top"/>
          </w:tcPr>
          <w:p>
            <w:pPr>
              <w:spacing w:after="40" w:before="0" w:line="259" w:lineRule="auto"/>
            </w:pPr>
            <w:r>
              <w:rPr>
                <w:rFonts w:ascii="Calibri" w:hAnsi="Calibri"/>
                <w:b w:val="0"/>
                <w:i w:val="0"/>
                <w:color w:val="212121"/>
                <w:sz w:val="16"/>
              </w:rPr>
              <w:t>Marrow aspirate/biopsy</w:t>
            </w:r>
          </w:p>
        </w:tc>
        <w:tc>
          <w:tcPr>
            <w:tcW w:type="dxa" w:w="950"/>
            <w:vAlign w:val="top"/>
          </w:tcPr>
          <w:p>
            <w:pPr>
              <w:spacing w:after="40" w:before="0" w:line="259" w:lineRule="auto"/>
            </w:pPr>
            <w:r>
              <w:rPr>
                <w:rFonts w:ascii="Calibri" w:hAnsi="Calibri"/>
                <w:b w:val="0"/>
                <w:i w:val="0"/>
                <w:color w:val="212121"/>
                <w:sz w:val="16"/>
              </w:rPr>
              <w:t>Normoblastic erythropoiesis</w:t>
            </w:r>
          </w:p>
        </w:tc>
        <w:tc>
          <w:tcPr>
            <w:tcW w:type="dxa" w:w="950"/>
            <w:vAlign w:val="top"/>
          </w:tcPr>
          <w:p>
            <w:pPr>
              <w:spacing w:after="40" w:before="0" w:line="259" w:lineRule="auto"/>
            </w:pPr>
            <w:r>
              <w:rPr>
                <w:rFonts w:ascii="Calibri" w:hAnsi="Calibri"/>
                <w:b w:val="0"/>
                <w:i w:val="0"/>
                <w:color w:val="212121"/>
                <w:sz w:val="16"/>
              </w:rPr>
              <w:t>Megaloblastic erythropoiesis, giant metamyelocytes</w:t>
            </w:r>
          </w:p>
        </w:tc>
        <w:tc>
          <w:tcPr>
            <w:tcW w:type="dxa" w:w="1036"/>
            <w:vAlign w:val="top"/>
          </w:tcPr>
          <w:p>
            <w:pPr>
              <w:spacing w:after="40" w:before="0" w:line="259" w:lineRule="auto"/>
            </w:pPr>
            <w:r>
              <w:rPr>
                <w:rFonts w:ascii="Calibri" w:hAnsi="Calibri"/>
                <w:b w:val="0"/>
                <w:i w:val="0"/>
                <w:color w:val="212121"/>
                <w:sz w:val="16"/>
              </w:rPr>
              <w:t>Confirms diagnosis and excludes MDS/leukaemia when uncertain</w:t>
            </w:r>
          </w:p>
        </w:tc>
        <w:tc>
          <w:tcPr>
            <w:tcW w:type="dxa" w:w="1036"/>
            <w:vAlign w:val="top"/>
          </w:tcPr>
          <w:p>
            <w:pPr>
              <w:spacing w:after="40" w:before="0" w:line="259" w:lineRule="auto"/>
            </w:pPr>
            <w:r>
              <w:rPr>
                <w:rFonts w:ascii="Calibri" w:hAnsi="Calibri"/>
                <w:b w:val="0"/>
                <w:i w:val="0"/>
                <w:color w:val="212121"/>
                <w:sz w:val="16"/>
              </w:rPr>
              <w:t>Pancytopenia, atypical/unresponsive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 (selective)</w:t>
            </w:r>
          </w:p>
        </w:tc>
        <w:tc>
          <w:tcPr>
            <w:tcW w:type="dxa" w:w="720"/>
            <w:vAlign w:val="top"/>
          </w:tcPr>
          <w:p>
            <w:pPr>
              <w:spacing w:after="40" w:before="0" w:line="259" w:lineRule="auto"/>
            </w:pPr>
            <w:r>
              <w:rPr>
                <w:rFonts w:ascii="Calibri" w:hAnsi="Calibri"/>
                <w:b w:val="0"/>
                <w:i w:val="0"/>
                <w:color w:val="212121"/>
                <w:sz w:val="16"/>
              </w:rPr>
              <w:t>Reserved for diagnostic doubt; megaloblastic anemia is a leading cause of nutritional pancytopenia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Vegetarian/vegan diet, food faddism</w:t>
            </w:r>
          </w:p>
        </w:tc>
        <w:tc>
          <w:tcPr>
            <w:tcW w:type="dxa" w:w="950"/>
            <w:vAlign w:val="top"/>
          </w:tcPr>
          <w:p>
            <w:pPr>
              <w:spacing w:after="40" w:before="0" w:line="259" w:lineRule="auto"/>
            </w:pPr>
            <w:r>
              <w:rPr>
                <w:rFonts w:ascii="Calibri" w:hAnsi="Calibri"/>
                <w:b w:val="0"/>
                <w:i w:val="0"/>
                <w:color w:val="212121"/>
                <w:sz w:val="16"/>
              </w:rPr>
              <w:t>Balanced diet with animal-source foods</w:t>
            </w:r>
          </w:p>
        </w:tc>
        <w:tc>
          <w:tcPr>
            <w:tcW w:type="dxa" w:w="950"/>
            <w:vAlign w:val="top"/>
          </w:tcPr>
          <w:p>
            <w:pPr>
              <w:spacing w:after="40" w:before="0" w:line="259" w:lineRule="auto"/>
            </w:pPr>
            <w:r>
              <w:rPr>
                <w:rFonts w:ascii="Calibri" w:hAnsi="Calibri"/>
                <w:b w:val="0"/>
                <w:i w:val="0"/>
                <w:color w:val="212121"/>
                <w:sz w:val="16"/>
              </w:rPr>
              <w:t>Strict vegetarian/vegan or restricted diet</w:t>
            </w:r>
          </w:p>
        </w:tc>
        <w:tc>
          <w:tcPr>
            <w:tcW w:type="dxa" w:w="1036"/>
            <w:vAlign w:val="top"/>
          </w:tcPr>
          <w:p>
            <w:pPr>
              <w:spacing w:after="40" w:before="0" w:line="259" w:lineRule="auto"/>
            </w:pPr>
            <w:r>
              <w:rPr>
                <w:rFonts w:ascii="Calibri" w:hAnsi="Calibri"/>
                <w:b w:val="0"/>
                <w:i w:val="0"/>
                <w:color w:val="212121"/>
                <w:sz w:val="16"/>
              </w:rPr>
              <w:t>Identifies the commonest Indian cause of B12 deficiency</w:t>
            </w:r>
          </w:p>
        </w:tc>
        <w:tc>
          <w:tcPr>
            <w:tcW w:type="dxa" w:w="1036"/>
            <w:vAlign w:val="top"/>
          </w:tcPr>
          <w:p>
            <w:pPr>
              <w:spacing w:after="40" w:before="0" w:line="259" w:lineRule="auto"/>
            </w:pPr>
            <w:r>
              <w:rPr>
                <w:rFonts w:ascii="Calibri" w:hAnsi="Calibri"/>
                <w:b w:val="0"/>
                <w:i w:val="0"/>
                <w:color w:val="212121"/>
                <w:sz w:val="16"/>
              </w:rPr>
              <w:t>Vegetarians, low-income,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dairy/egg intake and duration of vegetarianism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alcohol history</w:t>
            </w:r>
          </w:p>
        </w:tc>
        <w:tc>
          <w:tcPr>
            <w:tcW w:type="dxa" w:w="979"/>
            <w:vAlign w:val="top"/>
          </w:tcPr>
          <w:p>
            <w:pPr>
              <w:spacing w:after="40" w:before="0" w:line="259" w:lineRule="auto"/>
            </w:pPr>
            <w:r>
              <w:rPr>
                <w:rFonts w:ascii="Calibri" w:hAnsi="Calibri"/>
                <w:b w:val="0"/>
                <w:i w:val="0"/>
                <w:color w:val="212121"/>
                <w:sz w:val="16"/>
              </w:rPr>
              <w:t>Metformin, PPIs, methotrexate, nitrous oxide, alcohol</w:t>
            </w:r>
          </w:p>
        </w:tc>
        <w:tc>
          <w:tcPr>
            <w:tcW w:type="dxa" w:w="950"/>
            <w:vAlign w:val="top"/>
          </w:tcPr>
          <w:p>
            <w:pPr>
              <w:spacing w:after="40" w:before="0" w:line="259" w:lineRule="auto"/>
            </w:pPr>
            <w:r>
              <w:rPr>
                <w:rFonts w:ascii="Calibri" w:hAnsi="Calibri"/>
                <w:b w:val="0"/>
                <w:i w:val="0"/>
                <w:color w:val="212121"/>
                <w:sz w:val="16"/>
              </w:rPr>
              <w:t>No relevant drugs; minimal alcohol</w:t>
            </w:r>
          </w:p>
        </w:tc>
        <w:tc>
          <w:tcPr>
            <w:tcW w:type="dxa" w:w="950"/>
            <w:vAlign w:val="top"/>
          </w:tcPr>
          <w:p>
            <w:pPr>
              <w:spacing w:after="40" w:before="0" w:line="259" w:lineRule="auto"/>
            </w:pPr>
            <w:r>
              <w:rPr>
                <w:rFonts w:ascii="Calibri" w:hAnsi="Calibri"/>
                <w:b w:val="0"/>
                <w:i w:val="0"/>
                <w:color w:val="212121"/>
                <w:sz w:val="16"/>
              </w:rPr>
              <w:t>Long-term metformin/PPI, folate antagonists, heavy alcohol</w:t>
            </w:r>
          </w:p>
        </w:tc>
        <w:tc>
          <w:tcPr>
            <w:tcW w:type="dxa" w:w="1036"/>
            <w:vAlign w:val="top"/>
          </w:tcPr>
          <w:p>
            <w:pPr>
              <w:spacing w:after="40" w:before="0" w:line="259" w:lineRule="auto"/>
            </w:pPr>
            <w:r>
              <w:rPr>
                <w:rFonts w:ascii="Calibri" w:hAnsi="Calibri"/>
                <w:b w:val="0"/>
                <w:i w:val="0"/>
                <w:color w:val="212121"/>
                <w:sz w:val="16"/>
              </w:rPr>
              <w:t>Reveals iatrogenic and alcohol-related causes</w:t>
            </w:r>
          </w:p>
        </w:tc>
        <w:tc>
          <w:tcPr>
            <w:tcW w:type="dxa" w:w="1036"/>
            <w:vAlign w:val="top"/>
          </w:tcPr>
          <w:p>
            <w:pPr>
              <w:spacing w:after="40" w:before="0" w:line="259" w:lineRule="auto"/>
            </w:pPr>
            <w:r>
              <w:rPr>
                <w:rFonts w:ascii="Calibri" w:hAnsi="Calibri"/>
                <w:b w:val="0"/>
                <w:i w:val="0"/>
                <w:color w:val="212121"/>
                <w:sz w:val="16"/>
              </w:rPr>
              <w:t>Diabetics, chronic acid-suppression, drinkers</w:t>
            </w:r>
          </w:p>
        </w:tc>
        <w:tc>
          <w:tcPr>
            <w:tcW w:type="dxa" w:w="720"/>
            <w:vAlign w:val="top"/>
          </w:tcPr>
          <w:p>
            <w:pPr>
              <w:spacing w:after="40" w:before="0" w:line="259" w:lineRule="auto"/>
            </w:pPr>
            <w:r>
              <w:rPr>
                <w:rFonts w:ascii="Calibri" w:hAnsi="Calibri"/>
                <w:b w:val="0"/>
                <w:i w:val="0"/>
                <w:color w:val="212121"/>
                <w:sz w:val="16"/>
              </w:rPr>
              <w:t>Provoking factors;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Metformin risk rises with dose and duration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Neurological symptom review</w:t>
            </w:r>
          </w:p>
        </w:tc>
        <w:tc>
          <w:tcPr>
            <w:tcW w:type="dxa" w:w="979"/>
            <w:vAlign w:val="top"/>
          </w:tcPr>
          <w:p>
            <w:pPr>
              <w:spacing w:after="40" w:before="0" w:line="259" w:lineRule="auto"/>
            </w:pPr>
            <w:r>
              <w:rPr>
                <w:rFonts w:ascii="Calibri" w:hAnsi="Calibri"/>
                <w:b w:val="0"/>
                <w:i w:val="0"/>
                <w:color w:val="212121"/>
                <w:sz w:val="16"/>
              </w:rPr>
              <w:t>Paraesthesiae, gait/balance, memory, mood</w:t>
            </w:r>
          </w:p>
        </w:tc>
        <w:tc>
          <w:tcPr>
            <w:tcW w:type="dxa" w:w="950"/>
            <w:vAlign w:val="top"/>
          </w:tcPr>
          <w:p>
            <w:pPr>
              <w:spacing w:after="40" w:before="0" w:line="259" w:lineRule="auto"/>
            </w:pPr>
            <w:r>
              <w:rPr>
                <w:rFonts w:ascii="Calibri" w:hAnsi="Calibri"/>
                <w:b w:val="0"/>
                <w:i w:val="0"/>
                <w:color w:val="212121"/>
                <w:sz w:val="16"/>
              </w:rPr>
              <w:t>No neurological symptoms</w:t>
            </w:r>
          </w:p>
        </w:tc>
        <w:tc>
          <w:tcPr>
            <w:tcW w:type="dxa" w:w="950"/>
            <w:vAlign w:val="top"/>
          </w:tcPr>
          <w:p>
            <w:pPr>
              <w:spacing w:after="40" w:before="0" w:line="259" w:lineRule="auto"/>
            </w:pPr>
            <w:r>
              <w:rPr>
                <w:rFonts w:ascii="Calibri" w:hAnsi="Calibri"/>
                <w:b w:val="0"/>
                <w:i w:val="0"/>
                <w:color w:val="212121"/>
                <w:sz w:val="16"/>
              </w:rPr>
              <w:t>Numbness/tingling, unsteadiness, cognitive or mood change</w:t>
            </w:r>
          </w:p>
        </w:tc>
        <w:tc>
          <w:tcPr>
            <w:tcW w:type="dxa" w:w="1036"/>
            <w:vAlign w:val="top"/>
          </w:tcPr>
          <w:p>
            <w:pPr>
              <w:spacing w:after="40" w:before="0" w:line="259" w:lineRule="auto"/>
            </w:pPr>
            <w:r>
              <w:rPr>
                <w:rFonts w:ascii="Calibri" w:hAnsi="Calibri"/>
                <w:b w:val="0"/>
                <w:i w:val="0"/>
                <w:color w:val="212121"/>
                <w:sz w:val="16"/>
              </w:rPr>
              <w:t>Flags subacute combined degeneration — a treatment emergency</w:t>
            </w:r>
          </w:p>
        </w:tc>
        <w:tc>
          <w:tcPr>
            <w:tcW w:type="dxa" w:w="1036"/>
            <w:vAlign w:val="top"/>
          </w:tcPr>
          <w:p>
            <w:pPr>
              <w:spacing w:after="40" w:before="0" w:line="259" w:lineRule="auto"/>
            </w:pPr>
            <w:r>
              <w:rPr>
                <w:rFonts w:ascii="Calibri" w:hAnsi="Calibri"/>
                <w:b w:val="0"/>
                <w:i w:val="0"/>
                <w:color w:val="212121"/>
                <w:sz w:val="16"/>
              </w:rPr>
              <w:t>B12-deficient adults &amp; elderly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Neuropsychiatric features may precede anemia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inspection</w:t>
            </w:r>
          </w:p>
        </w:tc>
        <w:tc>
          <w:tcPr>
            <w:tcW w:type="dxa" w:w="979"/>
            <w:vAlign w:val="top"/>
          </w:tcPr>
          <w:p>
            <w:pPr>
              <w:spacing w:after="40" w:before="0" w:line="259" w:lineRule="auto"/>
            </w:pPr>
            <w:r>
              <w:rPr>
                <w:rFonts w:ascii="Calibri" w:hAnsi="Calibri"/>
                <w:b w:val="0"/>
                <w:i w:val="0"/>
                <w:color w:val="212121"/>
                <w:sz w:val="16"/>
              </w:rPr>
              <w:t>Pallor, glossitis, angular stomatitis, jaundice</w:t>
            </w:r>
          </w:p>
        </w:tc>
        <w:tc>
          <w:tcPr>
            <w:tcW w:type="dxa" w:w="950"/>
            <w:vAlign w:val="top"/>
          </w:tcPr>
          <w:p>
            <w:pPr>
              <w:spacing w:after="40" w:before="0" w:line="259" w:lineRule="auto"/>
            </w:pPr>
            <w:r>
              <w:rPr>
                <w:rFonts w:ascii="Calibri" w:hAnsi="Calibri"/>
                <w:b w:val="0"/>
                <w:i w:val="0"/>
                <w:color w:val="212121"/>
                <w:sz w:val="16"/>
              </w:rPr>
              <w:t>Pink mucosae, normal tongue</w:t>
            </w:r>
          </w:p>
        </w:tc>
        <w:tc>
          <w:tcPr>
            <w:tcW w:type="dxa" w:w="950"/>
            <w:vAlign w:val="top"/>
          </w:tcPr>
          <w:p>
            <w:pPr>
              <w:spacing w:after="40" w:before="0" w:line="259" w:lineRule="auto"/>
            </w:pPr>
            <w:r>
              <w:rPr>
                <w:rFonts w:ascii="Calibri" w:hAnsi="Calibri"/>
                <w:b w:val="0"/>
                <w:i w:val="0"/>
                <w:color w:val="212121"/>
                <w:sz w:val="16"/>
              </w:rPr>
              <w:t>Pallor, smooth beefy-red tongue, lemon-yellow tint</w:t>
            </w:r>
          </w:p>
        </w:tc>
        <w:tc>
          <w:tcPr>
            <w:tcW w:type="dxa" w:w="1036"/>
            <w:vAlign w:val="top"/>
          </w:tcPr>
          <w:p>
            <w:pPr>
              <w:spacing w:after="40" w:before="0" w:line="259" w:lineRule="auto"/>
            </w:pPr>
            <w:r>
              <w:rPr>
                <w:rFonts w:ascii="Calibri" w:hAnsi="Calibri"/>
                <w:b w:val="0"/>
                <w:i w:val="0"/>
                <w:color w:val="212121"/>
                <w:sz w:val="16"/>
              </w:rPr>
              <w:t>Classic signs of megaloblastic anemia with ineffective erythropoiesis</w:t>
            </w:r>
          </w:p>
        </w:tc>
        <w:tc>
          <w:tcPr>
            <w:tcW w:type="dxa" w:w="1036"/>
            <w:vAlign w:val="top"/>
          </w:tcPr>
          <w:p>
            <w:pPr>
              <w:spacing w:after="40" w:before="0" w:line="259" w:lineRule="auto"/>
            </w:pPr>
            <w:r>
              <w:rPr>
                <w:rFonts w:ascii="Calibri" w:hAnsi="Calibri"/>
                <w:b w:val="0"/>
                <w:i w:val="0"/>
                <w:color w:val="212121"/>
                <w:sz w:val="16"/>
              </w:rPr>
              <w:t>Symptomatic anemia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Lemon-yellow skin = pallor plus mild jaundice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Vibration/proprioception, Romberg, reflexes, plantars</w:t>
            </w:r>
          </w:p>
        </w:tc>
        <w:tc>
          <w:tcPr>
            <w:tcW w:type="dxa" w:w="950"/>
            <w:vAlign w:val="top"/>
          </w:tcPr>
          <w:p>
            <w:pPr>
              <w:spacing w:after="40" w:before="0" w:line="259" w:lineRule="auto"/>
            </w:pPr>
            <w:r>
              <w:rPr>
                <w:rFonts w:ascii="Calibri" w:hAnsi="Calibri"/>
                <w:b w:val="0"/>
                <w:i w:val="0"/>
                <w:color w:val="212121"/>
                <w:sz w:val="16"/>
              </w:rPr>
              <w:t>Intact posterior columns; normal reflexes</w:t>
            </w:r>
          </w:p>
        </w:tc>
        <w:tc>
          <w:tcPr>
            <w:tcW w:type="dxa" w:w="950"/>
            <w:vAlign w:val="top"/>
          </w:tcPr>
          <w:p>
            <w:pPr>
              <w:spacing w:after="40" w:before="0" w:line="259" w:lineRule="auto"/>
            </w:pPr>
            <w:r>
              <w:rPr>
                <w:rFonts w:ascii="Calibri" w:hAnsi="Calibri"/>
                <w:b w:val="0"/>
                <w:i w:val="0"/>
                <w:color w:val="212121"/>
                <w:sz w:val="16"/>
              </w:rPr>
              <w:t>Reduced vibration/proprioception, positive Romberg, absent ankle jerks with extensor plantars</w:t>
            </w:r>
          </w:p>
        </w:tc>
        <w:tc>
          <w:tcPr>
            <w:tcW w:type="dxa" w:w="1036"/>
            <w:vAlign w:val="top"/>
          </w:tcPr>
          <w:p>
            <w:pPr>
              <w:spacing w:after="40" w:before="0" w:line="259" w:lineRule="auto"/>
            </w:pPr>
            <w:r>
              <w:rPr>
                <w:rFonts w:ascii="Calibri" w:hAnsi="Calibri"/>
                <w:b w:val="0"/>
                <w:i w:val="0"/>
                <w:color w:val="212121"/>
                <w:sz w:val="16"/>
              </w:rPr>
              <w:t>Signs of subacute combined degeneration of the cord</w:t>
            </w:r>
          </w:p>
        </w:tc>
        <w:tc>
          <w:tcPr>
            <w:tcW w:type="dxa" w:w="1036"/>
            <w:vAlign w:val="top"/>
          </w:tcPr>
          <w:p>
            <w:pPr>
              <w:spacing w:after="40" w:before="0" w:line="259" w:lineRule="auto"/>
            </w:pPr>
            <w:r>
              <w:rPr>
                <w:rFonts w:ascii="Calibri" w:hAnsi="Calibri"/>
                <w:b w:val="0"/>
                <w:i w:val="0"/>
                <w:color w:val="212121"/>
                <w:sz w:val="16"/>
              </w:rPr>
              <w:t>B12-deficient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Early treatment may reverse deficits; delay risks permanent disability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&amp; life-stage history</w:t>
            </w:r>
          </w:p>
        </w:tc>
        <w:tc>
          <w:tcPr>
            <w:tcW w:type="dxa" w:w="979"/>
            <w:vAlign w:val="top"/>
          </w:tcPr>
          <w:p>
            <w:pPr>
              <w:spacing w:after="40" w:before="0" w:line="259" w:lineRule="auto"/>
            </w:pPr>
            <w:r>
              <w:rPr>
                <w:rFonts w:ascii="Calibri" w:hAnsi="Calibri"/>
                <w:b w:val="0"/>
                <w:i w:val="0"/>
                <w:color w:val="212121"/>
                <w:sz w:val="16"/>
              </w:rPr>
              <w:t>Pregnancy, lactation, infancy, adolescence</w:t>
            </w:r>
          </w:p>
        </w:tc>
        <w:tc>
          <w:tcPr>
            <w:tcW w:type="dxa" w:w="950"/>
            <w:vAlign w:val="top"/>
          </w:tcPr>
          <w:p>
            <w:pPr>
              <w:spacing w:after="40" w:before="0" w:line="259" w:lineRule="auto"/>
            </w:pPr>
            <w:r>
              <w:rPr>
                <w:rFonts w:ascii="Calibri" w:hAnsi="Calibri"/>
                <w:b w:val="0"/>
                <w:i w:val="0"/>
                <w:color w:val="212121"/>
                <w:sz w:val="16"/>
              </w:rPr>
              <w:t>No increased-demand state</w:t>
            </w:r>
          </w:p>
        </w:tc>
        <w:tc>
          <w:tcPr>
            <w:tcW w:type="dxa" w:w="950"/>
            <w:vAlign w:val="top"/>
          </w:tcPr>
          <w:p>
            <w:pPr>
              <w:spacing w:after="40" w:before="0" w:line="259" w:lineRule="auto"/>
            </w:pPr>
            <w:r>
              <w:rPr>
                <w:rFonts w:ascii="Calibri" w:hAnsi="Calibri"/>
                <w:b w:val="0"/>
                <w:i w:val="0"/>
                <w:color w:val="212121"/>
                <w:sz w:val="16"/>
              </w:rPr>
              <w:t>Pregnant/lactating, infant of deficient mother</w:t>
            </w:r>
          </w:p>
        </w:tc>
        <w:tc>
          <w:tcPr>
            <w:tcW w:type="dxa" w:w="1036"/>
            <w:vAlign w:val="top"/>
          </w:tcPr>
          <w:p>
            <w:pPr>
              <w:spacing w:after="40" w:before="0" w:line="259" w:lineRule="auto"/>
            </w:pPr>
            <w:r>
              <w:rPr>
                <w:rFonts w:ascii="Calibri" w:hAnsi="Calibri"/>
                <w:b w:val="0"/>
                <w:i w:val="0"/>
                <w:color w:val="212121"/>
                <w:sz w:val="16"/>
              </w:rPr>
              <w:t>Increased folate/B12 demand precipitating deficiency</w:t>
            </w:r>
          </w:p>
        </w:tc>
        <w:tc>
          <w:tcPr>
            <w:tcW w:type="dxa" w:w="1036"/>
            <w:vAlign w:val="top"/>
          </w:tcPr>
          <w:p>
            <w:pPr>
              <w:spacing w:after="40" w:before="0" w:line="259" w:lineRule="auto"/>
            </w:pPr>
            <w:r>
              <w:rPr>
                <w:rFonts w:ascii="Calibri" w:hAnsi="Calibri"/>
                <w:b w:val="0"/>
                <w:i w:val="0"/>
                <w:color w:val="212121"/>
                <w:sz w:val="16"/>
              </w:rPr>
              <w:t>Pregnant/lactating women, infants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Maternal deficiency risks fetal NTDs and infant neurodevelopmental delay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autoimmune history</w:t>
            </w:r>
          </w:p>
        </w:tc>
        <w:tc>
          <w:tcPr>
            <w:tcW w:type="dxa" w:w="979"/>
            <w:vAlign w:val="top"/>
          </w:tcPr>
          <w:p>
            <w:pPr>
              <w:spacing w:after="40" w:before="0" w:line="259" w:lineRule="auto"/>
            </w:pPr>
            <w:r>
              <w:rPr>
                <w:rFonts w:ascii="Calibri" w:hAnsi="Calibri"/>
                <w:b w:val="0"/>
                <w:i w:val="0"/>
                <w:color w:val="212121"/>
                <w:sz w:val="16"/>
              </w:rPr>
              <w:t>Pernicious anemia, thyroid disease, T1DM, vitiligo</w:t>
            </w:r>
          </w:p>
        </w:tc>
        <w:tc>
          <w:tcPr>
            <w:tcW w:type="dxa" w:w="950"/>
            <w:vAlign w:val="top"/>
          </w:tcPr>
          <w:p>
            <w:pPr>
              <w:spacing w:after="40" w:before="0" w:line="259" w:lineRule="auto"/>
            </w:pPr>
            <w:r>
              <w:rPr>
                <w:rFonts w:ascii="Calibri" w:hAnsi="Calibri"/>
                <w:b w:val="0"/>
                <w:i w:val="0"/>
                <w:color w:val="212121"/>
                <w:sz w:val="16"/>
              </w:rPr>
              <w:t>No family/personal autoimmune disease</w:t>
            </w:r>
          </w:p>
        </w:tc>
        <w:tc>
          <w:tcPr>
            <w:tcW w:type="dxa" w:w="950"/>
            <w:vAlign w:val="top"/>
          </w:tcPr>
          <w:p>
            <w:pPr>
              <w:spacing w:after="40" w:before="0" w:line="259" w:lineRule="auto"/>
            </w:pPr>
            <w:r>
              <w:rPr>
                <w:rFonts w:ascii="Calibri" w:hAnsi="Calibri"/>
                <w:b w:val="0"/>
                <w:i w:val="0"/>
                <w:color w:val="212121"/>
                <w:sz w:val="16"/>
              </w:rPr>
              <w:t>Positive autoimmune/pernicious anemia history</w:t>
            </w:r>
          </w:p>
        </w:tc>
        <w:tc>
          <w:tcPr>
            <w:tcW w:type="dxa" w:w="1036"/>
            <w:vAlign w:val="top"/>
          </w:tcPr>
          <w:p>
            <w:pPr>
              <w:spacing w:after="40" w:before="0" w:line="259" w:lineRule="auto"/>
            </w:pPr>
            <w:r>
              <w:rPr>
                <w:rFonts w:ascii="Calibri" w:hAnsi="Calibri"/>
                <w:b w:val="0"/>
                <w:i w:val="0"/>
                <w:color w:val="212121"/>
                <w:sz w:val="16"/>
              </w:rPr>
              <w:t>Points to autoimmune B12 malabsorption</w:t>
            </w:r>
          </w:p>
        </w:tc>
        <w:tc>
          <w:tcPr>
            <w:tcW w:type="dxa" w:w="1036"/>
            <w:vAlign w:val="top"/>
          </w:tcPr>
          <w:p>
            <w:pPr>
              <w:spacing w:after="40" w:before="0" w:line="259" w:lineRule="auto"/>
            </w:pPr>
            <w:r>
              <w:rPr>
                <w:rFonts w:ascii="Calibri" w:hAnsi="Calibri"/>
                <w:b w:val="0"/>
                <w:i w:val="0"/>
                <w:color w:val="212121"/>
                <w:sz w:val="16"/>
              </w:rPr>
              <w:t>Adults/elderly with unexplained B12 deficiency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Screen for coexisting autoimmune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and generalised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oxygen-carrying capacity from anemia; usually the presenting complaint.</w:t>
            </w:r>
          </w:p>
        </w:tc>
      </w:tr>
      <w:tr>
        <w:trPr>
          <w:cantSplit/>
        </w:trPr>
        <w:tc>
          <w:tcPr>
            <w:tcW w:type="dxa" w:w="2304"/>
            <w:vAlign w:val="top"/>
          </w:tcPr>
          <w:p>
            <w:pPr>
              <w:spacing w:after="40" w:before="0" w:line="259" w:lineRule="auto"/>
            </w:pPr>
            <w:r>
              <w:rPr>
                <w:rFonts w:ascii="Calibri" w:hAnsi="Calibri"/>
                <w:b/>
                <w:i w:val="0"/>
                <w:color w:val="212121"/>
                <w:sz w:val="19"/>
              </w:rPr>
              <w:t>Exertional breathlessness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Dyspnoea on effort as anemia limits tissue oxygen delivery.</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Compensatory tachycardia to maintain cardiac output in anemia.</w:t>
            </w:r>
          </w:p>
        </w:tc>
      </w:tr>
      <w:tr>
        <w:trPr>
          <w:cantSplit/>
        </w:trPr>
        <w:tc>
          <w:tcPr>
            <w:tcW w:type="dxa" w:w="2304"/>
            <w:vAlign w:val="top"/>
          </w:tcPr>
          <w:p>
            <w:pPr>
              <w:spacing w:after="40" w:before="0" w:line="259" w:lineRule="auto"/>
            </w:pPr>
            <w:r>
              <w:rPr>
                <w:rFonts w:ascii="Calibri" w:hAnsi="Calibri"/>
                <w:b/>
                <w:i w:val="0"/>
                <w:color w:val="212121"/>
                <w:sz w:val="19"/>
              </w:rPr>
              <w:t>Sore, smooth tongue (glossitis) &amp; mouth soreness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Rapidly dividing mucosal cells are affected; tongue may be beefy-red and painful.</w:t>
            </w:r>
          </w:p>
        </w:tc>
      </w:tr>
      <w:tr>
        <w:trPr>
          <w:cantSplit/>
        </w:trPr>
        <w:tc>
          <w:tcPr>
            <w:tcW w:type="dxa" w:w="2304"/>
            <w:vAlign w:val="top"/>
          </w:tcPr>
          <w:p>
            <w:pPr>
              <w:spacing w:after="40" w:before="0" w:line="259" w:lineRule="auto"/>
            </w:pPr>
            <w:r>
              <w:rPr>
                <w:rFonts w:ascii="Calibri" w:hAnsi="Calibri"/>
                <w:b/>
                <w:i w:val="0"/>
                <w:color w:val="212121"/>
                <w:sz w:val="19"/>
              </w:rPr>
              <w:t>Anorexia, dyspepsia and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Gastrointestinal mucosal involvement and, in pernicious anemia, atrophic gastritis.</w:t>
            </w:r>
          </w:p>
        </w:tc>
      </w:tr>
      <w:tr>
        <w:trPr>
          <w:cantSplit/>
        </w:trPr>
        <w:tc>
          <w:tcPr>
            <w:tcW w:type="dxa" w:w="2304"/>
            <w:vAlign w:val="top"/>
          </w:tcPr>
          <w:p>
            <w:pPr>
              <w:spacing w:after="40" w:before="0" w:line="259" w:lineRule="auto"/>
            </w:pPr>
            <w:r>
              <w:rPr>
                <w:rFonts w:ascii="Calibri" w:hAnsi="Calibri"/>
                <w:b/>
                <w:i w:val="0"/>
                <w:color w:val="212121"/>
                <w:sz w:val="19"/>
              </w:rPr>
              <w:t>Numbness / tingling in hands and feet (paraesthesiae)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Peripheral neuropathy of B12 deficiency; often symmetrical, glove-and-stocking.</w:t>
            </w:r>
          </w:p>
        </w:tc>
      </w:tr>
      <w:tr>
        <w:trPr>
          <w:cantSplit/>
        </w:trPr>
        <w:tc>
          <w:tcPr>
            <w:tcW w:type="dxa" w:w="2304"/>
            <w:vAlign w:val="top"/>
          </w:tcPr>
          <w:p>
            <w:pPr>
              <w:spacing w:after="40" w:before="0" w:line="259" w:lineRule="auto"/>
            </w:pPr>
            <w:r>
              <w:rPr>
                <w:rFonts w:ascii="Calibri" w:hAnsi="Calibri"/>
                <w:b/>
                <w:i w:val="0"/>
                <w:color w:val="212121"/>
                <w:sz w:val="19"/>
              </w:rPr>
              <w:t>Unsteady gait / difficulty walking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Dorsal-column and corticospinal involvement (subacute combined degeneration).</w:t>
            </w:r>
          </w:p>
        </w:tc>
      </w:tr>
      <w:tr>
        <w:trPr>
          <w:cantSplit/>
        </w:trPr>
        <w:tc>
          <w:tcPr>
            <w:tcW w:type="dxa" w:w="2304"/>
            <w:vAlign w:val="top"/>
          </w:tcPr>
          <w:p>
            <w:pPr>
              <w:spacing w:after="40" w:before="0" w:line="259" w:lineRule="auto"/>
            </w:pPr>
            <w:r>
              <w:rPr>
                <w:rFonts w:ascii="Calibri" w:hAnsi="Calibri"/>
                <w:b/>
                <w:i w:val="0"/>
                <w:color w:val="212121"/>
                <w:sz w:val="19"/>
              </w:rPr>
              <w:t>Low mood, irritability or poor concentration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Neuropsychiatric effects of B12/folate deficiency; may precede anemia.</w:t>
            </w:r>
          </w:p>
        </w:tc>
      </w:tr>
      <w:tr>
        <w:trPr>
          <w:cantSplit/>
        </w:trPr>
        <w:tc>
          <w:tcPr>
            <w:tcW w:type="dxa" w:w="2304"/>
            <w:vAlign w:val="top"/>
          </w:tcPr>
          <w:p>
            <w:pPr>
              <w:spacing w:after="40" w:before="0" w:line="259" w:lineRule="auto"/>
            </w:pPr>
            <w:r>
              <w:rPr>
                <w:rFonts w:ascii="Calibri" w:hAnsi="Calibri"/>
                <w:b/>
                <w:i w:val="0"/>
                <w:color w:val="212121"/>
                <w:sz w:val="19"/>
              </w:rPr>
              <w:t>Memory impairment / cognitive slowing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Reversible cognitive dysfunction; important in the elderly.</w:t>
            </w:r>
          </w:p>
        </w:tc>
      </w:tr>
      <w:tr>
        <w:trPr>
          <w:cantSplit/>
        </w:trPr>
        <w:tc>
          <w:tcPr>
            <w:tcW w:type="dxa" w:w="2304"/>
            <w:vAlign w:val="top"/>
          </w:tcPr>
          <w:p>
            <w:pPr>
              <w:spacing w:after="40" w:before="0" w:line="259" w:lineRule="auto"/>
            </w:pPr>
            <w:r>
              <w:rPr>
                <w:rFonts w:ascii="Calibri" w:hAnsi="Calibri"/>
                <w:b/>
                <w:i w:val="0"/>
                <w:color w:val="212121"/>
                <w:sz w:val="19"/>
              </w:rPr>
              <w:t>Mild jaundice / lemon-yellow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Ineffective erythropoiesis and low-grade haemolysis with pallor.</w:t>
            </w:r>
          </w:p>
        </w:tc>
      </w:tr>
      <w:tr>
        <w:trPr>
          <w:cantSplit/>
        </w:trPr>
        <w:tc>
          <w:tcPr>
            <w:tcW w:type="dxa" w:w="2304"/>
            <w:vAlign w:val="top"/>
          </w:tcPr>
          <w:p>
            <w:pPr>
              <w:spacing w:after="40" w:before="0" w:line="259" w:lineRule="auto"/>
            </w:pPr>
            <w:r>
              <w:rPr>
                <w:rFonts w:ascii="Calibri" w:hAnsi="Calibri"/>
                <w:b/>
                <w:i w:val="0"/>
                <w:color w:val="212121"/>
                <w:sz w:val="19"/>
              </w:rPr>
              <w:t>Diarrhoea or altered bowel habit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malabsorption or associated GI disease.</w:t>
            </w:r>
          </w:p>
        </w:tc>
      </w:tr>
      <w:tr>
        <w:trPr>
          <w:cantSplit/>
        </w:trPr>
        <w:tc>
          <w:tcPr>
            <w:tcW w:type="dxa" w:w="2304"/>
            <w:vAlign w:val="top"/>
          </w:tcPr>
          <w:p>
            <w:pPr>
              <w:spacing w:after="40" w:before="0" w:line="259" w:lineRule="auto"/>
            </w:pPr>
            <w:r>
              <w:rPr>
                <w:rFonts w:ascii="Calibri" w:hAnsi="Calibri"/>
                <w:b/>
                <w:i w:val="0"/>
                <w:color w:val="212121"/>
                <w:sz w:val="19"/>
              </w:rPr>
              <w:t>Skin &amp; knuckle hyperpigmentation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Reversible cutaneous hyperpigmentation, sometimes the initial manifestation of B12 deficiency.</w:t>
            </w:r>
          </w:p>
        </w:tc>
      </w:tr>
      <w:tr>
        <w:trPr>
          <w:cantSplit/>
        </w:trPr>
        <w:tc>
          <w:tcPr>
            <w:tcW w:type="dxa" w:w="2304"/>
            <w:vAlign w:val="top"/>
          </w:tcPr>
          <w:p>
            <w:pPr>
              <w:spacing w:after="40" w:before="0" w:line="259" w:lineRule="auto"/>
            </w:pPr>
            <w:r>
              <w:rPr>
                <w:rFonts w:ascii="Calibri" w:hAnsi="Calibri"/>
                <w:b/>
                <w:i w:val="0"/>
                <w:color w:val="212121"/>
                <w:sz w:val="19"/>
              </w:rPr>
              <w:t>Psychosis (“megaloblastic madness”)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prolonged B12 deficiency can cause hallucinations, paranoia or delirium.</w:t>
            </w:r>
          </w:p>
        </w:tc>
      </w:tr>
      <w:tr>
        <w:trPr>
          <w:cantSplit/>
        </w:trPr>
        <w:tc>
          <w:tcPr>
            <w:tcW w:type="dxa" w:w="2304"/>
            <w:vAlign w:val="top"/>
          </w:tcPr>
          <w:p>
            <w:pPr>
              <w:spacing w:after="40" w:before="0" w:line="259" w:lineRule="auto"/>
            </w:pPr>
            <w:r>
              <w:rPr>
                <w:rFonts w:ascii="Calibri" w:hAnsi="Calibri"/>
                <w:b/>
                <w:i w:val="0"/>
                <w:color w:val="212121"/>
                <w:sz w:val="19"/>
              </w:rPr>
              <w:t>Visual disturbance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Optic atrophy/neuropathy from severe untreated B12 deficiency.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Pallor (conjunctival, palmar, mucosal)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reduced haemoglobin; best assessed at conjunctiva, tongue and palms.</w:t>
            </w:r>
          </w:p>
        </w:tc>
      </w:tr>
      <w:tr>
        <w:trPr>
          <w:cantSplit/>
        </w:trPr>
        <w:tc>
          <w:tcPr>
            <w:tcW w:type="dxa" w:w="3456"/>
            <w:vAlign w:val="top"/>
          </w:tcPr>
          <w:p>
            <w:pPr>
              <w:spacing w:after="40" w:before="0" w:line="259" w:lineRule="auto"/>
            </w:pPr>
            <w:r>
              <w:rPr>
                <w:rFonts w:ascii="Calibri" w:hAnsi="Calibri"/>
                <w:b/>
                <w:i w:val="0"/>
                <w:color w:val="212121"/>
                <w:sz w:val="19"/>
              </w:rPr>
              <w:t>Atrophic glossitis &amp; angular stomatitis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Smooth, beefy-red depapillated tongue with cracked mouth corners — a hallmark.</w:t>
            </w:r>
          </w:p>
        </w:tc>
      </w:tr>
      <w:tr>
        <w:trPr>
          <w:cantSplit/>
        </w:trPr>
        <w:tc>
          <w:tcPr>
            <w:tcW w:type="dxa" w:w="3456"/>
            <w:vAlign w:val="top"/>
          </w:tcPr>
          <w:p>
            <w:pPr>
              <w:spacing w:after="40" w:before="0" w:line="259" w:lineRule="auto"/>
            </w:pPr>
            <w:r>
              <w:rPr>
                <w:rFonts w:ascii="Calibri" w:hAnsi="Calibri"/>
                <w:b/>
                <w:i w:val="0"/>
                <w:color w:val="212121"/>
                <w:sz w:val="19"/>
              </w:rPr>
              <w:t>Tachycardia and systolic flow murmur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High-output compensatory state of significant anemia.</w:t>
            </w:r>
          </w:p>
        </w:tc>
      </w:tr>
      <w:tr>
        <w:trPr>
          <w:cantSplit/>
        </w:trPr>
        <w:tc>
          <w:tcPr>
            <w:tcW w:type="dxa" w:w="3456"/>
            <w:vAlign w:val="top"/>
          </w:tcPr>
          <w:p>
            <w:pPr>
              <w:spacing w:after="40" w:before="0" w:line="259" w:lineRule="auto"/>
            </w:pPr>
            <w:r>
              <w:rPr>
                <w:rFonts w:ascii="Calibri" w:hAnsi="Calibri"/>
                <w:b/>
                <w:i w:val="0"/>
                <w:color w:val="212121"/>
                <w:sz w:val="19"/>
              </w:rPr>
              <w:t>Mild icterus / lemon-yellow tint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Combination of pallor and mild jaundice from ineffective erythropoiesis.</w:t>
            </w:r>
          </w:p>
        </w:tc>
      </w:tr>
      <w:tr>
        <w:trPr>
          <w:cantSplit/>
        </w:trPr>
        <w:tc>
          <w:tcPr>
            <w:tcW w:type="dxa" w:w="3456"/>
            <w:vAlign w:val="top"/>
          </w:tcPr>
          <w:p>
            <w:pPr>
              <w:spacing w:after="40" w:before="0" w:line="259" w:lineRule="auto"/>
            </w:pPr>
            <w:r>
              <w:rPr>
                <w:rFonts w:ascii="Calibri" w:hAnsi="Calibri"/>
                <w:b/>
                <w:i w:val="0"/>
                <w:color w:val="212121"/>
                <w:sz w:val="19"/>
              </w:rPr>
              <w:t>Reduced vibration &amp; proprioception; positive Romberg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Dorsal-column involvement of subacute combined degeneration.</w:t>
            </w:r>
          </w:p>
        </w:tc>
      </w:tr>
      <w:tr>
        <w:trPr>
          <w:cantSplit/>
        </w:trPr>
        <w:tc>
          <w:tcPr>
            <w:tcW w:type="dxa" w:w="3456"/>
            <w:vAlign w:val="top"/>
          </w:tcPr>
          <w:p>
            <w:pPr>
              <w:spacing w:after="40" w:before="0" w:line="259" w:lineRule="auto"/>
            </w:pPr>
            <w:r>
              <w:rPr>
                <w:rFonts w:ascii="Calibri" w:hAnsi="Calibri"/>
                <w:b/>
                <w:i w:val="0"/>
                <w:color w:val="212121"/>
                <w:sz w:val="19"/>
              </w:rPr>
              <w:t>Absent ankle reflexes with extensor plantar responses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Combined posterior-column and pyramidal-tract signs — characteristic of B12 myelopathy.</w:t>
            </w:r>
          </w:p>
        </w:tc>
      </w:tr>
      <w:tr>
        <w:trPr>
          <w:cantSplit/>
        </w:trPr>
        <w:tc>
          <w:tcPr>
            <w:tcW w:type="dxa" w:w="3456"/>
            <w:vAlign w:val="top"/>
          </w:tcPr>
          <w:p>
            <w:pPr>
              <w:spacing w:after="40" w:before="0" w:line="259" w:lineRule="auto"/>
            </w:pPr>
            <w:r>
              <w:rPr>
                <w:rFonts w:ascii="Calibri" w:hAnsi="Calibri"/>
                <w:b/>
                <w:i w:val="0"/>
                <w:color w:val="212121"/>
                <w:sz w:val="19"/>
              </w:rPr>
              <w:t>Skin / knuckle hyperpigmentation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Reversible hyperpigmentation, more visible in Indian/darker skin.</w:t>
            </w:r>
          </w:p>
        </w:tc>
      </w:tr>
      <w:tr>
        <w:trPr>
          <w:cantSplit/>
        </w:trPr>
        <w:tc>
          <w:tcPr>
            <w:tcW w:type="dxa" w:w="3456"/>
            <w:vAlign w:val="top"/>
          </w:tcPr>
          <w:p>
            <w:pPr>
              <w:spacing w:after="40" w:before="0" w:line="259" w:lineRule="auto"/>
            </w:pPr>
            <w:r>
              <w:rPr>
                <w:rFonts w:ascii="Calibri" w:hAnsi="Calibri"/>
                <w:b/>
                <w:i w:val="0"/>
                <w:color w:val="212121"/>
                <w:sz w:val="19"/>
              </w:rPr>
              <w:t>Mild splenomegaly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Occasionally palpable due to extramedullary haemopoiesis/haemolysis.</w:t>
            </w:r>
          </w:p>
        </w:tc>
      </w:tr>
      <w:tr>
        <w:trPr>
          <w:cantSplit/>
        </w:trPr>
        <w:tc>
          <w:tcPr>
            <w:tcW w:type="dxa" w:w="3456"/>
            <w:vAlign w:val="top"/>
          </w:tcPr>
          <w:p>
            <w:pPr>
              <w:spacing w:after="40" w:before="0" w:line="259" w:lineRule="auto"/>
            </w:pPr>
            <w:r>
              <w:rPr>
                <w:rFonts w:ascii="Calibri" w:hAnsi="Calibri"/>
                <w:b/>
                <w:i w:val="0"/>
                <w:color w:val="212121"/>
                <w:sz w:val="19"/>
              </w:rPr>
              <w:t>Ataxic (wide-based) gait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Advanced spinal-cord and peripheral-nerve involvement.</w:t>
            </w:r>
          </w:p>
        </w:tc>
      </w:tr>
      <w:tr>
        <w:trPr>
          <w:cantSplit/>
        </w:trPr>
        <w:tc>
          <w:tcPr>
            <w:tcW w:type="dxa" w:w="3456"/>
            <w:vAlign w:val="top"/>
          </w:tcPr>
          <w:p>
            <w:pPr>
              <w:spacing w:after="40" w:before="0" w:line="259" w:lineRule="auto"/>
            </w:pPr>
            <w:r>
              <w:rPr>
                <w:rFonts w:ascii="Calibri" w:hAnsi="Calibri"/>
                <w:b/>
                <w:i w:val="0"/>
                <w:color w:val="212121"/>
                <w:sz w:val="19"/>
              </w:rPr>
              <w:t>Optic atrophy / reduced acuity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Severe, long-standing untreated B12 deficiency.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symptomatic anemia with high-output cardiac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Pancytopenia — neutropenia (infection risk) and thrombocytopenia (bleeding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Ineffective erythropoiesis with intramedullary haemolysis (markedly raised LDH)</w:t>
            </w:r>
          </w:p>
        </w:tc>
        <w:tc>
          <w:tcPr>
            <w:tcW w:type="dxa" w:w="2980"/>
            <w:vAlign w:val="top"/>
          </w:tcPr>
          <w:p>
            <w:pPr>
              <w:spacing w:after="40" w:before="0" w:line="259" w:lineRule="auto"/>
            </w:pPr>
            <w:r>
              <w:rPr>
                <w:rFonts w:ascii="Calibri" w:hAnsi="Calibri"/>
                <w:b w:val="0"/>
                <w:i w:val="0"/>
                <w:color w:val="212121"/>
                <w:sz w:val="19"/>
              </w:rPr>
              <w:t>Direct haematological consequences of impaired DNA synthesis; megaloblastic anemia is a leading cause of nutritional pancytopenia in India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Subacute combined degeneration of the spinal cord (dorsal &amp; lateral columns) — B12</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neuropathy and neuropsychiatric disorder (depression, cognitive impairment, psychosis)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Hyperhomocysteinemia — increased thrombotic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and fetal neural-tube defects (folate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 neurodevelopmental delay from maternal/infant B12 deficiency</w:t>
            </w:r>
          </w:p>
        </w:tc>
        <w:tc>
          <w:tcPr>
            <w:tcW w:type="dxa" w:w="2980"/>
            <w:vAlign w:val="top"/>
          </w:tcPr>
          <w:p>
            <w:pPr>
              <w:spacing w:after="40" w:before="0" w:line="259" w:lineRule="auto"/>
            </w:pPr>
            <w:r>
              <w:rPr>
                <w:rFonts w:ascii="Calibri" w:hAnsi="Calibri"/>
                <w:b w:val="0"/>
                <w:i w:val="0"/>
                <w:color w:val="212121"/>
                <w:sz w:val="19"/>
              </w:rPr>
              <w:t>Systemic effects of B12/folate deficiency on the nervous, vascular and reproductive systems, often reversible if treated early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neurological disability / paraplegia from delayed B12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cognitive impairment or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Gastric adenocarcinoma and gastric carcinoid (pernicious anemia)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developmental impairment in affected infants</w:t>
            </w:r>
          </w:p>
        </w:tc>
        <w:tc>
          <w:tcPr>
            <w:tcW w:type="dxa" w:w="2980"/>
            <w:vAlign w:val="top"/>
          </w:tcPr>
          <w:p>
            <w:pPr>
              <w:spacing w:after="40" w:before="0" w:line="259" w:lineRule="auto"/>
            </w:pPr>
            <w:r>
              <w:rPr>
                <w:rFonts w:ascii="Calibri" w:hAnsi="Calibri"/>
                <w:b w:val="0"/>
                <w:i w:val="0"/>
                <w:color w:val="212121"/>
                <w:sz w:val="19"/>
              </w:rPr>
              <w:t>Disabling, irreversible outcomes of longstanding untreated deficiency or its autoimmune cause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Pernicious anemia / autoimmune atrophic gastritis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Autoimmune loss of intrinsic factor is the classic cause of severe B12 malabsorption; anti-IF antibodies in ~70%.</w:t>
            </w:r>
          </w:p>
          <w:p>
            <w:pPr>
              <w:spacing w:after="40" w:before="0" w:line="259" w:lineRule="auto"/>
            </w:pPr>
            <w:r>
              <w:rPr>
                <w:rFonts w:ascii="Calibri" w:hAnsi="Calibri"/>
                <w:b/>
                <w:i w:val="0"/>
                <w:color w:val="212121"/>
                <w:sz w:val="19"/>
              </w:rPr>
              <w:t>~70% anti-IF positive</w:t>
            </w:r>
          </w:p>
        </w:tc>
      </w:tr>
      <w:tr>
        <w:trPr>
          <w:cantSplit/>
        </w:trPr>
        <w:tc>
          <w:tcPr>
            <w:tcW w:type="dxa" w:w="2232"/>
            <w:vAlign w:val="top"/>
          </w:tcPr>
          <w:p>
            <w:pPr>
              <w:spacing w:after="40" w:before="0" w:line="259" w:lineRule="auto"/>
            </w:pPr>
            <w:r>
              <w:rPr>
                <w:rFonts w:ascii="Calibri" w:hAnsi="Calibri"/>
                <w:b/>
                <w:i w:val="0"/>
                <w:color w:val="212121"/>
                <w:sz w:val="19"/>
              </w:rPr>
              <w:t>Type 2 diabetes mellitus (metformin 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Long-term metformin impairs B12 absorption and can worsen diabetic neuropathy; periodic B12 screening advised.</w:t>
            </w:r>
          </w:p>
        </w:tc>
      </w:tr>
      <w:tr>
        <w:trPr>
          <w:cantSplit/>
        </w:trPr>
        <w:tc>
          <w:tcPr>
            <w:tcW w:type="dxa" w:w="2232"/>
            <w:vAlign w:val="top"/>
          </w:tcPr>
          <w:p>
            <w:pPr>
              <w:spacing w:after="40" w:before="0" w:line="259" w:lineRule="auto"/>
            </w:pPr>
            <w:r>
              <w:rPr>
                <w:rFonts w:ascii="Calibri" w:hAnsi="Calibri"/>
                <w:b/>
                <w:i w:val="0"/>
                <w:color w:val="212121"/>
                <w:sz w:val="19"/>
              </w:rPr>
              <w:t>Autoimmune thyroid disease (Hashimoto's / Graves')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Clusters with pernicious anemia in the autoimmune polyglandular spectrum.</w:t>
            </w:r>
          </w:p>
        </w:tc>
      </w:tr>
      <w:tr>
        <w:trPr>
          <w:cantSplit/>
        </w:trPr>
        <w:tc>
          <w:tcPr>
            <w:tcW w:type="dxa" w:w="2232"/>
            <w:vAlign w:val="top"/>
          </w:tcPr>
          <w:p>
            <w:pPr>
              <w:spacing w:after="40" w:before="0" w:line="259" w:lineRule="auto"/>
            </w:pPr>
            <w:r>
              <w:rPr>
                <w:rFonts w:ascii="Calibri" w:hAnsi="Calibri"/>
                <w:b/>
                <w:i w:val="0"/>
                <w:color w:val="212121"/>
                <w:sz w:val="19"/>
              </w:rPr>
              <w:t>Type 1 diabetes mellitus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Co-occurs with pernicious anemia through shared autoimmune predisposition.</w:t>
            </w:r>
          </w:p>
        </w:tc>
      </w:tr>
      <w:tr>
        <w:trPr>
          <w:cantSplit/>
        </w:trPr>
        <w:tc>
          <w:tcPr>
            <w:tcW w:type="dxa" w:w="2232"/>
            <w:vAlign w:val="top"/>
          </w:tcPr>
          <w:p>
            <w:pPr>
              <w:spacing w:after="40" w:before="0" w:line="259" w:lineRule="auto"/>
            </w:pPr>
            <w:r>
              <w:rPr>
                <w:rFonts w:ascii="Calibri" w:hAnsi="Calibri"/>
                <w:b/>
                <w:i w:val="0"/>
                <w:color w:val="212121"/>
                <w:sz w:val="19"/>
              </w:rPr>
              <w:t>Coeliac disease &amp; other malabsorption (tropical sprue, IBD, post-bariatric)</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Impaired small-bowel absorption of B12 and folate, frequently causing combined deficiency.</w:t>
            </w:r>
          </w:p>
        </w:tc>
      </w:tr>
      <w:tr>
        <w:trPr>
          <w:cantSplit/>
        </w:trPr>
        <w:tc>
          <w:tcPr>
            <w:tcW w:type="dxa" w:w="2232"/>
            <w:vAlign w:val="top"/>
          </w:tcPr>
          <w:p>
            <w:pPr>
              <w:spacing w:after="40" w:before="0" w:line="259" w:lineRule="auto"/>
            </w:pPr>
            <w:r>
              <w:rPr>
                <w:rFonts w:ascii="Calibri" w:hAnsi="Calibri"/>
                <w:b/>
                <w:i w:val="0"/>
                <w:color w:val="212121"/>
                <w:sz w:val="19"/>
              </w:rPr>
              <w:t>Vitiligo</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Autoimmune skin disorder over-represented in pernicious anemia.</w:t>
            </w:r>
          </w:p>
        </w:tc>
      </w:tr>
      <w:tr>
        <w:trPr>
          <w:cantSplit/>
        </w:trPr>
        <w:tc>
          <w:tcPr>
            <w:tcW w:type="dxa" w:w="2232"/>
            <w:vAlign w:val="top"/>
          </w:tcPr>
          <w:p>
            <w:pPr>
              <w:spacing w:after="40" w:before="0" w:line="259" w:lineRule="auto"/>
            </w:pPr>
            <w:r>
              <w:rPr>
                <w:rFonts w:ascii="Calibri" w:hAnsi="Calibri"/>
                <w:b/>
                <w:i w:val="0"/>
                <w:color w:val="212121"/>
                <w:sz w:val="19"/>
              </w:rPr>
              <w:t>Chronic alcohol-related liver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Alcohol impairs folate absorption, storage and metabolism and worsens diet.</w:t>
            </w:r>
          </w:p>
        </w:tc>
      </w:tr>
      <w:tr>
        <w:trPr>
          <w:cantSplit/>
        </w:trPr>
        <w:tc>
          <w:tcPr>
            <w:tcW w:type="dxa" w:w="2232"/>
            <w:vAlign w:val="top"/>
          </w:tcPr>
          <w:p>
            <w:pPr>
              <w:spacing w:after="40" w:before="0" w:line="259" w:lineRule="auto"/>
            </w:pPr>
            <w:r>
              <w:rPr>
                <w:rFonts w:ascii="Calibri" w:hAnsi="Calibri"/>
                <w:b/>
                <w:i w:val="0"/>
                <w:color w:val="212121"/>
                <w:sz w:val="19"/>
              </w:rPr>
              <w:t>Hyperhomocysteinemia &amp; cardiovascular/thrombotic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B12/folate deficiency raises homocysteine, a vascular and thrombotic risk factor.</w:t>
            </w:r>
          </w:p>
        </w:tc>
      </w:tr>
      <w:tr>
        <w:trPr>
          <w:cantSplit/>
        </w:trPr>
        <w:tc>
          <w:tcPr>
            <w:tcW w:type="dxa" w:w="2232"/>
            <w:vAlign w:val="top"/>
          </w:tcPr>
          <w:p>
            <w:pPr>
              <w:spacing w:after="40" w:before="0" w:line="259" w:lineRule="auto"/>
            </w:pPr>
            <w:r>
              <w:rPr>
                <w:rFonts w:ascii="Calibri" w:hAnsi="Calibri"/>
                <w:b/>
                <w:i w:val="0"/>
                <w:color w:val="212121"/>
                <w:sz w:val="19"/>
              </w:rPr>
              <w:t>Gastric carcinoma / gastric carcinoid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Long-standing autoimmune atrophic gastritis (pernicious anemia) increases gastric malignancy risk.</w:t>
            </w:r>
          </w:p>
          <w:p>
            <w:pPr>
              <w:spacing w:after="40" w:before="0" w:line="259" w:lineRule="auto"/>
            </w:pPr>
            <w:r>
              <w:rPr>
                <w:rFonts w:ascii="Calibri" w:hAnsi="Calibri"/>
                <w:b/>
                <w:i w:val="0"/>
                <w:color w:val="212121"/>
                <w:sz w:val="19"/>
              </w:rPr>
              <w:t>~0.27%/person-year (gastric cancer)</w:t>
            </w:r>
          </w:p>
        </w:tc>
      </w:tr>
      <w:tr>
        <w:trPr>
          <w:cantSplit/>
        </w:trPr>
        <w:tc>
          <w:tcPr>
            <w:tcW w:type="dxa" w:w="2232"/>
            <w:vAlign w:val="top"/>
          </w:tcPr>
          <w:p>
            <w:pPr>
              <w:spacing w:after="40" w:before="0" w:line="259" w:lineRule="auto"/>
            </w:pPr>
            <w:r>
              <w:rPr>
                <w:rFonts w:ascii="Calibri" w:hAnsi="Calibri"/>
                <w:b/>
                <w:i w:val="0"/>
                <w:color w:val="212121"/>
                <w:sz w:val="19"/>
              </w:rPr>
              <w:t>Neural-tube defects (offspring)</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Maternal folate deficiency around conception raises fetal NTD risk; periconceptional folate is preventive.</w:t>
            </w:r>
          </w:p>
        </w:tc>
      </w:tr>
      <w:tr>
        <w:trPr>
          <w:cantSplit/>
        </w:trPr>
        <w:tc>
          <w:tcPr>
            <w:tcW w:type="dxa" w:w="2232"/>
            <w:vAlign w:val="top"/>
          </w:tcPr>
          <w:p>
            <w:pPr>
              <w:spacing w:after="40" w:before="0" w:line="259" w:lineRule="auto"/>
            </w:pPr>
            <w:r>
              <w:rPr>
                <w:rFonts w:ascii="Calibri" w:hAnsi="Calibri"/>
                <w:b/>
                <w:i w:val="0"/>
                <w:color w:val="212121"/>
                <w:sz w:val="19"/>
              </w:rPr>
              <w:t>Iron-deficiency anemia (dimorphic anemia)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Coexisting iron and B12/folate deficiency is common in India and can normalise MCV, masking macrocytosis.</w:t>
            </w:r>
          </w:p>
        </w:tc>
      </w:tr>
      <w:tr>
        <w:trPr>
          <w:cantSplit/>
        </w:trPr>
        <w:tc>
          <w:tcPr>
            <w:tcW w:type="dxa" w:w="2232"/>
            <w:vAlign w:val="top"/>
          </w:tcPr>
          <w:p>
            <w:pPr>
              <w:spacing w:after="40" w:before="0" w:line="259" w:lineRule="auto"/>
            </w:pPr>
            <w:r>
              <w:rPr>
                <w:rFonts w:ascii="Calibri" w:hAnsi="Calibri"/>
                <w:b/>
                <w:i w:val="0"/>
                <w:color w:val="212121"/>
                <w:sz w:val="19"/>
              </w:rPr>
              <w:t>Depression &amp; cognitive impairment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Low B12/folate is associated with mood and cognitive disorders, with bidirectional nutritional effects.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predominantly vegetarian/vegan diets are the leading cause of B12 deficiency in India and usually need fortified foods or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features — persistent fatigue, sore tongue, tingling of hands/feet, unsteadiness, low mood or memory change — and seek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B12 deficiency can damage the nervous system before anemia appears, so neurological symptoms warrant prompt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high-risk groups: pregnant/lactating women, infants of vegetarian mothers, the elderly, and patients on long-term metformin or acid-suppressants.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periconceptional folic acid (400 µg/day, higher if high-risk) to prevent neural-tube defects.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&amp; 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Metformin-treated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girls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B12 sources regularly — milk and dairy, eggs, fish and meat where acceptable; vegetarians should use B12-fortified foods or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folate-rich foods daily — green leafy vegetables, legumes/dals, sprouts, citrus fruit and nuts.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vegetables lightly (steam/stir-fry) and avoid prolonged boiling or discarding cooking water, since folate is heat-labile.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strict vegetarians/vegans, take a regular oral vitamin B12 supplement to meet the RDA (≥ 2.4 µg/day).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fortified staples/flours where available and combine iron- and folate-rich foods for balanced haematinics.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&amp; 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prescribed replacement — intramuscular or high-dose oral B12 for cobalamin deficiency, and oral folic acid for folate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take folic acid alone when B12 status is unknown, as it can correct anemia while allowing neurological damage to progress.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lifelong B12 replacement in pernicious anemia and other irreversible malabsorptive causes.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to confirm reticulocyte response (days 3–7) and normalisation of haemoglobin over 6–8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coexisting iron deficiency, which is common in India and may otherwise limit the haemoglobin response.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megaloblastic anemia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Pernicious anemia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Post-gastric/ileal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deficiency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gradually as anemia corrects; avoid strenuous exertion while severely anaemic.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aerobic activity (walking) to rebuild exercise tolerance once haemoglobin improves.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balance and gait training/physiotherapy for patients recovering from B12-related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falls in the elderly with impaired proprioception until neurological recovery occurs.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Severely anaemic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a major cause of folate-deficient megaloblastic anemia.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heavy drinkers for folate deficiency and coexisting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alcohol reduction/cessation and provide folate replacement during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on nutrient-dense meals to offset the poor diet that accompanies heavy drinking.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alcohol-related liver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Evaluate low mood, cognitive change or psychosis for underlying B12/folate deficiency, which is reversible.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deficiency promptly, as neuropsychiatric symptoms may improve with repletion.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psychological support and monitoring during recovery from severe neurological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nutrition in patients whose mental illness or neglect has impaired their diet.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cognitive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Neuropsychiatric presentations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 to support recovery and general well-being during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fatigue and restless-legs-type symptoms often ease as anemia and deficiency are corrected.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anaemic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smoking cessation, as tobacco is linked to lower B12/folate and higher homocysteine.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support as part of overall cardiovascular and nutritional risk reduction.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raised homocysteine / CVD risk</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11470726/" TargetMode="External"/><Relationship Id="rId10" Type="http://schemas.openxmlformats.org/officeDocument/2006/relationships/hyperlink" Target="https://www.ncbi.nlm.nih.gov/books/NBK540989/" TargetMode="External"/><Relationship Id="rId11" Type="http://schemas.openxmlformats.org/officeDocument/2006/relationships/hyperlink" Target="https://pubmed.ncbi.nlm.nih.gov/42435295/" TargetMode="External"/><Relationship Id="rId12" Type="http://schemas.openxmlformats.org/officeDocument/2006/relationships/hyperlink" Target="https://pmc.ncbi.nlm.nih.gov/articles/PMC13274581/" TargetMode="External"/><Relationship Id="rId13" Type="http://schemas.openxmlformats.org/officeDocument/2006/relationships/hyperlink" Target="https://www.ncbi.nlm.nih.gov/books/NBK535377/" TargetMode="External"/><Relationship Id="rId14" Type="http://schemas.openxmlformats.org/officeDocument/2006/relationships/hyperlink" Target="https://pmc.ncbi.nlm.nih.gov/articles/PMC5886186/" TargetMode="External"/><Relationship Id="rId15" Type="http://schemas.openxmlformats.org/officeDocument/2006/relationships/hyperlink" Target="https://pmc.ncbi.nlm.nih.gov/articles/PMC12952621/" TargetMode="External"/><Relationship Id="rId16" Type="http://schemas.openxmlformats.org/officeDocument/2006/relationships/hyperlink" Target="https://www.ncbi.nlm.nih.gov/books/NBK441923/" TargetMode="External"/><Relationship Id="rId17" Type="http://schemas.openxmlformats.org/officeDocument/2006/relationships/hyperlink" Target="https://pmc.ncbi.nlm.nih.gov/articles/PMC13094969/" TargetMode="External"/><Relationship Id="rId18" Type="http://schemas.openxmlformats.org/officeDocument/2006/relationships/hyperlink" Target="https://pmc.ncbi.nlm.nih.gov/articles/PMC10236989/" TargetMode="External"/><Relationship Id="rId19" Type="http://schemas.openxmlformats.org/officeDocument/2006/relationships/hyperlink" Target="https://www.ncbi.nlm.nih.gov/books/NBK537254/" TargetMode="External"/><Relationship Id="rId20" Type="http://schemas.openxmlformats.org/officeDocument/2006/relationships/hyperlink" Target="https://pmc.ncbi.nlm.nih.gov/articles/PMC6297555/" TargetMode="External"/><Relationship Id="rId21" Type="http://schemas.openxmlformats.org/officeDocument/2006/relationships/hyperlink" Target="https://www.who.int/news-room/fact-sheets/detail/anaem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