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Anemia of Chronic Disease</w:t>
      </w:r>
    </w:p>
    <w:p>
      <w:pPr>
        <w:spacing w:before="0" w:after="160"/>
      </w:pPr>
      <w:r>
        <w:rPr>
          <w:rFonts w:ascii="Calibri" w:hAnsi="Calibri"/>
          <w:b/>
          <w:i w:val="0"/>
          <w:color w:val="212121"/>
          <w:sz w:val="22"/>
        </w:rPr>
        <w:t xml:space="preserve">AKA </w:t>
      </w:r>
      <w:r>
        <w:rPr>
          <w:rFonts w:ascii="Calibri" w:hAnsi="Calibri"/>
          <w:b w:val="0"/>
          <w:i w:val="0"/>
          <w:color w:val="212121"/>
          <w:sz w:val="22"/>
        </w:rPr>
        <w:t>i.e., Anemia of Inflammation (AI), Anemia of chronic disease/inflammation, ACD/AI, Cytokine-mediated anemia, Anemia of inflammatory response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Anemia of Chronic Disease (ACD), now more accurately termed Anemia of Inflammation, is a mild-to-moderate anemia that develops when a chronic infection, autoimmune/inflammatory disorder, malignancy or chronic kidney disease keeps the immune system persistently activated. Pro-inflammatory cytokines (chiefly interleukin-6) drive the liver to over-produce the hormone hepcidin, which traps iron inside macrophages and the gut lining, blunts erythropoietin production and marrow response, and modestly shortens red-cell survival. The result is a hypoproliferative anemia that is typically normocytic and normochromic early on and may become microcytic and hypochromic with time. It is the second most common anemia worldwide after iron-deficiency anemia, and the body characteristically has adequate or increased stored iron but a low level of usable iron in the blood.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Anemia of Chronic Disease is the second most common anemia after iron-deficiency anemia, and it is especially relevant to India, which carries one of the world's heaviest burdens of both anemia and the chronic diseases that cause it. Globally the WHO estimates anemia affects 40% of children aged 6-59 months, 37% of pregnant women and 30% of non-pregnant women aged 15-49; the WHO South-East Asia Region alone accounts for 244 million affected women and 83 million affected children. India also reports the largest share of global tuberculosis (about 25% of the estimated 10.7 million cases in 2024), and TB, together with a high load of chronic kidney disease, rheumatoid arthritis, HIV, malignancy and chronic infection, makes ACD a leading cause of anemia in hospitalised, elderly and chronically ill Indian patients. National surveys (NFHS-5, 2019-21) put anemia at about 57% of women and 67% of young children in India, and a substantial portion of anemia in older adults and inpatients reflects inflammation rather than pure iron deficiency. In high-income settings, roughly one million people older than 65 years are estimated to have anemia of inflammation.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ACD is a diagnosis of pattern and context - anemia occurring alongside a chronic inflammatory, infectious, neoplastic or renal condition, with iron studies that separate it from simple iron-deficiency anemia. Evaluation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 anemia using WHO haemoglobin thresholds (roughly &lt; 13 g/dL in men, &lt; 12 g/dL in non-pregnant women, &lt; 11 g/dL in pregnant women and young children); in ACD the haemoglobin is usually &gt; 8 g/dL unless another mechanism co-exists;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Document a chronic driver - infection (tuberculosis, HIV, osteomyelitis), autoimmune disease (especially rheumatoid arthritis, SLE, IBD), malignancy, chronic kidney disease or heart failure;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Red-cell indices: normocytic normochromic early, becoming microcytic hypochromic with time (MCV usually only mildly reduced, less than in iron-deficiency anemia);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Iron studies are the key discriminator: LOW serum iron with a LOW (or normal) total iron-binding capacity/transferrin, and a NORMAL-to-HIGH serum ferritin - the opposite of the high TIBC and low ferritin of iron-deficiency anemia;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serum ferritin &lt; 100 ng/mL in a clearly inflamed patient suggests superimposed (absolute) iron deficiency, a common combined picture in India;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reticulocyte count indicating a hypoproliferative marrow;</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Raised inflammatory markers (CRP, ESR) supporting active inflammation;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Where available, soluble transferrin receptor (sTfR) and the sTfR/log-ferritin index help separate pure ACD (normal sTfR) from ACD combined with iron deficiency (raised sTfR);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Exclude and treat other contributors - blood loss, haemolysis, vitamin B12/folate deficiency, hypothyroidism, drug-induced marrow suppression and, in India, coexisting thalassaemia trait.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ACD is grouped by the underlying disease that sustains the inflammatory drive, which also shapes the workup and treatment:</w:t>
      </w:r>
    </w:p>
    <w:p>
      <w:pPr>
        <w:spacing w:before="0" w:after="80"/>
      </w:pPr>
      <w:r>
        <w:rPr>
          <w:rFonts w:ascii="Calibri" w:hAnsi="Calibri"/>
          <w:b w:val="0"/>
          <w:i w:val="0"/>
          <w:color w:val="212121"/>
          <w:sz w:val="21"/>
        </w:rPr>
        <w:t>(1) Anemia of chronic infection - driven by tuberculosis, HIV/AIDS, chronic osteomyelitis, infective endocarditis, bronchiectasis and other persistent infections; a dominant and often reversible cause in India, where the TB burden is the largest in the world;</w:t>
      </w:r>
    </w:p>
    <w:p>
      <w:pPr>
        <w:spacing w:before="0" w:after="80"/>
      </w:pPr>
      <w:r>
        <w:rPr>
          <w:rFonts w:ascii="Calibri" w:hAnsi="Calibri"/>
          <w:b w:val="0"/>
          <w:i w:val="0"/>
          <w:color w:val="212121"/>
          <w:sz w:val="21"/>
        </w:rPr>
        <w:t>(2) Anemia of chronic inflammation / autoimmune disease - rheumatoid arthritis (the classic example), systemic lupus erythematosus, inflammatory bowel disease and systemic vasculitides, where anemia severity tracks disease activity;</w:t>
      </w:r>
    </w:p>
    <w:p>
      <w:pPr>
        <w:spacing w:before="0" w:after="80"/>
      </w:pPr>
      <w:r>
        <w:rPr>
          <w:rFonts w:ascii="Calibri" w:hAnsi="Calibri"/>
          <w:b w:val="0"/>
          <w:i w:val="0"/>
          <w:color w:val="212121"/>
          <w:sz w:val="21"/>
        </w:rPr>
        <w:t>(3) Anemia of malignancy - solid tumours and haematological cancers, in which tumour-related cytokines, marrow infiltration and the effects of chemotherapy and radiotherapy all contribute;</w:t>
      </w:r>
    </w:p>
    <w:p>
      <w:pPr>
        <w:spacing w:before="0" w:after="80"/>
      </w:pPr>
      <w:r>
        <w:rPr>
          <w:rFonts w:ascii="Calibri" w:hAnsi="Calibri"/>
          <w:b w:val="0"/>
          <w:i w:val="0"/>
          <w:color w:val="212121"/>
          <w:sz w:val="21"/>
        </w:rPr>
        <w:t>(4) Anemia of chronic kidney disease - a distinct but overlapping entity combining reduced erythropoietin production, inflammation-driven hepcidin retention and shortened red-cell survival; and</w:t>
      </w:r>
    </w:p>
    <w:p>
      <w:pPr>
        <w:spacing w:before="0" w:after="80"/>
      </w:pPr>
      <w:r>
        <w:rPr>
          <w:rFonts w:ascii="Calibri" w:hAnsi="Calibri"/>
          <w:b w:val="0"/>
          <w:i w:val="0"/>
          <w:color w:val="212121"/>
          <w:sz w:val="21"/>
        </w:rPr>
        <w:t>(5) Combined ACD with absolute iron deficiency - very common in Indian practice, where an inflammatory state co-exists with true iron depletion from poor dietary iron, menstrual or gastrointestinal blood loss, or hookworm.</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infection: Persistent infections such as tuberculosis, HIV, chronic osteomyelitis and bronchiectasis keep cytokine levels high, raising hepcidin and sequestering iron; TB is a particularly important driver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Autoimmune / inflammatory disease: Rheumatoid arthritis, SLE and inflammatory bowel disease generate sustained IL-6-driven inflammation, and the anemia typically parallels disease activity.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Malignancy: Solid tumours and lymphomas release inflammatory mediators and may infiltrate marrow; chemotherapy and radiotherapy add a hypoproliferative insult.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Chronic kidney disease: Failing kidneys make less erythropoietin and clear less hepcidin, so inflammation and EPO deficiency combine to produce anemia.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Ageing / inflammaging: Low-grade chronic inflammation of ageing contributes to unexplained anemia in the elderly, who also accumulate chronic diseases.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Obesity and metabolic inflammation: Adipose tissue secretes IL-6, raising hepcidin and producing a mild functional iron deficiency.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Congestive heart failure and COPD: Chronic tissue hypoxia and systemic inflammation blunt effective erythropoiesis.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with a chronic illness</w:t>
            </w:r>
          </w:p>
        </w:tc>
        <w:tc>
          <w:tcPr>
            <w:tcW w:type="dxa" w:w="4276"/>
            <w:vAlign w:val="top"/>
          </w:tcPr>
          <w:p>
            <w:pPr>
              <w:spacing w:after="60" w:line="259" w:lineRule="auto"/>
            </w:pPr>
            <w:r>
              <w:rPr>
                <w:rFonts w:ascii="Calibri" w:hAnsi="Calibri"/>
                <w:b w:val="0"/>
                <w:i w:val="0"/>
                <w:color w:val="212121"/>
                <w:sz w:val="19"/>
              </w:rPr>
              <w:t>ACD clusters in adults who have accumulated a chronic infective, autoimmune, renal or neoplastic condition; the inflammatory cytokines of that illness raise hepcidin and lock iron away from developing red cells.</w:t>
            </w:r>
          </w:p>
          <w:p>
            <w:pPr>
              <w:spacing w:after="40" w:before="60" w:line="259" w:lineRule="auto"/>
            </w:pPr>
            <w:r>
              <w:rPr>
                <w:rFonts w:ascii="Calibri" w:hAnsi="Calibri"/>
                <w:b w:val="0"/>
                <w:i w:val="0"/>
                <w:color w:val="212121"/>
                <w:sz w:val="19"/>
              </w:rPr>
              <w:t>Anemia of inflammation is the second most common type of anemia, after iron-deficiency anemia.</w:t>
            </w:r>
          </w:p>
          <w:p>
            <w:pPr>
              <w:spacing w:after="40" w:line="252" w:lineRule="auto"/>
            </w:pPr>
            <w:hyperlink r:id="rId9">
              <w:r>
                <w:rPr>
                  <w:rFonts w:ascii="Calibri" w:hAnsi="Calibri" w:cs="Calibri"/>
                  <w:sz w:val="18"/>
                  <w:color w:val="1155CC"/>
                  <w:u w:val="single"/>
                </w:rPr>
                <w:t xml:space="preserve">niddk.nih.gov - anemia of inflammation &amp; chronic disease</w:t>
              </w:r>
            </w:hyperlink>
          </w:p>
          <w:p>
            <w:pPr>
              <w:spacing w:before="60" w:after="40"/>
            </w:pPr>
            <w:r>
              <w:rPr>
                <w:rFonts w:ascii="Calibri" w:hAnsi="Calibri"/>
                <w:b w:val="0"/>
                <w:i w:val="0"/>
                <w:color w:val="5A5A5A"/>
                <w:sz w:val="18"/>
              </w:rPr>
              <w:t>#anemiaofinflammation  #hepcidin  #chronicdisease  #functionalirondeficiency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(65+ years)</w:t>
            </w:r>
          </w:p>
        </w:tc>
        <w:tc>
          <w:tcPr>
            <w:tcW w:type="dxa" w:w="4276"/>
            <w:vAlign w:val="top"/>
          </w:tcPr>
          <w:p>
            <w:pPr>
              <w:spacing w:after="60" w:line="259" w:lineRule="auto"/>
            </w:pPr>
            <w:r>
              <w:rPr>
                <w:rFonts w:ascii="Calibri" w:hAnsi="Calibri"/>
                <w:b w:val="0"/>
                <w:i w:val="0"/>
                <w:color w:val="212121"/>
                <w:sz w:val="19"/>
              </w:rPr>
              <w:t>Older adults are disproportionately affected because they accumulate chronic inflammatory diseases and carry a low-grade 'inflammaging' state; anemia in the elderly is frequently inflammatory rather than purely nutritional and predicts frailty and poorer outcomes.</w:t>
            </w:r>
          </w:p>
          <w:p>
            <w:pPr>
              <w:spacing w:after="40" w:before="60" w:line="259" w:lineRule="auto"/>
            </w:pPr>
            <w:r>
              <w:rPr>
                <w:rFonts w:ascii="Calibri" w:hAnsi="Calibri"/>
                <w:b w:val="0"/>
                <w:i w:val="0"/>
                <w:color w:val="212121"/>
                <w:sz w:val="19"/>
              </w:rPr>
              <w:t>Older adults are more likely to have this anemia because they more often have chronic diseases that cause inflammation; about 1 million people older than 65 are estimated to have anemia of inflammation.</w:t>
            </w:r>
          </w:p>
          <w:p>
            <w:pPr>
              <w:spacing w:after="40" w:line="252" w:lineRule="auto"/>
            </w:pPr>
            <w:hyperlink r:id="rId9">
              <w:r>
                <w:rPr>
                  <w:rFonts w:ascii="Calibri" w:hAnsi="Calibri" w:cs="Calibri"/>
                  <w:sz w:val="18"/>
                  <w:color w:val="1155CC"/>
                  <w:u w:val="single"/>
                </w:rPr>
                <w:t xml:space="preserve">niddk.nih.gov - anemia of inflammation &amp; chronic disease</w:t>
              </w:r>
            </w:hyperlink>
          </w:p>
          <w:p>
            <w:pPr>
              <w:spacing w:before="60" w:after="40"/>
            </w:pPr>
            <w:r>
              <w:rPr>
                <w:rFonts w:ascii="Calibri" w:hAnsi="Calibri"/>
                <w:b w:val="0"/>
                <w:i w:val="0"/>
                <w:color w:val="5A5A5A"/>
                <w:sz w:val="18"/>
              </w:rPr>
              <w:t>#elderly  #inflammaging  #unexplainedanemia  #frailty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(autoimmune-driven ACD)</w:t>
            </w:r>
          </w:p>
        </w:tc>
        <w:tc>
          <w:tcPr>
            <w:tcW w:type="dxa" w:w="4276"/>
            <w:vAlign w:val="top"/>
          </w:tcPr>
          <w:p>
            <w:pPr>
              <w:spacing w:after="60" w:line="259" w:lineRule="auto"/>
            </w:pPr>
            <w:r>
              <w:rPr>
                <w:rFonts w:ascii="Calibri" w:hAnsi="Calibri"/>
                <w:b w:val="0"/>
                <w:i w:val="0"/>
                <w:color w:val="212121"/>
                <w:sz w:val="19"/>
              </w:rPr>
              <w:t>Because rheumatoid arthritis, SLE and thyroid autoimmunity are far more common in women, autoimmune-related ACD has a female predominance; coexisting menstrual iron loss in India often produces a combined ACD-plus-iron-deficiency picture.</w:t>
            </w:r>
          </w:p>
          <w:p>
            <w:pPr>
              <w:spacing w:after="40" w:before="60" w:line="259" w:lineRule="auto"/>
            </w:pPr>
            <w:r>
              <w:rPr>
                <w:rFonts w:ascii="Calibri" w:hAnsi="Calibri"/>
                <w:b w:val="0"/>
                <w:i w:val="0"/>
                <w:color w:val="212121"/>
                <w:sz w:val="19"/>
              </w:rPr>
              <w:t>Autoimmune diseases such as rheumatoid arthritis and lupus are recognised inflammatory causes of this anemia.</w:t>
            </w:r>
          </w:p>
          <w:p>
            <w:pPr>
              <w:spacing w:after="40" w:line="252" w:lineRule="auto"/>
            </w:pPr>
            <w:hyperlink r:id="rId9">
              <w:r>
                <w:rPr>
                  <w:rFonts w:ascii="Calibri" w:hAnsi="Calibri" w:cs="Calibri"/>
                  <w:sz w:val="18"/>
                  <w:color w:val="1155CC"/>
                  <w:u w:val="single"/>
                </w:rPr>
                <w:t xml:space="preserve">niddk.nih.gov - anemia of inflammation &amp; chronic disease</w:t>
              </w:r>
            </w:hyperlink>
          </w:p>
          <w:p>
            <w:pPr>
              <w:spacing w:before="60" w:after="40"/>
            </w:pPr>
            <w:r>
              <w:rPr>
                <w:rFonts w:ascii="Calibri" w:hAnsi="Calibri"/>
                <w:b w:val="0"/>
                <w:i w:val="0"/>
                <w:color w:val="5A5A5A"/>
                <w:sz w:val="18"/>
              </w:rPr>
              <w:t>#women  #autoimmune  #rheumatoidarthritis  #lupus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undernourished populations</w:t>
            </w:r>
          </w:p>
        </w:tc>
        <w:tc>
          <w:tcPr>
            <w:tcW w:type="dxa" w:w="4276"/>
            <w:vAlign w:val="top"/>
          </w:tcPr>
          <w:p>
            <w:pPr>
              <w:spacing w:after="60" w:line="259" w:lineRule="auto"/>
            </w:pPr>
            <w:r>
              <w:rPr>
                <w:rFonts w:ascii="Calibri" w:hAnsi="Calibri"/>
                <w:b w:val="0"/>
                <w:i w:val="0"/>
                <w:color w:val="212121"/>
                <w:sz w:val="19"/>
              </w:rPr>
              <w:t>Poverty concentrates chronic infections (tuberculosis, HIV, chronic diarrhoeal and parasitic disease) and limits access to diagnosis and treatment, so inflammatory anemia is both more common and more likely to be compounded by true dietary iron deficiency.</w:t>
            </w:r>
          </w:p>
          <w:p>
            <w:pPr>
              <w:spacing w:after="40" w:before="60" w:line="259" w:lineRule="auto"/>
            </w:pPr>
            <w:r>
              <w:rPr>
                <w:rFonts w:ascii="Calibri" w:hAnsi="Calibri"/>
                <w:b w:val="0"/>
                <w:i w:val="0"/>
                <w:color w:val="212121"/>
                <w:sz w:val="19"/>
              </w:rPr>
              <w:t>Chronic infections including HIV/AIDS and tuberculosis are listed among the leading causes of anemia of inflammation and chronic disease.</w:t>
            </w:r>
          </w:p>
          <w:p>
            <w:pPr>
              <w:spacing w:after="40" w:line="252" w:lineRule="auto"/>
            </w:pPr>
            <w:hyperlink r:id="rId9">
              <w:r>
                <w:rPr>
                  <w:rFonts w:ascii="Calibri" w:hAnsi="Calibri" w:cs="Calibri"/>
                  <w:sz w:val="18"/>
                  <w:color w:val="1155CC"/>
                  <w:u w:val="single"/>
                </w:rPr>
                <w:t xml:space="preserve">niddk.nih.gov - anemia of inflammation &amp; chronic disease</w:t>
              </w:r>
            </w:hyperlink>
          </w:p>
          <w:p>
            <w:pPr>
              <w:spacing w:before="60" w:after="40"/>
            </w:pPr>
            <w:r>
              <w:rPr>
                <w:rFonts w:ascii="Calibri" w:hAnsi="Calibri"/>
                <w:b w:val="0"/>
                <w:i w:val="0"/>
                <w:color w:val="5A5A5A"/>
                <w:sz w:val="18"/>
              </w:rPr>
              <w:t>#poverty  #India  #chronicinfection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patients in TB-endemic regions</w:t>
            </w:r>
          </w:p>
        </w:tc>
        <w:tc>
          <w:tcPr>
            <w:tcW w:type="dxa" w:w="4276"/>
            <w:vAlign w:val="top"/>
          </w:tcPr>
          <w:p>
            <w:pPr>
              <w:spacing w:after="60" w:line="259" w:lineRule="auto"/>
            </w:pPr>
            <w:r>
              <w:rPr>
                <w:rFonts w:ascii="Calibri" w:hAnsi="Calibri"/>
                <w:b w:val="0"/>
                <w:i w:val="0"/>
                <w:color w:val="212121"/>
                <w:sz w:val="19"/>
              </w:rPr>
              <w:t>India has the largest tuberculosis burden in the world, and chronic TB is a major, treatable driver of inflammatory anemia; the anemia usually improves once effective anti-tuberculous therapy controls the infection.</w:t>
            </w:r>
          </w:p>
          <w:p>
            <w:pPr>
              <w:spacing w:after="40" w:before="60" w:line="259" w:lineRule="auto"/>
            </w:pPr>
            <w:r>
              <w:rPr>
                <w:rFonts w:ascii="Calibri" w:hAnsi="Calibri"/>
                <w:b w:val="0"/>
                <w:i w:val="0"/>
                <w:color w:val="212121"/>
                <w:sz w:val="19"/>
              </w:rPr>
              <w:t>India accounted for about 25% of the world's estimated 10.7 million tuberculosis cases in 2024 - the largest national share.</w:t>
            </w:r>
          </w:p>
          <w:p>
            <w:pPr>
              <w:spacing w:after="40" w:line="252" w:lineRule="auto"/>
            </w:pPr>
            <w:hyperlink r:id="rId10">
              <w:r>
                <w:rPr>
                  <w:rFonts w:ascii="Calibri" w:hAnsi="Calibri" w:cs="Calibri"/>
                  <w:sz w:val="18"/>
                  <w:color w:val="1155CC"/>
                  <w:u w:val="single"/>
                </w:rPr>
                <w:t xml:space="preserve">who.int - tuberculosis fact sheet</w:t>
              </w:r>
            </w:hyperlink>
          </w:p>
          <w:p>
            <w:pPr>
              <w:spacing w:before="60" w:after="40"/>
            </w:pPr>
            <w:r>
              <w:rPr>
                <w:rFonts w:ascii="Calibri" w:hAnsi="Calibri"/>
                <w:b w:val="0"/>
                <w:i w:val="0"/>
                <w:color w:val="5A5A5A"/>
                <w:sz w:val="18"/>
              </w:rPr>
              <w:t>#India  #tuberculosis  #chronicinfection  #TBanemia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Regional disease burden</w:t>
            </w:r>
          </w:p>
        </w:tc>
        <w:tc>
          <w:tcPr>
            <w:tcW w:type="dxa" w:w="2160"/>
            <w:vAlign w:val="top"/>
          </w:tcPr>
          <w:p>
            <w:pPr>
              <w:spacing w:after="40" w:before="0" w:line="259" w:lineRule="auto"/>
            </w:pPr>
            <w:r>
              <w:rPr>
                <w:rFonts w:ascii="Calibri" w:hAnsi="Calibri"/>
                <w:b w:val="0"/>
                <w:i w:val="0"/>
                <w:color w:val="212121"/>
                <w:sz w:val="19"/>
              </w:rPr>
              <w:t>WHO South-East Asia Region residents</w:t>
            </w:r>
          </w:p>
        </w:tc>
        <w:tc>
          <w:tcPr>
            <w:tcW w:type="dxa" w:w="4276"/>
            <w:vAlign w:val="top"/>
          </w:tcPr>
          <w:p>
            <w:pPr>
              <w:spacing w:after="60" w:line="259" w:lineRule="auto"/>
            </w:pPr>
            <w:r>
              <w:rPr>
                <w:rFonts w:ascii="Calibri" w:hAnsi="Calibri"/>
                <w:b w:val="0"/>
                <w:i w:val="0"/>
                <w:color w:val="212121"/>
                <w:sz w:val="19"/>
              </w:rPr>
              <w:t>The South-East Asia Region, dominated by India, bears an enormous absolute anemia burden; against this background of widespread anemia, inflammation from endemic infection and chronic disease is a frequent and under-recognised contributor.</w:t>
            </w:r>
          </w:p>
          <w:p>
            <w:pPr>
              <w:spacing w:after="40" w:before="60" w:line="259" w:lineRule="auto"/>
            </w:pPr>
            <w:r>
              <w:rPr>
                <w:rFonts w:ascii="Calibri" w:hAnsi="Calibri"/>
                <w:b w:val="0"/>
                <w:i w:val="0"/>
                <w:color w:val="212121"/>
                <w:sz w:val="19"/>
              </w:rPr>
              <w:t>The WHO South-East Asia Region accounts for 244 million anemia-affected women and 83 million affected children.</w:t>
            </w:r>
          </w:p>
          <w:p>
            <w:pPr>
              <w:spacing w:after="40" w:line="252" w:lineRule="auto"/>
            </w:pPr>
            <w:hyperlink r:id="rId11">
              <w:r>
                <w:rPr>
                  <w:rFonts w:ascii="Calibri" w:hAnsi="Calibri" w:cs="Calibri"/>
                  <w:sz w:val="18"/>
                  <w:color w:val="1155CC"/>
                  <w:u w:val="single"/>
                </w:rPr>
                <w:t xml:space="preserve">who.int - anaemia fact sheet</w:t>
              </w:r>
            </w:hyperlink>
          </w:p>
          <w:p>
            <w:pPr>
              <w:spacing w:before="60" w:after="40"/>
            </w:pPr>
            <w:r>
              <w:rPr>
                <w:rFonts w:ascii="Calibri" w:hAnsi="Calibri"/>
                <w:b w:val="0"/>
                <w:i w:val="0"/>
                <w:color w:val="5A5A5A"/>
                <w:sz w:val="18"/>
              </w:rPr>
              <w:t>#SouthEastAsia  #India  #anemiaburden  #publichealth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obesity</w:t>
            </w:r>
          </w:p>
        </w:tc>
        <w:tc>
          <w:tcPr>
            <w:tcW w:type="dxa" w:w="2160"/>
            <w:vAlign w:val="top"/>
          </w:tcPr>
          <w:p>
            <w:pPr>
              <w:spacing w:after="40" w:before="0" w:line="259" w:lineRule="auto"/>
            </w:pPr>
            <w:r>
              <w:rPr>
                <w:rFonts w:ascii="Calibri" w:hAnsi="Calibri"/>
                <w:b w:val="0"/>
                <w:i w:val="0"/>
                <w:color w:val="212121"/>
                <w:sz w:val="19"/>
              </w:rPr>
              <w:t>Physically inactive, obese adults</w:t>
            </w:r>
          </w:p>
        </w:tc>
        <w:tc>
          <w:tcPr>
            <w:tcW w:type="dxa" w:w="4276"/>
            <w:vAlign w:val="top"/>
          </w:tcPr>
          <w:p>
            <w:pPr>
              <w:spacing w:after="60" w:line="259" w:lineRule="auto"/>
            </w:pPr>
            <w:r>
              <w:rPr>
                <w:rFonts w:ascii="Calibri" w:hAnsi="Calibri"/>
                <w:b w:val="0"/>
                <w:i w:val="0"/>
                <w:color w:val="212121"/>
                <w:sz w:val="19"/>
              </w:rPr>
              <w:t>Excess adipose tissue behaves as an inflammatory organ, secreting IL-6 that raises hepcidin and produces a mild functional iron deficiency; physical inactivity sustains this low-grade inflammatory state.</w:t>
            </w:r>
          </w:p>
          <w:p>
            <w:pPr>
              <w:spacing w:after="40" w:before="60" w:line="259" w:lineRule="auto"/>
            </w:pPr>
            <w:r>
              <w:rPr>
                <w:rFonts w:ascii="Calibri" w:hAnsi="Calibri"/>
                <w:b w:val="0"/>
                <w:i w:val="0"/>
                <w:color w:val="212121"/>
                <w:sz w:val="19"/>
              </w:rPr>
              <w:t>Chronic inflammatory conditions raise hepcidin, which inhibits iron absorption and recycling and leads to iron sequestration.</w:t>
            </w:r>
          </w:p>
          <w:p>
            <w:pPr>
              <w:spacing w:after="40" w:line="252" w:lineRule="auto"/>
            </w:pPr>
            <w:hyperlink r:id="rId12">
              <w:r>
                <w:rPr>
                  <w:rFonts w:ascii="Calibri" w:hAnsi="Calibri" w:cs="Calibri"/>
                  <w:sz w:val="18"/>
                  <w:color w:val="1155CC"/>
                  <w:u w:val="single"/>
                </w:rPr>
                <w:t xml:space="preserve">merckmanuals.com - anemia of chronic disease</w:t>
              </w:r>
            </w:hyperlink>
          </w:p>
          <w:p>
            <w:pPr>
              <w:spacing w:before="60" w:after="40"/>
            </w:pPr>
            <w:r>
              <w:rPr>
                <w:rFonts w:ascii="Calibri" w:hAnsi="Calibri"/>
                <w:b w:val="0"/>
                <w:i w:val="0"/>
                <w:color w:val="5A5A5A"/>
                <w:sz w:val="18"/>
              </w:rPr>
              <w:t>#obesity  #IL6  #hepcidin  #sedentary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 / COPD patients</w:t>
            </w:r>
          </w:p>
        </w:tc>
        <w:tc>
          <w:tcPr>
            <w:tcW w:type="dxa" w:w="4276"/>
            <w:vAlign w:val="top"/>
          </w:tcPr>
          <w:p>
            <w:pPr>
              <w:spacing w:after="60" w:line="259" w:lineRule="auto"/>
            </w:pPr>
            <w:r>
              <w:rPr>
                <w:rFonts w:ascii="Calibri" w:hAnsi="Calibri"/>
                <w:b w:val="0"/>
                <w:i w:val="0"/>
                <w:color w:val="212121"/>
                <w:sz w:val="19"/>
              </w:rPr>
              <w:t>Tobacco drives systemic inflammation and chronic obstructive lung disease; the resulting cytokine load and hypoxia can blunt effective erythropoiesis and contribute to an inflammatory anemia pattern.</w:t>
            </w:r>
          </w:p>
          <w:p>
            <w:pPr>
              <w:spacing w:after="40" w:before="60" w:line="259" w:lineRule="auto"/>
            </w:pPr>
            <w:r>
              <w:rPr>
                <w:rFonts w:ascii="Calibri" w:hAnsi="Calibri"/>
                <w:b w:val="0"/>
                <w:i w:val="0"/>
                <w:color w:val="212121"/>
                <w:sz w:val="19"/>
              </w:rPr>
              <w:t>Chronic inflammatory disease reduces both erythropoietin production and the marrow's responsiveness to it.</w:t>
            </w:r>
          </w:p>
          <w:p>
            <w:pPr>
              <w:spacing w:after="40" w:line="252" w:lineRule="auto"/>
            </w:pPr>
            <w:hyperlink r:id="rId12">
              <w:r>
                <w:rPr>
                  <w:rFonts w:ascii="Calibri" w:hAnsi="Calibri" w:cs="Calibri"/>
                  <w:sz w:val="18"/>
                  <w:color w:val="1155CC"/>
                  <w:u w:val="single"/>
                </w:rPr>
                <w:t xml:space="preserve">merckmanuals.com - anemia of chronic disease</w:t>
              </w:r>
            </w:hyperlink>
          </w:p>
          <w:p>
            <w:pPr>
              <w:spacing w:before="60" w:after="40"/>
            </w:pPr>
            <w:r>
              <w:rPr>
                <w:rFonts w:ascii="Calibri" w:hAnsi="Calibri"/>
                <w:b w:val="0"/>
                <w:i w:val="0"/>
                <w:color w:val="5A5A5A"/>
                <w:sz w:val="18"/>
              </w:rPr>
              <w:t>#smoking  #COPD  #inflammation  #hypoxia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Sustained heavy alcohol use causes chronic hepatic inflammation and can co-exist with direct marrow suppression and nutritional (folate) deficiency, layering an inflammatory component onto a multifactorial anemia.</w:t>
            </w:r>
          </w:p>
          <w:p>
            <w:pPr>
              <w:spacing w:after="40" w:before="60" w:line="259" w:lineRule="auto"/>
            </w:pPr>
            <w:r>
              <w:rPr>
                <w:rFonts w:ascii="Calibri" w:hAnsi="Calibri"/>
                <w:b w:val="0"/>
                <w:i w:val="0"/>
                <w:color w:val="212121"/>
                <w:sz w:val="19"/>
              </w:rPr>
              <w:t>Autoimmune disease, chronic infection and other chronic inflammatory states are the recognised triggers of this anemia.</w:t>
            </w:r>
          </w:p>
          <w:p>
            <w:pPr>
              <w:spacing w:after="40" w:line="252" w:lineRule="auto"/>
            </w:pPr>
            <w:hyperlink r:id="rId9">
              <w:r>
                <w:rPr>
                  <w:rFonts w:ascii="Calibri" w:hAnsi="Calibri" w:cs="Calibri"/>
                  <w:sz w:val="18"/>
                  <w:color w:val="1155CC"/>
                  <w:u w:val="single"/>
                </w:rPr>
                <w:t xml:space="preserve">niddk.nih.gov - anemia of inflammation &amp; chronic disease</w:t>
              </w:r>
            </w:hyperlink>
          </w:p>
          <w:p>
            <w:pPr>
              <w:spacing w:before="60" w:after="40"/>
            </w:pPr>
            <w:r>
              <w:rPr>
                <w:rFonts w:ascii="Calibri" w:hAnsi="Calibri"/>
                <w:b w:val="0"/>
                <w:i w:val="0"/>
                <w:color w:val="5A5A5A"/>
                <w:sz w:val="18"/>
              </w:rPr>
              <w:t>#alcohol  #liver  #chronicinflammation  #folate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iron intake</w:t>
            </w:r>
          </w:p>
        </w:tc>
        <w:tc>
          <w:tcPr>
            <w:tcW w:type="dxa" w:w="2160"/>
            <w:vAlign w:val="top"/>
          </w:tcPr>
          <w:p>
            <w:pPr>
              <w:spacing w:after="40" w:before="0" w:line="259" w:lineRule="auto"/>
            </w:pPr>
            <w:r>
              <w:rPr>
                <w:rFonts w:ascii="Calibri" w:hAnsi="Calibri"/>
                <w:b w:val="0"/>
                <w:i w:val="0"/>
                <w:color w:val="212121"/>
                <w:sz w:val="19"/>
              </w:rPr>
              <w:t>Vegetarian / low-bioavailable-iron diets with chronic disease</w:t>
            </w:r>
          </w:p>
        </w:tc>
        <w:tc>
          <w:tcPr>
            <w:tcW w:type="dxa" w:w="4276"/>
            <w:vAlign w:val="top"/>
          </w:tcPr>
          <w:p>
            <w:pPr>
              <w:spacing w:after="60" w:line="259" w:lineRule="auto"/>
            </w:pPr>
            <w:r>
              <w:rPr>
                <w:rFonts w:ascii="Calibri" w:hAnsi="Calibri"/>
                <w:b w:val="0"/>
                <w:i w:val="0"/>
                <w:color w:val="212121"/>
                <w:sz w:val="19"/>
              </w:rPr>
              <w:t>Predominantly cereal-based Indian diets are rich in phytate and low in bioavailable iron, so a patient with inflammation-driven iron sequestration on top of marginal intake often develops a combined ACD-plus-iron-deficiency anemia that responds poorly to oral iron alone.</w:t>
            </w:r>
          </w:p>
          <w:p>
            <w:pPr>
              <w:spacing w:after="40" w:before="60" w:line="259" w:lineRule="auto"/>
            </w:pPr>
            <w:r>
              <w:rPr>
                <w:rFonts w:ascii="Calibri" w:hAnsi="Calibri"/>
                <w:b w:val="0"/>
                <w:i w:val="0"/>
                <w:color w:val="212121"/>
                <w:sz w:val="19"/>
              </w:rPr>
              <w:t>A ferritin below 100 ng/mL in an inflamed patient suggests superimposed iron deficiency requiring iron repletion.</w:t>
            </w:r>
          </w:p>
          <w:p>
            <w:pPr>
              <w:spacing w:after="40" w:line="252" w:lineRule="auto"/>
            </w:pPr>
            <w:hyperlink r:id="rId12">
              <w:r>
                <w:rPr>
                  <w:rFonts w:ascii="Calibri" w:hAnsi="Calibri" w:cs="Calibri"/>
                  <w:sz w:val="18"/>
                  <w:color w:val="1155CC"/>
                  <w:u w:val="single"/>
                </w:rPr>
                <w:t xml:space="preserve">merckmanuals.com - anemia of chronic disease</w:t>
              </w:r>
            </w:hyperlink>
          </w:p>
          <w:p>
            <w:pPr>
              <w:spacing w:before="60" w:after="40"/>
            </w:pPr>
            <w:r>
              <w:rPr>
                <w:rFonts w:ascii="Calibri" w:hAnsi="Calibri"/>
                <w:b w:val="0"/>
                <w:i w:val="0"/>
                <w:color w:val="5A5A5A"/>
                <w:sz w:val="18"/>
              </w:rPr>
              <w:t>#vegetarian  #phytate  #combinedanemia  #bioavailability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 handling</w:t>
            </w:r>
          </w:p>
        </w:tc>
        <w:tc>
          <w:tcPr>
            <w:tcW w:type="dxa" w:w="2160"/>
            <w:vAlign w:val="top"/>
          </w:tcPr>
          <w:p>
            <w:pPr>
              <w:spacing w:after="40" w:before="0" w:line="259" w:lineRule="auto"/>
            </w:pPr>
            <w:r>
              <w:rPr>
                <w:rFonts w:ascii="Calibri" w:hAnsi="Calibri"/>
                <w:b w:val="0"/>
                <w:i w:val="0"/>
                <w:color w:val="212121"/>
                <w:sz w:val="19"/>
              </w:rPr>
              <w:t>Patients given oral iron despite active inflammation</w:t>
            </w:r>
          </w:p>
        </w:tc>
        <w:tc>
          <w:tcPr>
            <w:tcW w:type="dxa" w:w="4276"/>
            <w:vAlign w:val="top"/>
          </w:tcPr>
          <w:p>
            <w:pPr>
              <w:spacing w:after="60" w:line="259" w:lineRule="auto"/>
            </w:pPr>
            <w:r>
              <w:rPr>
                <w:rFonts w:ascii="Calibri" w:hAnsi="Calibri"/>
                <w:b w:val="0"/>
                <w:i w:val="0"/>
                <w:color w:val="212121"/>
                <w:sz w:val="19"/>
              </w:rPr>
              <w:t>In an inflamed patient, high hepcidin blocks intestinal iron absorption, so oral iron is poorly used and largely wasted; recognising the inflammatory pattern prevents inappropriate high-dose oral iron and guides use of intravenous iron where truly indicated.</w:t>
            </w:r>
          </w:p>
          <w:p>
            <w:pPr>
              <w:spacing w:after="40" w:before="60" w:line="259" w:lineRule="auto"/>
            </w:pPr>
            <w:r>
              <w:rPr>
                <w:rFonts w:ascii="Calibri" w:hAnsi="Calibri"/>
                <w:b w:val="0"/>
                <w:i w:val="0"/>
                <w:color w:val="212121"/>
                <w:sz w:val="19"/>
              </w:rPr>
              <w:t>In inflammation the body has a normal or increased amount of stored iron but a low level of usable iron in the blood.</w:t>
            </w:r>
          </w:p>
          <w:p>
            <w:pPr>
              <w:spacing w:after="40" w:line="252" w:lineRule="auto"/>
            </w:pPr>
            <w:hyperlink r:id="rId9">
              <w:r>
                <w:rPr>
                  <w:rFonts w:ascii="Calibri" w:hAnsi="Calibri" w:cs="Calibri"/>
                  <w:sz w:val="18"/>
                  <w:color w:val="1155CC"/>
                  <w:u w:val="single"/>
                </w:rPr>
                <w:t xml:space="preserve">niddk.nih.gov - anemia of inflammation &amp; chronic disease</w:t>
              </w:r>
            </w:hyperlink>
          </w:p>
          <w:p>
            <w:pPr>
              <w:spacing w:before="60" w:after="40"/>
            </w:pPr>
            <w:r>
              <w:rPr>
                <w:rFonts w:ascii="Calibri" w:hAnsi="Calibri"/>
                <w:b w:val="0"/>
                <w:i w:val="0"/>
                <w:color w:val="5A5A5A"/>
                <w:sz w:val="18"/>
              </w:rPr>
              <w:t>#oraliron  #ironsequestration  #IVironmaybe  #hepcidin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autoimmune disease</w:t>
            </w:r>
          </w:p>
        </w:tc>
        <w:tc>
          <w:tcPr>
            <w:tcW w:type="dxa" w:w="4276"/>
            <w:vAlign w:val="top"/>
          </w:tcPr>
          <w:p>
            <w:pPr>
              <w:spacing w:after="60" w:line="259" w:lineRule="auto"/>
            </w:pPr>
            <w:r>
              <w:rPr>
                <w:rFonts w:ascii="Calibri" w:hAnsi="Calibri"/>
                <w:b w:val="0"/>
                <w:i w:val="0"/>
                <w:color w:val="212121"/>
                <w:sz w:val="19"/>
              </w:rPr>
              <w:t>Inherited susceptibility to rheumatoid arthritis, SLE, inflammatory bowel disease or autoimmune thyroiditis raises the lifetime risk of the chronic inflammatory disorders that underlie ACD.</w:t>
            </w:r>
          </w:p>
          <w:p>
            <w:pPr>
              <w:spacing w:after="40" w:before="60" w:line="259" w:lineRule="auto"/>
            </w:pPr>
            <w:r>
              <w:rPr>
                <w:rFonts w:ascii="Calibri" w:hAnsi="Calibri"/>
                <w:b w:val="0"/>
                <w:i w:val="0"/>
                <w:color w:val="212121"/>
                <w:sz w:val="19"/>
              </w:rPr>
              <w:t>Autoimmune diseases including rheumatoid arthritis and lupus are among the chronic conditions that cause anemia of inflammation.</w:t>
            </w:r>
          </w:p>
          <w:p>
            <w:pPr>
              <w:spacing w:after="40" w:line="252" w:lineRule="auto"/>
            </w:pPr>
            <w:hyperlink r:id="rId9">
              <w:r>
                <w:rPr>
                  <w:rFonts w:ascii="Calibri" w:hAnsi="Calibri" w:cs="Calibri"/>
                  <w:sz w:val="18"/>
                  <w:color w:val="1155CC"/>
                  <w:u w:val="single"/>
                </w:rPr>
                <w:t xml:space="preserve">niddk.nih.gov - anemia of inflammation &amp; chronic disease</w:t>
              </w:r>
            </w:hyperlink>
          </w:p>
          <w:p>
            <w:pPr>
              <w:spacing w:before="60" w:after="40"/>
            </w:pPr>
            <w:r>
              <w:rPr>
                <w:rFonts w:ascii="Calibri" w:hAnsi="Calibri"/>
                <w:b w:val="0"/>
                <w:i w:val="0"/>
                <w:color w:val="5A5A5A"/>
                <w:sz w:val="18"/>
              </w:rPr>
              <w:t>#familyhistory  #autoimmune  #RA  #geneticrisk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Coexisting haemoglobinopathy</w:t>
            </w:r>
          </w:p>
        </w:tc>
        <w:tc>
          <w:tcPr>
            <w:tcW w:type="dxa" w:w="2160"/>
            <w:vAlign w:val="top"/>
          </w:tcPr>
          <w:p>
            <w:pPr>
              <w:spacing w:after="40" w:before="0" w:line="259" w:lineRule="auto"/>
            </w:pPr>
            <w:r>
              <w:rPr>
                <w:rFonts w:ascii="Calibri" w:hAnsi="Calibri"/>
                <w:b w:val="0"/>
                <w:i w:val="0"/>
                <w:color w:val="212121"/>
                <w:sz w:val="19"/>
              </w:rPr>
              <w:t>Beta-thalassaemia trait carriers (India)</w:t>
            </w:r>
          </w:p>
        </w:tc>
        <w:tc>
          <w:tcPr>
            <w:tcW w:type="dxa" w:w="4276"/>
            <w:vAlign w:val="top"/>
          </w:tcPr>
          <w:p>
            <w:pPr>
              <w:spacing w:after="60" w:line="259" w:lineRule="auto"/>
            </w:pPr>
            <w:r>
              <w:rPr>
                <w:rFonts w:ascii="Calibri" w:hAnsi="Calibri"/>
                <w:b w:val="0"/>
                <w:i w:val="0"/>
                <w:color w:val="212121"/>
                <w:sz w:val="19"/>
              </w:rPr>
              <w:t>Thalassaemia trait is common across India and independently causes microcytosis; when it co-exists with ACD it clouds the microcytic picture and complicates the distinction from iron-deficiency anemia, requiring careful iron studies and, at times, haemoglobin electrophoresis.</w:t>
            </w:r>
          </w:p>
          <w:p>
            <w:pPr>
              <w:spacing w:after="40" w:before="60" w:line="259" w:lineRule="auto"/>
            </w:pPr>
            <w:r>
              <w:rPr>
                <w:rFonts w:ascii="Calibri" w:hAnsi="Calibri"/>
                <w:b w:val="0"/>
                <w:i w:val="0"/>
                <w:color w:val="212121"/>
                <w:sz w:val="19"/>
              </w:rPr>
              <w:t>With time the red cells of chronic-disease anemia become microcytic, overlapping with other microcytic anemias.</w:t>
            </w:r>
          </w:p>
          <w:p>
            <w:pPr>
              <w:spacing w:after="40" w:line="252" w:lineRule="auto"/>
            </w:pPr>
            <w:hyperlink r:id="rId12">
              <w:r>
                <w:rPr>
                  <w:rFonts w:ascii="Calibri" w:hAnsi="Calibri" w:cs="Calibri"/>
                  <w:sz w:val="18"/>
                  <w:color w:val="1155CC"/>
                  <w:u w:val="single"/>
                </w:rPr>
                <w:t xml:space="preserve">merckmanuals.com - anemia of chronic disease</w:t>
              </w:r>
            </w:hyperlink>
          </w:p>
          <w:p>
            <w:pPr>
              <w:spacing w:before="60" w:after="40"/>
            </w:pPr>
            <w:r>
              <w:rPr>
                <w:rFonts w:ascii="Calibri" w:hAnsi="Calibri"/>
                <w:b w:val="0"/>
                <w:i w:val="0"/>
                <w:color w:val="5A5A5A"/>
                <w:sz w:val="18"/>
              </w:rPr>
              <w:t>#thalassemiatrait  #microcytosis  #India  #diagnosticoverlap</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CKD / on dialysis</w:t>
            </w:r>
          </w:p>
        </w:tc>
        <w:tc>
          <w:tcPr>
            <w:tcW w:type="dxa" w:w="4276"/>
            <w:vAlign w:val="top"/>
          </w:tcPr>
          <w:p>
            <w:pPr>
              <w:spacing w:after="60" w:line="259" w:lineRule="auto"/>
            </w:pPr>
            <w:r>
              <w:rPr>
                <w:rFonts w:ascii="Calibri" w:hAnsi="Calibri"/>
                <w:b w:val="0"/>
                <w:i w:val="0"/>
                <w:color w:val="212121"/>
                <w:sz w:val="19"/>
              </w:rPr>
              <w:t>CKD combines reduced erythropoietin production with inflammation-driven hepcidin retention, making anemia both common and progressive as kidney function declines; it is a prototypical setting for ACD overlapping with EPO deficiency.</w:t>
            </w:r>
          </w:p>
          <w:p>
            <w:pPr>
              <w:spacing w:after="40" w:before="60" w:line="259" w:lineRule="auto"/>
            </w:pPr>
            <w:r>
              <w:rPr>
                <w:rFonts w:ascii="Calibri" w:hAnsi="Calibri"/>
                <w:b w:val="0"/>
                <w:i w:val="0"/>
                <w:color w:val="212121"/>
                <w:sz w:val="19"/>
              </w:rPr>
              <w:t>Chronic kidney disease can cause the body to make fewer red blood cells, contributing to anemia.</w:t>
            </w:r>
          </w:p>
          <w:p>
            <w:pPr>
              <w:spacing w:after="40" w:line="252" w:lineRule="auto"/>
            </w:pPr>
            <w:hyperlink r:id="rId13">
              <w:r>
                <w:rPr>
                  <w:rFonts w:ascii="Calibri" w:hAnsi="Calibri" w:cs="Calibri"/>
                  <w:sz w:val="18"/>
                  <w:color w:val="1155CC"/>
                  <w:u w:val="single"/>
                </w:rPr>
                <w:t xml:space="preserve">nhlbi.nih.gov - anemia causes</w:t>
              </w:r>
            </w:hyperlink>
          </w:p>
          <w:p>
            <w:pPr>
              <w:spacing w:before="60" w:after="40"/>
            </w:pPr>
            <w:r>
              <w:rPr>
                <w:rFonts w:ascii="Calibri" w:hAnsi="Calibri"/>
                <w:b w:val="0"/>
                <w:i w:val="0"/>
                <w:color w:val="5A5A5A"/>
                <w:sz w:val="18"/>
              </w:rPr>
              <w:t>#CKD  #erythropoietin  #dialysis  #hepcidin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Rheumatoid arthritis</w:t>
            </w:r>
          </w:p>
        </w:tc>
        <w:tc>
          <w:tcPr>
            <w:tcW w:type="dxa" w:w="2160"/>
            <w:vAlign w:val="top"/>
          </w:tcPr>
          <w:p>
            <w:pPr>
              <w:spacing w:after="40" w:before="0" w:line="259" w:lineRule="auto"/>
            </w:pPr>
            <w:r>
              <w:rPr>
                <w:rFonts w:ascii="Calibri" w:hAnsi="Calibri"/>
                <w:b w:val="0"/>
                <w:i w:val="0"/>
                <w:color w:val="212121"/>
                <w:sz w:val="19"/>
              </w:rPr>
              <w:t>Patients with active rheumatoid arthritis</w:t>
            </w:r>
          </w:p>
        </w:tc>
        <w:tc>
          <w:tcPr>
            <w:tcW w:type="dxa" w:w="4276"/>
            <w:vAlign w:val="top"/>
          </w:tcPr>
          <w:p>
            <w:pPr>
              <w:spacing w:after="60" w:line="259" w:lineRule="auto"/>
            </w:pPr>
            <w:r>
              <w:rPr>
                <w:rFonts w:ascii="Calibri" w:hAnsi="Calibri"/>
                <w:b w:val="0"/>
                <w:i w:val="0"/>
                <w:color w:val="212121"/>
                <w:sz w:val="19"/>
              </w:rPr>
              <w:t>Rheumatoid arthritis is the classic autoimmune cause of ACD; the anemia parallels joint disease activity and improves when the underlying inflammation is controlled with disease-modifying therapy.</w:t>
            </w:r>
          </w:p>
          <w:p>
            <w:pPr>
              <w:spacing w:after="40" w:before="60" w:line="259" w:lineRule="auto"/>
            </w:pPr>
            <w:r>
              <w:rPr>
                <w:rFonts w:ascii="Calibri" w:hAnsi="Calibri"/>
                <w:b w:val="0"/>
                <w:i w:val="0"/>
                <w:color w:val="212121"/>
                <w:sz w:val="19"/>
              </w:rPr>
              <w:t>Anemia of chronic disease is characteristically associated with an autoimmune disease, especially rheumatoid arthritis.</w:t>
            </w:r>
          </w:p>
          <w:p>
            <w:pPr>
              <w:spacing w:after="40" w:line="252" w:lineRule="auto"/>
            </w:pPr>
            <w:hyperlink r:id="rId12">
              <w:r>
                <w:rPr>
                  <w:rFonts w:ascii="Calibri" w:hAnsi="Calibri" w:cs="Calibri"/>
                  <w:sz w:val="18"/>
                  <w:color w:val="1155CC"/>
                  <w:u w:val="single"/>
                </w:rPr>
                <w:t xml:space="preserve">merckmanuals.com - anemia of chronic disease</w:t>
              </w:r>
            </w:hyperlink>
          </w:p>
          <w:p>
            <w:pPr>
              <w:spacing w:before="60" w:after="40"/>
            </w:pPr>
            <w:r>
              <w:rPr>
                <w:rFonts w:ascii="Calibri" w:hAnsi="Calibri"/>
                <w:b w:val="0"/>
                <w:i w:val="0"/>
                <w:color w:val="5A5A5A"/>
                <w:sz w:val="18"/>
              </w:rPr>
              <w:t>#rheumatoidarthritis  #autoimmune  #diseaseactivity  #DMARDs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infection (TB / HIV)</w:t>
            </w:r>
          </w:p>
        </w:tc>
        <w:tc>
          <w:tcPr>
            <w:tcW w:type="dxa" w:w="2160"/>
            <w:vAlign w:val="top"/>
          </w:tcPr>
          <w:p>
            <w:pPr>
              <w:spacing w:after="40" w:before="0" w:line="259" w:lineRule="auto"/>
            </w:pPr>
            <w:r>
              <w:rPr>
                <w:rFonts w:ascii="Calibri" w:hAnsi="Calibri"/>
                <w:b w:val="0"/>
                <w:i w:val="0"/>
                <w:color w:val="212121"/>
                <w:sz w:val="19"/>
              </w:rPr>
              <w:t>Patients with tuberculosis or HIV</w:t>
            </w:r>
          </w:p>
        </w:tc>
        <w:tc>
          <w:tcPr>
            <w:tcW w:type="dxa" w:w="4276"/>
            <w:vAlign w:val="top"/>
          </w:tcPr>
          <w:p>
            <w:pPr>
              <w:spacing w:after="60" w:line="259" w:lineRule="auto"/>
            </w:pPr>
            <w:r>
              <w:rPr>
                <w:rFonts w:ascii="Calibri" w:hAnsi="Calibri"/>
                <w:b w:val="0"/>
                <w:i w:val="0"/>
                <w:color w:val="212121"/>
                <w:sz w:val="19"/>
              </w:rPr>
              <w:t>Persistent infection is a leading cause of inflammatory anemia; in India, TB and HIV are major contributors, and in HIV the anemia is compounded by the virus's own effects on red-cell production and by drug therapy.</w:t>
            </w:r>
          </w:p>
          <w:p>
            <w:pPr>
              <w:spacing w:after="40" w:before="60" w:line="259" w:lineRule="auto"/>
            </w:pPr>
            <w:r>
              <w:rPr>
                <w:rFonts w:ascii="Calibri" w:hAnsi="Calibri"/>
                <w:b w:val="0"/>
                <w:i w:val="0"/>
                <w:color w:val="212121"/>
                <w:sz w:val="19"/>
              </w:rPr>
              <w:t>Chronic infections such as HIV/AIDS and tuberculosis are among the conditions that cause anemia of inflammation.</w:t>
            </w:r>
          </w:p>
          <w:p>
            <w:pPr>
              <w:spacing w:after="40" w:line="252" w:lineRule="auto"/>
            </w:pPr>
            <w:hyperlink r:id="rId9">
              <w:r>
                <w:rPr>
                  <w:rFonts w:ascii="Calibri" w:hAnsi="Calibri" w:cs="Calibri"/>
                  <w:sz w:val="18"/>
                  <w:color w:val="1155CC"/>
                  <w:u w:val="single"/>
                </w:rPr>
                <w:t xml:space="preserve">niddk.nih.gov - anemia of inflammation &amp; chronic disease</w:t>
              </w:r>
            </w:hyperlink>
          </w:p>
          <w:p>
            <w:pPr>
              <w:spacing w:before="60" w:after="40"/>
            </w:pPr>
            <w:r>
              <w:rPr>
                <w:rFonts w:ascii="Calibri" w:hAnsi="Calibri"/>
                <w:b w:val="0"/>
                <w:i w:val="0"/>
                <w:color w:val="5A5A5A"/>
                <w:sz w:val="18"/>
              </w:rPr>
              <w:t>#tuberculosis  #HIV  #chronicinfection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Malignancy</w:t>
            </w:r>
          </w:p>
        </w:tc>
        <w:tc>
          <w:tcPr>
            <w:tcW w:type="dxa" w:w="2160"/>
            <w:vAlign w:val="top"/>
          </w:tcPr>
          <w:p>
            <w:pPr>
              <w:spacing w:after="40" w:before="0" w:line="259" w:lineRule="auto"/>
            </w:pPr>
            <w:r>
              <w:rPr>
                <w:rFonts w:ascii="Calibri" w:hAnsi="Calibri"/>
                <w:b w:val="0"/>
                <w:i w:val="0"/>
                <w:color w:val="212121"/>
                <w:sz w:val="19"/>
              </w:rPr>
              <w:t>Patients with cancer / on chemotherapy</w:t>
            </w:r>
          </w:p>
        </w:tc>
        <w:tc>
          <w:tcPr>
            <w:tcW w:type="dxa" w:w="4276"/>
            <w:vAlign w:val="top"/>
          </w:tcPr>
          <w:p>
            <w:pPr>
              <w:spacing w:after="60" w:line="259" w:lineRule="auto"/>
            </w:pPr>
            <w:r>
              <w:rPr>
                <w:rFonts w:ascii="Calibri" w:hAnsi="Calibri"/>
                <w:b w:val="0"/>
                <w:i w:val="0"/>
                <w:color w:val="212121"/>
                <w:sz w:val="19"/>
              </w:rPr>
              <w:t>Tumour-related cytokines, marrow infiltration and the myelosuppressive effect of chemotherapy and radiotherapy combine to produce anemia in cancer, one of the commonest inflammatory-anemia settings in oncology practice.</w:t>
            </w:r>
          </w:p>
          <w:p>
            <w:pPr>
              <w:spacing w:after="40" w:before="60" w:line="259" w:lineRule="auto"/>
            </w:pPr>
            <w:r>
              <w:rPr>
                <w:rFonts w:ascii="Calibri" w:hAnsi="Calibri"/>
                <w:b w:val="0"/>
                <w:i w:val="0"/>
                <w:color w:val="212121"/>
                <w:sz w:val="19"/>
              </w:rPr>
              <w:t>Cancer, and treatments such as chemotherapy, can reduce red-cell production and raise the risk of anemia.</w:t>
            </w:r>
          </w:p>
          <w:p>
            <w:pPr>
              <w:spacing w:after="40" w:line="252" w:lineRule="auto"/>
            </w:pPr>
            <w:hyperlink r:id="rId13">
              <w:r>
                <w:rPr>
                  <w:rFonts w:ascii="Calibri" w:hAnsi="Calibri" w:cs="Calibri"/>
                  <w:sz w:val="18"/>
                  <w:color w:val="1155CC"/>
                  <w:u w:val="single"/>
                </w:rPr>
                <w:t xml:space="preserve">nhlbi.nih.gov - anemia causes</w:t>
              </w:r>
            </w:hyperlink>
          </w:p>
          <w:p>
            <w:pPr>
              <w:spacing w:before="60" w:after="40"/>
            </w:pPr>
            <w:r>
              <w:rPr>
                <w:rFonts w:ascii="Calibri" w:hAnsi="Calibri"/>
                <w:b w:val="0"/>
                <w:i w:val="0"/>
                <w:color w:val="5A5A5A"/>
                <w:sz w:val="18"/>
              </w:rPr>
              <w:t>#cancer  #chemotherapy  #oncology  #marrowsuppression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Heart failure / IBD</w:t>
            </w:r>
          </w:p>
        </w:tc>
        <w:tc>
          <w:tcPr>
            <w:tcW w:type="dxa" w:w="2160"/>
            <w:vAlign w:val="top"/>
          </w:tcPr>
          <w:p>
            <w:pPr>
              <w:spacing w:after="40" w:before="0" w:line="259" w:lineRule="auto"/>
            </w:pPr>
            <w:r>
              <w:rPr>
                <w:rFonts w:ascii="Calibri" w:hAnsi="Calibri"/>
                <w:b w:val="0"/>
                <w:i w:val="0"/>
                <w:color w:val="212121"/>
                <w:sz w:val="19"/>
              </w:rPr>
              <w:t>Patients with chronic heart failure or inflammatory bowel disease</w:t>
            </w:r>
          </w:p>
        </w:tc>
        <w:tc>
          <w:tcPr>
            <w:tcW w:type="dxa" w:w="4276"/>
            <w:vAlign w:val="top"/>
          </w:tcPr>
          <w:p>
            <w:pPr>
              <w:spacing w:after="60" w:line="259" w:lineRule="auto"/>
            </w:pPr>
            <w:r>
              <w:rPr>
                <w:rFonts w:ascii="Calibri" w:hAnsi="Calibri"/>
                <w:b w:val="0"/>
                <w:i w:val="0"/>
                <w:color w:val="212121"/>
                <w:sz w:val="19"/>
              </w:rPr>
              <w:t>Chronic heart failure and IBD both sustain systemic inflammation; in IBD, ongoing gut blood loss adds true iron deficiency, while in heart failure anemia forms part of the cardio-renal-anemia syndrome and worsens prognosis.</w:t>
            </w:r>
          </w:p>
          <w:p>
            <w:pPr>
              <w:spacing w:after="40" w:before="60" w:line="259" w:lineRule="auto"/>
            </w:pPr>
            <w:r>
              <w:rPr>
                <w:rFonts w:ascii="Calibri" w:hAnsi="Calibri"/>
                <w:b w:val="0"/>
                <w:i w:val="0"/>
                <w:color w:val="212121"/>
                <w:sz w:val="19"/>
              </w:rPr>
              <w:t>Inflammatory bowel disease (Crohn's disease, ulcerative colitis) and heart failure are recognised causes of anemia of inflammation.</w:t>
            </w:r>
          </w:p>
          <w:p>
            <w:pPr>
              <w:spacing w:after="40" w:line="252" w:lineRule="auto"/>
            </w:pPr>
            <w:hyperlink r:id="rId9">
              <w:r>
                <w:rPr>
                  <w:rFonts w:ascii="Calibri" w:hAnsi="Calibri" w:cs="Calibri"/>
                  <w:sz w:val="18"/>
                  <w:color w:val="1155CC"/>
                  <w:u w:val="single"/>
                </w:rPr>
                <w:t xml:space="preserve">niddk.nih.gov - anemia of inflammation &amp; chronic disease</w:t>
              </w:r>
            </w:hyperlink>
          </w:p>
          <w:p>
            <w:pPr>
              <w:spacing w:before="60" w:after="40"/>
            </w:pPr>
            <w:r>
              <w:rPr>
                <w:rFonts w:ascii="Calibri" w:hAnsi="Calibri"/>
                <w:b w:val="0"/>
                <w:i w:val="0"/>
                <w:color w:val="5A5A5A"/>
                <w:sz w:val="18"/>
              </w:rPr>
              <w:t>#heartfailure  #IBD  #cardiorenalanemia  #chronicinflammation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obesity sustain a low-grade inflammatory state (raised IL-6) that increases hepcidin and mild functional iron deficiency, whereas regular activity lowers chronic inflammatory markers; activity does not cure ACD, which is driven by the underlying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Because hepcidin blocks iron absorption, dietary iron is poorly used in active inflammation, so oral iron alone often fails; nutrition still matters for correcting coexisting iron, B12 and folate deficiency and for anti-inflammatory support of the underlying illness.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sleep deprivation modestly raises inflammatory cytokines (IL-6, CRP), which could theoretically aggravate inflammatory anemia, but the direct effect on ACD is small and indirect.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promotes systemic inflammation and COPD; the resulting cytokine load and chronic hypoxia can blunt effective erythropoiesis and contribute to an inflammatory anemia picture.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causes hepatic inflammation and can coexist with direct marrow toxicity and folate deficiency, layering an inflammatory component onto a multifactorial anemia.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psychological stress and depression are associated with raised inflammatory markers and often accompany chronic illness, but their causal contribution to ACD is minor and bidirectional.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status changes plasma volume and can mask or exaggerate the measured haemoglobin (haemoconcentration or dilution) but does not cause or cure the underlying inflammatory anemia.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Tea and coffee polyphenols/tannins inhibit non-haem iron absorption, which matters mainly when there is coexisting iron deficiency; they have little direct effect on the sequestration mechanism of ACD.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sanitation and hygiene increase chronic and recurrent infections (tuberculosis, H. pylori, intestinal parasites/hookworm) that both drive inflammation and cause blood loss - a particularly important, modifiable lever in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infection, disease flares (e.g., a rheumatoid arthritis flare), tumour progression and major surgery acutely raise cytokines and hepcidin and can precipitate or worsen the anemia.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Haemoglobin</w:t>
            </w:r>
          </w:p>
        </w:tc>
        <w:tc>
          <w:tcPr>
            <w:tcW w:type="dxa" w:w="1655"/>
            <w:vAlign w:val="top"/>
          </w:tcPr>
          <w:p>
            <w:pPr>
              <w:spacing w:after="40" w:before="0" w:line="259" w:lineRule="auto"/>
            </w:pPr>
            <w:r>
              <w:rPr>
                <w:rFonts w:ascii="Calibri" w:hAnsi="Calibri"/>
                <w:b w:val="0"/>
                <w:i w:val="0"/>
                <w:color w:val="212121"/>
                <w:sz w:val="19"/>
              </w:rPr>
              <w:t>Adults with chronic inflammatory disease</w:t>
            </w:r>
          </w:p>
        </w:tc>
        <w:tc>
          <w:tcPr>
            <w:tcW w:type="dxa" w:w="1512"/>
            <w:vAlign w:val="top"/>
          </w:tcPr>
          <w:p>
            <w:pPr>
              <w:spacing w:after="40" w:before="0" w:line="259" w:lineRule="auto"/>
            </w:pPr>
            <w:r>
              <w:rPr>
                <w:rFonts w:ascii="Calibri" w:hAnsi="Calibri"/>
                <w:b w:val="0"/>
                <w:i w:val="0"/>
                <w:color w:val="212121"/>
                <w:sz w:val="19"/>
              </w:rPr>
              <w:t>M &gt;= 13 g/dL; F &gt;= 12 g/dL</w:t>
            </w:r>
          </w:p>
        </w:tc>
        <w:tc>
          <w:tcPr>
            <w:tcW w:type="dxa" w:w="1512"/>
            <w:vAlign w:val="top"/>
          </w:tcPr>
          <w:p>
            <w:pPr>
              <w:spacing w:after="40" w:before="0" w:line="259" w:lineRule="auto"/>
            </w:pPr>
            <w:r>
              <w:rPr>
                <w:rFonts w:ascii="Calibri" w:hAnsi="Calibri"/>
                <w:b w:val="0"/>
                <w:i w:val="0"/>
                <w:color w:val="212121"/>
                <w:sz w:val="19"/>
              </w:rPr>
              <w:t>Below WHO cut-offs; ACD usually keeps Hb &gt; 8 g/dL</w:t>
            </w:r>
          </w:p>
        </w:tc>
        <w:tc>
          <w:tcPr>
            <w:tcW w:type="dxa" w:w="1468"/>
            <w:vAlign w:val="top"/>
          </w:tcPr>
          <w:p>
            <w:pPr>
              <w:spacing w:after="60" w:line="259" w:lineRule="auto"/>
            </w:pPr>
            <w:r>
              <w:rPr>
                <w:rFonts w:ascii="Calibri" w:hAnsi="Calibri"/>
                <w:b w:val="0"/>
                <w:i w:val="0"/>
                <w:color w:val="212121"/>
                <w:sz w:val="19"/>
              </w:rPr>
              <w:t>Hb below 8 g/dL suggests an additional mechanism (bleeding, haemolysis, marrow disease)</w:t>
            </w:r>
          </w:p>
          <w:p>
            <w:pPr>
              <w:spacing w:after="40" w:line="252" w:lineRule="auto"/>
            </w:pPr>
            <w:hyperlink r:id="rId12">
              <w:r>
                <w:rPr>
                  <w:rFonts w:ascii="Calibri" w:hAnsi="Calibri" w:cs="Calibri"/>
                  <w:sz w:val="18"/>
                  <w:color w:val="1155CC"/>
                  <w:u w:val="single"/>
                </w:rPr>
                <w:t xml:space="preserve">https://www.merckmanuals.com/professional/hematology-and-oncology/anemias-caused-by-deficient-erythropoiesis/anemia-of-chronic-disease</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Mean corpuscular volume (MCV)</w:t>
            </w:r>
          </w:p>
        </w:tc>
        <w:tc>
          <w:tcPr>
            <w:tcW w:type="dxa" w:w="1655"/>
            <w:vAlign w:val="top"/>
          </w:tcPr>
          <w:p>
            <w:pPr>
              <w:spacing w:after="40" w:before="0" w:line="259" w:lineRule="auto"/>
            </w:pPr>
            <w:r>
              <w:rPr>
                <w:rFonts w:ascii="Calibri" w:hAnsi="Calibri"/>
                <w:b w:val="0"/>
                <w:i w:val="0"/>
                <w:color w:val="212121"/>
                <w:sz w:val="19"/>
              </w:rPr>
              <w:t>Patients with suspected ACD</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Normocytic early; mildly low (microcytic) later</w:t>
            </w:r>
          </w:p>
        </w:tc>
        <w:tc>
          <w:tcPr>
            <w:tcW w:type="dxa" w:w="1468"/>
            <w:vAlign w:val="top"/>
          </w:tcPr>
          <w:p>
            <w:pPr>
              <w:spacing w:after="60" w:line="259" w:lineRule="auto"/>
            </w:pPr>
            <w:r>
              <w:rPr>
                <w:rFonts w:ascii="Calibri" w:hAnsi="Calibri"/>
                <w:b w:val="0"/>
                <w:i w:val="0"/>
                <w:color w:val="212121"/>
                <w:sz w:val="19"/>
              </w:rPr>
              <w:t>Marked microcytosis points to iron deficiency or thalassaemia trait rather than pure ACD</w:t>
            </w:r>
          </w:p>
          <w:p>
            <w:pPr>
              <w:spacing w:after="40" w:line="252" w:lineRule="auto"/>
            </w:pPr>
            <w:hyperlink r:id="rId12">
              <w:r>
                <w:rPr>
                  <w:rFonts w:ascii="Calibri" w:hAnsi="Calibri" w:cs="Calibri"/>
                  <w:sz w:val="18"/>
                  <w:color w:val="1155CC"/>
                  <w:u w:val="single"/>
                </w:rPr>
                <w:t xml:space="preserve">https://www.merckmanuals.com/professional/hematology-and-oncology/anemias-caused-by-deficient-erythropoiesis/anemia-of-chronic-disease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w:t>
            </w:r>
          </w:p>
        </w:tc>
        <w:tc>
          <w:tcPr>
            <w:tcW w:type="dxa" w:w="1655"/>
            <w:vAlign w:val="top"/>
          </w:tcPr>
          <w:p>
            <w:pPr>
              <w:spacing w:after="40" w:before="0" w:line="259" w:lineRule="auto"/>
            </w:pPr>
            <w:r>
              <w:rPr>
                <w:rFonts w:ascii="Calibri" w:hAnsi="Calibri"/>
                <w:b w:val="0"/>
                <w:i w:val="0"/>
                <w:color w:val="212121"/>
                <w:sz w:val="19"/>
              </w:rPr>
              <w:t>Inflamed anemic patients</w:t>
            </w:r>
          </w:p>
        </w:tc>
        <w:tc>
          <w:tcPr>
            <w:tcW w:type="dxa" w:w="1512"/>
            <w:vAlign w:val="top"/>
          </w:tcPr>
          <w:p>
            <w:pPr>
              <w:spacing w:after="40" w:before="0" w:line="259" w:lineRule="auto"/>
            </w:pPr>
            <w:r>
              <w:rPr>
                <w:rFonts w:ascii="Calibri" w:hAnsi="Calibri"/>
                <w:b w:val="0"/>
                <w:i w:val="0"/>
                <w:color w:val="212121"/>
                <w:sz w:val="19"/>
              </w:rPr>
              <w:t>Normal to high in ACD</w:t>
            </w:r>
          </w:p>
        </w:tc>
        <w:tc>
          <w:tcPr>
            <w:tcW w:type="dxa" w:w="1512"/>
            <w:vAlign w:val="top"/>
          </w:tcPr>
          <w:p>
            <w:pPr>
              <w:spacing w:after="40" w:before="0" w:line="259" w:lineRule="auto"/>
            </w:pPr>
            <w:r>
              <w:rPr>
                <w:rFonts w:ascii="Calibri" w:hAnsi="Calibri"/>
                <w:b w:val="0"/>
                <w:i w:val="0"/>
                <w:color w:val="212121"/>
                <w:sz w:val="19"/>
              </w:rPr>
              <w:t>&lt; 100 ng/mL with active inflammation suggests superimposed iron deficiency</w:t>
            </w:r>
          </w:p>
        </w:tc>
        <w:tc>
          <w:tcPr>
            <w:tcW w:type="dxa" w:w="1468"/>
            <w:vAlign w:val="top"/>
          </w:tcPr>
          <w:p>
            <w:pPr>
              <w:spacing w:after="60" w:line="259" w:lineRule="auto"/>
            </w:pPr>
            <w:r>
              <w:rPr>
                <w:rFonts w:ascii="Calibri" w:hAnsi="Calibri"/>
                <w:b w:val="0"/>
                <w:i w:val="0"/>
                <w:color w:val="212121"/>
                <w:sz w:val="19"/>
              </w:rPr>
              <w:t>Ferritin is an acute-phase reactant and rises with inflammation, so low-normal values are meaningful</w:t>
            </w:r>
          </w:p>
          <w:p>
            <w:pPr>
              <w:spacing w:after="40" w:line="252" w:lineRule="auto"/>
            </w:pPr>
            <w:hyperlink r:id="rId12">
              <w:r>
                <w:rPr>
                  <w:rFonts w:ascii="Calibri" w:hAnsi="Calibri" w:cs="Calibri"/>
                  <w:sz w:val="18"/>
                  <w:color w:val="1155CC"/>
                  <w:u w:val="single"/>
                </w:rPr>
                <w:t xml:space="preserve">https://www.merckmanuals.com/professional/hematology-and-oncology/anemias-caused-by-deficient-erythropoiesis/anemia-of-chronic-disease</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iron</w:t>
            </w:r>
          </w:p>
        </w:tc>
        <w:tc>
          <w:tcPr>
            <w:tcW w:type="dxa" w:w="1655"/>
            <w:vAlign w:val="top"/>
          </w:tcPr>
          <w:p>
            <w:pPr>
              <w:spacing w:after="40" w:before="0" w:line="259" w:lineRule="auto"/>
            </w:pPr>
            <w:r>
              <w:rPr>
                <w:rFonts w:ascii="Calibri" w:hAnsi="Calibri"/>
                <w:b w:val="0"/>
                <w:i w:val="0"/>
                <w:color w:val="212121"/>
                <w:sz w:val="19"/>
              </w:rPr>
              <w:t>Anemic patients under evaluation</w:t>
            </w:r>
          </w:p>
        </w:tc>
        <w:tc>
          <w:tcPr>
            <w:tcW w:type="dxa" w:w="1512"/>
            <w:vAlign w:val="top"/>
          </w:tcPr>
          <w:p>
            <w:pPr>
              <w:spacing w:after="40" w:before="0" w:line="259" w:lineRule="auto"/>
            </w:pPr>
            <w:r>
              <w:rPr>
                <w:rFonts w:ascii="Calibri" w:hAnsi="Calibri"/>
                <w:b w:val="0"/>
                <w:i w:val="0"/>
                <w:color w:val="212121"/>
                <w:sz w:val="19"/>
              </w:rPr>
              <w:t>Within reference range</w:t>
            </w:r>
          </w:p>
        </w:tc>
        <w:tc>
          <w:tcPr>
            <w:tcW w:type="dxa" w:w="1512"/>
            <w:vAlign w:val="top"/>
          </w:tcPr>
          <w:p>
            <w:pPr>
              <w:spacing w:after="40" w:before="0" w:line="259" w:lineRule="auto"/>
            </w:pPr>
            <w:r>
              <w:rPr>
                <w:rFonts w:ascii="Calibri" w:hAnsi="Calibri"/>
                <w:b w:val="0"/>
                <w:i w:val="0"/>
                <w:color w:val="212121"/>
                <w:sz w:val="19"/>
              </w:rPr>
              <w:t>Low</w:t>
            </w:r>
          </w:p>
        </w:tc>
        <w:tc>
          <w:tcPr>
            <w:tcW w:type="dxa" w:w="1468"/>
            <w:vAlign w:val="top"/>
          </w:tcPr>
          <w:p>
            <w:pPr>
              <w:spacing w:after="60" w:line="259" w:lineRule="auto"/>
            </w:pPr>
            <w:r>
              <w:rPr>
                <w:rFonts w:ascii="Calibri" w:hAnsi="Calibri"/>
                <w:b w:val="0"/>
                <w:i w:val="0"/>
                <w:color w:val="212121"/>
                <w:sz w:val="19"/>
              </w:rPr>
              <w:t>Low serum iron with low/normal TIBC is the ACD pattern</w:t>
            </w:r>
          </w:p>
          <w:p>
            <w:pPr>
              <w:spacing w:after="40" w:line="252" w:lineRule="auto"/>
            </w:pPr>
            <w:hyperlink r:id="rId12">
              <w:r>
                <w:rPr>
                  <w:rFonts w:ascii="Calibri" w:hAnsi="Calibri" w:cs="Calibri"/>
                  <w:sz w:val="18"/>
                  <w:color w:val="1155CC"/>
                  <w:u w:val="single"/>
                </w:rPr>
                <w:t xml:space="preserve">https://www.merckmanuals.com/professional/hematology-and-oncology/anemias-caused-by-deficient-erythropoiesis/anemia-of-chronic-disease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iron-binding capacity / transferrin</w:t>
            </w:r>
          </w:p>
        </w:tc>
        <w:tc>
          <w:tcPr>
            <w:tcW w:type="dxa" w:w="1655"/>
            <w:vAlign w:val="top"/>
          </w:tcPr>
          <w:p>
            <w:pPr>
              <w:spacing w:after="40" w:before="0" w:line="259" w:lineRule="auto"/>
            </w:pPr>
            <w:r>
              <w:rPr>
                <w:rFonts w:ascii="Calibri" w:hAnsi="Calibri"/>
                <w:b w:val="0"/>
                <w:i w:val="0"/>
                <w:color w:val="212121"/>
                <w:sz w:val="19"/>
              </w:rPr>
              <w:t>Anemic patients under evaluation</w:t>
            </w:r>
          </w:p>
        </w:tc>
        <w:tc>
          <w:tcPr>
            <w:tcW w:type="dxa" w:w="1512"/>
            <w:vAlign w:val="top"/>
          </w:tcPr>
          <w:p>
            <w:pPr>
              <w:spacing w:after="40" w:before="0" w:line="259" w:lineRule="auto"/>
            </w:pPr>
            <w:r>
              <w:rPr>
                <w:rFonts w:ascii="Calibri" w:hAnsi="Calibri"/>
                <w:b w:val="0"/>
                <w:i w:val="0"/>
                <w:color w:val="212121"/>
                <w:sz w:val="19"/>
              </w:rPr>
              <w:t>Within reference range</w:t>
            </w:r>
          </w:p>
        </w:tc>
        <w:tc>
          <w:tcPr>
            <w:tcW w:type="dxa" w:w="1512"/>
            <w:vAlign w:val="top"/>
          </w:tcPr>
          <w:p>
            <w:pPr>
              <w:spacing w:after="40" w:before="0" w:line="259" w:lineRule="auto"/>
            </w:pPr>
            <w:r>
              <w:rPr>
                <w:rFonts w:ascii="Calibri" w:hAnsi="Calibri"/>
                <w:b w:val="0"/>
                <w:i w:val="0"/>
                <w:color w:val="212121"/>
                <w:sz w:val="19"/>
              </w:rPr>
              <w:t>Low or normal in ACD (high in iron-deficiency anemia)</w:t>
            </w:r>
          </w:p>
        </w:tc>
        <w:tc>
          <w:tcPr>
            <w:tcW w:type="dxa" w:w="1468"/>
            <w:vAlign w:val="top"/>
          </w:tcPr>
          <w:p>
            <w:pPr>
              <w:spacing w:after="60" w:line="259" w:lineRule="auto"/>
            </w:pPr>
            <w:r>
              <w:rPr>
                <w:rFonts w:ascii="Calibri" w:hAnsi="Calibri"/>
                <w:b w:val="0"/>
                <w:i w:val="0"/>
                <w:color w:val="212121"/>
                <w:sz w:val="19"/>
              </w:rPr>
              <w:t>A LOW/normal TIBC is the key feature separating ACD from iron-deficiency anemia</w:t>
            </w:r>
          </w:p>
          <w:p>
            <w:pPr>
              <w:spacing w:after="40" w:line="252" w:lineRule="auto"/>
            </w:pPr>
            <w:hyperlink r:id="rId12">
              <w:r>
                <w:rPr>
                  <w:rFonts w:ascii="Calibri" w:hAnsi="Calibri" w:cs="Calibri"/>
                  <w:sz w:val="18"/>
                  <w:color w:val="1155CC"/>
                  <w:u w:val="single"/>
                </w:rPr>
                <w:t xml:space="preserve">https://www.merckmanuals.com/professional/hematology-and-oncology/anemias-caused-by-deficient-erythropoiesis/anemia-of-chronic-disease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Transferrin saturation (TSAT)</w:t>
            </w:r>
          </w:p>
        </w:tc>
        <w:tc>
          <w:tcPr>
            <w:tcW w:type="dxa" w:w="1655"/>
            <w:vAlign w:val="top"/>
          </w:tcPr>
          <w:p>
            <w:pPr>
              <w:spacing w:after="40" w:before="0" w:line="259" w:lineRule="auto"/>
            </w:pPr>
            <w:r>
              <w:rPr>
                <w:rFonts w:ascii="Calibri" w:hAnsi="Calibri"/>
                <w:b w:val="0"/>
                <w:i w:val="0"/>
                <w:color w:val="212121"/>
                <w:sz w:val="19"/>
              </w:rPr>
              <w:t>Anemic patients under evaluation</w:t>
            </w:r>
          </w:p>
        </w:tc>
        <w:tc>
          <w:tcPr>
            <w:tcW w:type="dxa" w:w="1512"/>
            <w:vAlign w:val="top"/>
          </w:tcPr>
          <w:p>
            <w:pPr>
              <w:spacing w:after="40" w:before="0" w:line="259" w:lineRule="auto"/>
            </w:pPr>
            <w:r>
              <w:rPr>
                <w:rFonts w:ascii="Calibri" w:hAnsi="Calibri"/>
                <w:b w:val="0"/>
                <w:i w:val="0"/>
                <w:color w:val="212121"/>
                <w:sz w:val="19"/>
              </w:rPr>
              <w:t>20-45%</w:t>
            </w:r>
          </w:p>
        </w:tc>
        <w:tc>
          <w:tcPr>
            <w:tcW w:type="dxa" w:w="1512"/>
            <w:vAlign w:val="top"/>
          </w:tcPr>
          <w:p>
            <w:pPr>
              <w:spacing w:after="40" w:before="0" w:line="259" w:lineRule="auto"/>
            </w:pPr>
            <w:r>
              <w:rPr>
                <w:rFonts w:ascii="Calibri" w:hAnsi="Calibri"/>
                <w:b w:val="0"/>
                <w:i w:val="0"/>
                <w:color w:val="212121"/>
                <w:sz w:val="19"/>
              </w:rPr>
              <w:t>Reduced (often &lt; 20%)</w:t>
            </w:r>
          </w:p>
        </w:tc>
        <w:tc>
          <w:tcPr>
            <w:tcW w:type="dxa" w:w="1468"/>
            <w:vAlign w:val="top"/>
          </w:tcPr>
          <w:p>
            <w:pPr>
              <w:spacing w:after="40" w:before="0" w:line="259" w:lineRule="auto"/>
            </w:pPr>
            <w:r>
              <w:rPr>
                <w:rFonts w:ascii="Calibri" w:hAnsi="Calibri"/>
                <w:b w:val="0"/>
                <w:i w:val="0"/>
                <w:color w:val="212121"/>
                <w:sz w:val="19"/>
              </w:rPr>
              <w:t>Low in both ACD and iron deficiency; interpret with ferritin and TIBC</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Reticulocyte count</w:t>
            </w:r>
          </w:p>
        </w:tc>
        <w:tc>
          <w:tcPr>
            <w:tcW w:type="dxa" w:w="1655"/>
            <w:vAlign w:val="top"/>
          </w:tcPr>
          <w:p>
            <w:pPr>
              <w:spacing w:after="40" w:before="0" w:line="259" w:lineRule="auto"/>
            </w:pPr>
            <w:r>
              <w:rPr>
                <w:rFonts w:ascii="Calibri" w:hAnsi="Calibri"/>
                <w:b w:val="0"/>
                <w:i w:val="0"/>
                <w:color w:val="212121"/>
                <w:sz w:val="19"/>
              </w:rPr>
              <w:t>Anemic patients under evaluation</w:t>
            </w:r>
          </w:p>
        </w:tc>
        <w:tc>
          <w:tcPr>
            <w:tcW w:type="dxa" w:w="1512"/>
            <w:vAlign w:val="top"/>
          </w:tcPr>
          <w:p>
            <w:pPr>
              <w:spacing w:after="40" w:before="0" w:line="259" w:lineRule="auto"/>
            </w:pPr>
            <w:r>
              <w:rPr>
                <w:rFonts w:ascii="Calibri" w:hAnsi="Calibri"/>
                <w:b w:val="0"/>
                <w:i w:val="0"/>
                <w:color w:val="212121"/>
                <w:sz w:val="19"/>
              </w:rPr>
              <w:t>Appropriately raised for degree of anemia</w:t>
            </w:r>
          </w:p>
        </w:tc>
        <w:tc>
          <w:tcPr>
            <w:tcW w:type="dxa" w:w="1512"/>
            <w:vAlign w:val="top"/>
          </w:tcPr>
          <w:p>
            <w:pPr>
              <w:spacing w:after="40" w:before="0" w:line="259" w:lineRule="auto"/>
            </w:pPr>
            <w:r>
              <w:rPr>
                <w:rFonts w:ascii="Calibri" w:hAnsi="Calibri"/>
                <w:b w:val="0"/>
                <w:i w:val="0"/>
                <w:color w:val="212121"/>
                <w:sz w:val="19"/>
              </w:rPr>
              <w:t>Low / inappropriately normal</w:t>
            </w:r>
          </w:p>
        </w:tc>
        <w:tc>
          <w:tcPr>
            <w:tcW w:type="dxa" w:w="1468"/>
            <w:vAlign w:val="top"/>
          </w:tcPr>
          <w:p>
            <w:pPr>
              <w:spacing w:after="60" w:line="259" w:lineRule="auto"/>
            </w:pPr>
            <w:r>
              <w:rPr>
                <w:rFonts w:ascii="Calibri" w:hAnsi="Calibri"/>
                <w:b w:val="0"/>
                <w:i w:val="0"/>
                <w:color w:val="212121"/>
                <w:sz w:val="19"/>
              </w:rPr>
              <w:t>Confirms a hypoproliferative marrow response</w:t>
            </w:r>
          </w:p>
          <w:p>
            <w:pPr>
              <w:spacing w:after="40" w:line="252" w:lineRule="auto"/>
            </w:pPr>
            <w:hyperlink r:id="rId12">
              <w:r>
                <w:rPr>
                  <w:rFonts w:ascii="Calibri" w:hAnsi="Calibri" w:cs="Calibri"/>
                  <w:sz w:val="18"/>
                  <w:color w:val="1155CC"/>
                  <w:u w:val="single"/>
                </w:rPr>
                <w:t xml:space="preserve">https://www.merckmanuals.com/professional/hematology-and-oncology/anemias-caused-by-deficient-erythropoiesis/anemia-of-chronic-disease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C-reactive protein (CRP)</w:t>
            </w:r>
          </w:p>
        </w:tc>
        <w:tc>
          <w:tcPr>
            <w:tcW w:type="dxa" w:w="1655"/>
            <w:vAlign w:val="top"/>
          </w:tcPr>
          <w:p>
            <w:pPr>
              <w:spacing w:after="40" w:before="0" w:line="259" w:lineRule="auto"/>
            </w:pPr>
            <w:r>
              <w:rPr>
                <w:rFonts w:ascii="Calibri" w:hAnsi="Calibri"/>
                <w:b w:val="0"/>
                <w:i w:val="0"/>
                <w:color w:val="212121"/>
                <w:sz w:val="19"/>
              </w:rPr>
              <w:t>Patients with suspected inflammatory anemia</w:t>
            </w:r>
          </w:p>
        </w:tc>
        <w:tc>
          <w:tcPr>
            <w:tcW w:type="dxa" w:w="1512"/>
            <w:vAlign w:val="top"/>
          </w:tcPr>
          <w:p>
            <w:pPr>
              <w:spacing w:after="40" w:before="0" w:line="259" w:lineRule="auto"/>
            </w:pPr>
            <w:r>
              <w:rPr>
                <w:rFonts w:ascii="Calibri" w:hAnsi="Calibri"/>
                <w:b w:val="0"/>
                <w:i w:val="0"/>
                <w:color w:val="212121"/>
                <w:sz w:val="19"/>
              </w:rPr>
              <w:t>&lt; 5 mg/L</w:t>
            </w:r>
          </w:p>
        </w:tc>
        <w:tc>
          <w:tcPr>
            <w:tcW w:type="dxa" w:w="1512"/>
            <w:vAlign w:val="top"/>
          </w:tcPr>
          <w:p>
            <w:pPr>
              <w:spacing w:after="40" w:before="0" w:line="259" w:lineRule="auto"/>
            </w:pPr>
            <w:r>
              <w:rPr>
                <w:rFonts w:ascii="Calibri" w:hAnsi="Calibri"/>
                <w:b w:val="0"/>
                <w:i w:val="0"/>
                <w:color w:val="212121"/>
                <w:sz w:val="19"/>
              </w:rPr>
              <w:t>Elevated</w:t>
            </w:r>
          </w:p>
        </w:tc>
        <w:tc>
          <w:tcPr>
            <w:tcW w:type="dxa" w:w="1468"/>
            <w:vAlign w:val="top"/>
          </w:tcPr>
          <w:p>
            <w:pPr>
              <w:spacing w:after="40" w:before="0" w:line="259" w:lineRule="auto"/>
            </w:pPr>
            <w:r>
              <w:rPr>
                <w:rFonts w:ascii="Calibri" w:hAnsi="Calibri"/>
                <w:b w:val="0"/>
                <w:i w:val="0"/>
                <w:color w:val="212121"/>
                <w:sz w:val="19"/>
              </w:rPr>
              <w:t>Confirms the active inflammation underlying ACD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Erythrocyte sedimentation rate (ESR)</w:t>
            </w:r>
          </w:p>
        </w:tc>
        <w:tc>
          <w:tcPr>
            <w:tcW w:type="dxa" w:w="1655"/>
            <w:vAlign w:val="top"/>
          </w:tcPr>
          <w:p>
            <w:pPr>
              <w:spacing w:after="40" w:before="0" w:line="259" w:lineRule="auto"/>
            </w:pPr>
            <w:r>
              <w:rPr>
                <w:rFonts w:ascii="Calibri" w:hAnsi="Calibri"/>
                <w:b w:val="0"/>
                <w:i w:val="0"/>
                <w:color w:val="212121"/>
                <w:sz w:val="19"/>
              </w:rPr>
              <w:t>Patients with suspected inflammatory anemia</w:t>
            </w:r>
          </w:p>
        </w:tc>
        <w:tc>
          <w:tcPr>
            <w:tcW w:type="dxa" w:w="1512"/>
            <w:vAlign w:val="top"/>
          </w:tcPr>
          <w:p>
            <w:pPr>
              <w:spacing w:after="40" w:before="0" w:line="259" w:lineRule="auto"/>
            </w:pPr>
            <w:r>
              <w:rPr>
                <w:rFonts w:ascii="Calibri" w:hAnsi="Calibri"/>
                <w:b w:val="0"/>
                <w:i w:val="0"/>
                <w:color w:val="212121"/>
                <w:sz w:val="19"/>
              </w:rPr>
              <w:t>Age/sex appropriate (roughly &lt; 20 mm/hr)</w:t>
            </w:r>
          </w:p>
        </w:tc>
        <w:tc>
          <w:tcPr>
            <w:tcW w:type="dxa" w:w="1512"/>
            <w:vAlign w:val="top"/>
          </w:tcPr>
          <w:p>
            <w:pPr>
              <w:spacing w:after="40" w:before="0" w:line="259" w:lineRule="auto"/>
            </w:pPr>
            <w:r>
              <w:rPr>
                <w:rFonts w:ascii="Calibri" w:hAnsi="Calibri"/>
                <w:b w:val="0"/>
                <w:i w:val="0"/>
                <w:color w:val="212121"/>
                <w:sz w:val="19"/>
              </w:rPr>
              <w:t>Elevated</w:t>
            </w:r>
          </w:p>
        </w:tc>
        <w:tc>
          <w:tcPr>
            <w:tcW w:type="dxa" w:w="1468"/>
            <w:vAlign w:val="top"/>
          </w:tcPr>
          <w:p>
            <w:pPr>
              <w:spacing w:after="40" w:before="0" w:line="259" w:lineRule="auto"/>
            </w:pPr>
            <w:r>
              <w:rPr>
                <w:rFonts w:ascii="Calibri" w:hAnsi="Calibri"/>
                <w:b w:val="0"/>
                <w:i w:val="0"/>
                <w:color w:val="212121"/>
                <w:sz w:val="19"/>
              </w:rPr>
              <w:t>Non-specific marker of chronic inflammation supporting the diagnosis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Soluble transferrin receptor / sTfR-ferritin index</w:t>
            </w:r>
          </w:p>
        </w:tc>
        <w:tc>
          <w:tcPr>
            <w:tcW w:type="dxa" w:w="1655"/>
            <w:vAlign w:val="top"/>
          </w:tcPr>
          <w:p>
            <w:pPr>
              <w:spacing w:after="40" w:before="0" w:line="259" w:lineRule="auto"/>
            </w:pPr>
            <w:r>
              <w:rPr>
                <w:rFonts w:ascii="Calibri" w:hAnsi="Calibri"/>
                <w:b w:val="0"/>
                <w:i w:val="0"/>
                <w:color w:val="212121"/>
                <w:sz w:val="19"/>
              </w:rPr>
              <w:t>Distinguishing pure ACD from combined ACD + iron deficiency</w:t>
            </w:r>
          </w:p>
        </w:tc>
        <w:tc>
          <w:tcPr>
            <w:tcW w:type="dxa" w:w="1512"/>
            <w:vAlign w:val="top"/>
          </w:tcPr>
          <w:p>
            <w:pPr>
              <w:spacing w:after="40" w:before="0" w:line="259" w:lineRule="auto"/>
            </w:pPr>
            <w:r>
              <w:rPr>
                <w:rFonts w:ascii="Calibri" w:hAnsi="Calibri"/>
                <w:b w:val="0"/>
                <w:i w:val="0"/>
                <w:color w:val="212121"/>
                <w:sz w:val="19"/>
              </w:rPr>
              <w:t>Normal sTfR in pure ACD</w:t>
            </w:r>
          </w:p>
        </w:tc>
        <w:tc>
          <w:tcPr>
            <w:tcW w:type="dxa" w:w="1512"/>
            <w:vAlign w:val="top"/>
          </w:tcPr>
          <w:p>
            <w:pPr>
              <w:spacing w:after="40" w:before="0" w:line="259" w:lineRule="auto"/>
            </w:pPr>
            <w:r>
              <w:rPr>
                <w:rFonts w:ascii="Calibri" w:hAnsi="Calibri"/>
                <w:b w:val="0"/>
                <w:i w:val="0"/>
                <w:color w:val="212121"/>
                <w:sz w:val="19"/>
              </w:rPr>
              <w:t>Raised sTfR / high index indicates coexisting iron deficiency</w:t>
            </w:r>
          </w:p>
        </w:tc>
        <w:tc>
          <w:tcPr>
            <w:tcW w:type="dxa" w:w="1468"/>
            <w:vAlign w:val="top"/>
          </w:tcPr>
          <w:p>
            <w:pPr>
              <w:spacing w:after="40" w:before="0" w:line="259" w:lineRule="auto"/>
            </w:pPr>
            <w:r>
              <w:rPr>
                <w:rFonts w:ascii="Calibri" w:hAnsi="Calibri"/>
                <w:b w:val="0"/>
                <w:i w:val="0"/>
                <w:color w:val="212121"/>
                <w:sz w:val="19"/>
              </w:rPr>
              <w:t>Helpful where ferritin is confounded by inflammation</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cut-offs)</w:t>
            </w:r>
          </w:p>
        </w:tc>
        <w:tc>
          <w:tcPr>
            <w:tcW w:type="dxa" w:w="1655"/>
            <w:vAlign w:val="top"/>
          </w:tcPr>
          <w:p>
            <w:pPr>
              <w:spacing w:after="40" w:before="0" w:line="259" w:lineRule="auto"/>
            </w:pPr>
            <w:r>
              <w:rPr>
                <w:rFonts w:ascii="Calibri" w:hAnsi="Calibri"/>
                <w:b w:val="0"/>
                <w:i w:val="0"/>
                <w:color w:val="212121"/>
                <w:sz w:val="19"/>
              </w:rPr>
              <w:t>Obesity-related inflammatory anemia</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 23 kg/m^2 (at risk); &gt;= 25 kg/m^2 (obese)</w:t>
            </w:r>
          </w:p>
        </w:tc>
        <w:tc>
          <w:tcPr>
            <w:tcW w:type="dxa" w:w="1468"/>
            <w:vAlign w:val="top"/>
          </w:tcPr>
          <w:p>
            <w:pPr>
              <w:spacing w:after="40" w:before="0" w:line="259" w:lineRule="auto"/>
            </w:pPr>
            <w:r>
              <w:rPr>
                <w:rFonts w:ascii="Calibri" w:hAnsi="Calibri"/>
                <w:b w:val="0"/>
                <w:i w:val="0"/>
                <w:color w:val="212121"/>
                <w:sz w:val="19"/>
              </w:rPr>
              <w:t>Adipose-driven IL-6 raises hepcidin; weight control reduces inflammatory drive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Estimated GFR (renal function)</w:t>
            </w:r>
          </w:p>
        </w:tc>
        <w:tc>
          <w:tcPr>
            <w:tcW w:type="dxa" w:w="1655"/>
            <w:vAlign w:val="top"/>
          </w:tcPr>
          <w:p>
            <w:pPr>
              <w:spacing w:after="40" w:before="0" w:line="259" w:lineRule="auto"/>
            </w:pPr>
            <w:r>
              <w:rPr>
                <w:rFonts w:ascii="Calibri" w:hAnsi="Calibri"/>
                <w:b w:val="0"/>
                <w:i w:val="0"/>
                <w:color w:val="212121"/>
                <w:sz w:val="19"/>
              </w:rPr>
              <w:t>Patients with CKD-related anemia</w:t>
            </w:r>
          </w:p>
        </w:tc>
        <w:tc>
          <w:tcPr>
            <w:tcW w:type="dxa" w:w="1512"/>
            <w:vAlign w:val="top"/>
          </w:tcPr>
          <w:p>
            <w:pPr>
              <w:spacing w:after="40" w:before="0" w:line="259" w:lineRule="auto"/>
            </w:pPr>
            <w:r>
              <w:rPr>
                <w:rFonts w:ascii="Calibri" w:hAnsi="Calibri"/>
                <w:b w:val="0"/>
                <w:i w:val="0"/>
                <w:color w:val="212121"/>
                <w:sz w:val="19"/>
              </w:rPr>
              <w:t>&gt;= 90 mL/min/1.73m^2</w:t>
            </w:r>
          </w:p>
        </w:tc>
        <w:tc>
          <w:tcPr>
            <w:tcW w:type="dxa" w:w="1512"/>
            <w:vAlign w:val="top"/>
          </w:tcPr>
          <w:p>
            <w:pPr>
              <w:spacing w:after="40" w:before="0" w:line="259" w:lineRule="auto"/>
            </w:pPr>
            <w:r>
              <w:rPr>
                <w:rFonts w:ascii="Calibri" w:hAnsi="Calibri"/>
                <w:b w:val="0"/>
                <w:i w:val="0"/>
                <w:color w:val="212121"/>
                <w:sz w:val="19"/>
              </w:rPr>
              <w:t>Falling eGFR (anemia rises as CKD advances)</w:t>
            </w:r>
          </w:p>
        </w:tc>
        <w:tc>
          <w:tcPr>
            <w:tcW w:type="dxa" w:w="1468"/>
            <w:vAlign w:val="top"/>
          </w:tcPr>
          <w:p>
            <w:pPr>
              <w:spacing w:after="60" w:line="259" w:lineRule="auto"/>
            </w:pPr>
            <w:r>
              <w:rPr>
                <w:rFonts w:ascii="Calibri" w:hAnsi="Calibri"/>
                <w:b w:val="0"/>
                <w:i w:val="0"/>
                <w:color w:val="212121"/>
                <w:sz w:val="19"/>
              </w:rPr>
              <w:t>Guides erythropoiesis-stimulating agent and iron therapy in renal anemia</w:t>
            </w:r>
          </w:p>
          <w:p>
            <w:pPr>
              <w:spacing w:after="40" w:line="252" w:lineRule="auto"/>
            </w:pPr>
            <w:hyperlink r:id="rId13">
              <w:r>
                <w:rPr>
                  <w:rFonts w:ascii="Calibri" w:hAnsi="Calibri" w:cs="Calibri"/>
                  <w:sz w:val="18"/>
                  <w:color w:val="1155CC"/>
                  <w:u w:val="single"/>
                </w:rPr>
                <w:t xml:space="preserve">https://www.nhlbi.nih.gov/health/anemia/causes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&amp; haematocrit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 &gt;= 13 g/dL; F &gt;= 12 g/dL</w:t>
            </w:r>
          </w:p>
        </w:tc>
        <w:tc>
          <w:tcPr>
            <w:tcW w:type="dxa" w:w="950"/>
            <w:vAlign w:val="top"/>
          </w:tcPr>
          <w:p>
            <w:pPr>
              <w:spacing w:after="40" w:before="0" w:line="259" w:lineRule="auto"/>
            </w:pPr>
            <w:r>
              <w:rPr>
                <w:rFonts w:ascii="Calibri" w:hAnsi="Calibri"/>
                <w:b w:val="0"/>
                <w:i w:val="0"/>
                <w:color w:val="212121"/>
                <w:sz w:val="16"/>
              </w:rPr>
              <w:t>Below WHO thresholds; usually Hb &gt; 8 g/dL in ACD</w:t>
            </w:r>
          </w:p>
        </w:tc>
        <w:tc>
          <w:tcPr>
            <w:tcW w:type="dxa" w:w="1036"/>
            <w:vAlign w:val="top"/>
          </w:tcPr>
          <w:p>
            <w:pPr>
              <w:spacing w:after="40" w:before="0" w:line="259" w:lineRule="auto"/>
            </w:pPr>
            <w:r>
              <w:rPr>
                <w:rFonts w:ascii="Calibri" w:hAnsi="Calibri"/>
                <w:b w:val="0"/>
                <w:i w:val="0"/>
                <w:color w:val="212121"/>
                <w:sz w:val="16"/>
              </w:rPr>
              <w:t>Confirms and grades the anemia; ACD is typically mild-to-moderate</w:t>
            </w:r>
          </w:p>
        </w:tc>
        <w:tc>
          <w:tcPr>
            <w:tcW w:type="dxa" w:w="1036"/>
            <w:vAlign w:val="top"/>
          </w:tcPr>
          <w:p>
            <w:pPr>
              <w:spacing w:after="40" w:before="0" w:line="259" w:lineRule="auto"/>
            </w:pPr>
            <w:r>
              <w:rPr>
                <w:rFonts w:ascii="Calibri" w:hAnsi="Calibri"/>
                <w:b w:val="0"/>
                <w:i w:val="0"/>
                <w:color w:val="212121"/>
                <w:sz w:val="16"/>
              </w:rPr>
              <w:t>Chronically ill, elderly, CKD, autoimmune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Very low Hb implies an additional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Red-cell indices (MCV, MCHC, RDW)</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MCV 80-100 fL</w:t>
            </w:r>
          </w:p>
        </w:tc>
        <w:tc>
          <w:tcPr>
            <w:tcW w:type="dxa" w:w="950"/>
            <w:vAlign w:val="top"/>
          </w:tcPr>
          <w:p>
            <w:pPr>
              <w:spacing w:after="40" w:before="0" w:line="259" w:lineRule="auto"/>
            </w:pPr>
            <w:r>
              <w:rPr>
                <w:rFonts w:ascii="Calibri" w:hAnsi="Calibri"/>
                <w:b w:val="0"/>
                <w:i w:val="0"/>
                <w:color w:val="212121"/>
                <w:sz w:val="16"/>
              </w:rPr>
              <w:t>Normocytic early; mildly microcytic/hypochromic later</w:t>
            </w:r>
          </w:p>
        </w:tc>
        <w:tc>
          <w:tcPr>
            <w:tcW w:type="dxa" w:w="1036"/>
            <w:vAlign w:val="top"/>
          </w:tcPr>
          <w:p>
            <w:pPr>
              <w:spacing w:after="40" w:before="0" w:line="259" w:lineRule="auto"/>
            </w:pPr>
            <w:r>
              <w:rPr>
                <w:rFonts w:ascii="Calibri" w:hAnsi="Calibri"/>
                <w:b w:val="0"/>
                <w:i w:val="0"/>
                <w:color w:val="212121"/>
                <w:sz w:val="16"/>
              </w:rPr>
              <w:t>Distinguishes ACD (mild changes) from marked microcytosis of iron deficiency/thalassaemia</w:t>
            </w:r>
          </w:p>
        </w:tc>
        <w:tc>
          <w:tcPr>
            <w:tcW w:type="dxa" w:w="1036"/>
            <w:vAlign w:val="top"/>
          </w:tcPr>
          <w:p>
            <w:pPr>
              <w:spacing w:after="40" w:before="0" w:line="259" w:lineRule="auto"/>
            </w:pPr>
            <w:r>
              <w:rPr>
                <w:rFonts w:ascii="Calibri" w:hAnsi="Calibri"/>
                <w:b w:val="0"/>
                <w:i w:val="0"/>
                <w:color w:val="212121"/>
                <w:sz w:val="16"/>
              </w:rPr>
              <w:t>Patients with unexplained anemia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High RDW hints at combined deficiency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ferritin</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Context-dependent</w:t>
            </w:r>
          </w:p>
        </w:tc>
        <w:tc>
          <w:tcPr>
            <w:tcW w:type="dxa" w:w="950"/>
            <w:vAlign w:val="top"/>
          </w:tcPr>
          <w:p>
            <w:pPr>
              <w:spacing w:after="40" w:before="0" w:line="259" w:lineRule="auto"/>
            </w:pPr>
            <w:r>
              <w:rPr>
                <w:rFonts w:ascii="Calibri" w:hAnsi="Calibri"/>
                <w:b w:val="0"/>
                <w:i w:val="0"/>
                <w:color w:val="212121"/>
                <w:sz w:val="16"/>
              </w:rPr>
              <w:t>Normal to high in ACD; &lt; 100 ng/mL with inflammation suggests added iron deficiency</w:t>
            </w:r>
          </w:p>
        </w:tc>
        <w:tc>
          <w:tcPr>
            <w:tcW w:type="dxa" w:w="1036"/>
            <w:vAlign w:val="top"/>
          </w:tcPr>
          <w:p>
            <w:pPr>
              <w:spacing w:after="40" w:before="0" w:line="259" w:lineRule="auto"/>
            </w:pPr>
            <w:r>
              <w:rPr>
                <w:rFonts w:ascii="Calibri" w:hAnsi="Calibri"/>
                <w:b w:val="0"/>
                <w:i w:val="0"/>
                <w:color w:val="212121"/>
                <w:sz w:val="16"/>
              </w:rPr>
              <w:t>Reflects iron stores but is an acute-phase reactant raised by inflammation</w:t>
            </w:r>
          </w:p>
        </w:tc>
        <w:tc>
          <w:tcPr>
            <w:tcW w:type="dxa" w:w="1036"/>
            <w:vAlign w:val="top"/>
          </w:tcPr>
          <w:p>
            <w:pPr>
              <w:spacing w:after="40" w:before="0" w:line="259" w:lineRule="auto"/>
            </w:pPr>
            <w:r>
              <w:rPr>
                <w:rFonts w:ascii="Calibri" w:hAnsi="Calibri"/>
                <w:b w:val="0"/>
                <w:i w:val="0"/>
                <w:color w:val="212121"/>
                <w:sz w:val="16"/>
              </w:rPr>
              <w:t>All patients with suspected ACD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Key discriminator</w:t>
            </w:r>
          </w:p>
        </w:tc>
        <w:tc>
          <w:tcPr>
            <w:tcW w:type="dxa" w:w="720"/>
            <w:vAlign w:val="top"/>
          </w:tcPr>
          <w:p>
            <w:pPr>
              <w:spacing w:after="40" w:before="0" w:line="259" w:lineRule="auto"/>
            </w:pPr>
            <w:r>
              <w:rPr>
                <w:rFonts w:ascii="Calibri" w:hAnsi="Calibri"/>
                <w:b w:val="0"/>
                <w:i w:val="0"/>
                <w:color w:val="212121"/>
                <w:sz w:val="16"/>
              </w:rPr>
              <w:t>Interpret alongside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iron, TIBC/transferrin, TSAT</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TSAT 20-45%</w:t>
            </w:r>
          </w:p>
        </w:tc>
        <w:tc>
          <w:tcPr>
            <w:tcW w:type="dxa" w:w="950"/>
            <w:vAlign w:val="top"/>
          </w:tcPr>
          <w:p>
            <w:pPr>
              <w:spacing w:after="40" w:before="0" w:line="259" w:lineRule="auto"/>
            </w:pPr>
            <w:r>
              <w:rPr>
                <w:rFonts w:ascii="Calibri" w:hAnsi="Calibri"/>
                <w:b w:val="0"/>
                <w:i w:val="0"/>
                <w:color w:val="212121"/>
                <w:sz w:val="16"/>
              </w:rPr>
              <w:t>Low serum iron with LOW/normal TIBC and low TSAT</w:t>
            </w:r>
          </w:p>
        </w:tc>
        <w:tc>
          <w:tcPr>
            <w:tcW w:type="dxa" w:w="1036"/>
            <w:vAlign w:val="top"/>
          </w:tcPr>
          <w:p>
            <w:pPr>
              <w:spacing w:after="40" w:before="0" w:line="259" w:lineRule="auto"/>
            </w:pPr>
            <w:r>
              <w:rPr>
                <w:rFonts w:ascii="Calibri" w:hAnsi="Calibri"/>
                <w:b w:val="0"/>
                <w:i w:val="0"/>
                <w:color w:val="212121"/>
                <w:sz w:val="16"/>
              </w:rPr>
              <w:t>The low/normal TIBC separates ACD from the high TIBC of iron-deficiency anemia</w:t>
            </w:r>
          </w:p>
        </w:tc>
        <w:tc>
          <w:tcPr>
            <w:tcW w:type="dxa" w:w="1036"/>
            <w:vAlign w:val="top"/>
          </w:tcPr>
          <w:p>
            <w:pPr>
              <w:spacing w:after="40" w:before="0" w:line="259" w:lineRule="auto"/>
            </w:pPr>
            <w:r>
              <w:rPr>
                <w:rFonts w:ascii="Calibri" w:hAnsi="Calibri"/>
                <w:b w:val="0"/>
                <w:i w:val="0"/>
                <w:color w:val="212121"/>
                <w:sz w:val="16"/>
              </w:rPr>
              <w:t>Anemic patients under evaluation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for pattern</w:t>
            </w:r>
          </w:p>
        </w:tc>
        <w:tc>
          <w:tcPr>
            <w:tcW w:type="dxa" w:w="720"/>
            <w:vAlign w:val="top"/>
          </w:tcPr>
          <w:p>
            <w:pPr>
              <w:spacing w:after="40" w:before="0" w:line="259" w:lineRule="auto"/>
            </w:pPr>
            <w:r>
              <w:rPr>
                <w:rFonts w:ascii="Calibri" w:hAnsi="Calibri"/>
                <w:b w:val="0"/>
                <w:i w:val="0"/>
                <w:color w:val="212121"/>
                <w:sz w:val="16"/>
              </w:rPr>
              <w:t>Draw fasting; avoid recent iron dosing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Reticulocyte count</w:t>
            </w:r>
          </w:p>
        </w:tc>
        <w:tc>
          <w:tcPr>
            <w:tcW w:type="dxa" w:w="892"/>
            <w:vAlign w:val="top"/>
          </w:tcPr>
          <w:p>
            <w:pPr>
              <w:spacing w:after="40" w:before="0" w:line="259" w:lineRule="auto"/>
            </w:pPr>
            <w:r>
              <w:rPr>
                <w:rFonts w:ascii="Calibri" w:hAnsi="Calibri"/>
                <w:b w:val="0"/>
                <w:i w:val="0"/>
                <w:color w:val="212121"/>
                <w:sz w:val="16"/>
              </w:rPr>
              <w:t>Reticulocyte index</w:t>
            </w:r>
          </w:p>
        </w:tc>
        <w:tc>
          <w:tcPr>
            <w:tcW w:type="dxa" w:w="950"/>
            <w:vAlign w:val="top"/>
          </w:tcPr>
          <w:p>
            <w:pPr>
              <w:spacing w:after="40" w:before="0" w:line="259" w:lineRule="auto"/>
            </w:pPr>
            <w:r>
              <w:rPr>
                <w:rFonts w:ascii="Calibri" w:hAnsi="Calibri"/>
                <w:b w:val="0"/>
                <w:i w:val="0"/>
                <w:color w:val="212121"/>
                <w:sz w:val="16"/>
              </w:rPr>
              <w:t>Appropriately elevated for anemia</w:t>
            </w:r>
          </w:p>
        </w:tc>
        <w:tc>
          <w:tcPr>
            <w:tcW w:type="dxa" w:w="950"/>
            <w:vAlign w:val="top"/>
          </w:tcPr>
          <w:p>
            <w:pPr>
              <w:spacing w:after="40" w:before="0" w:line="259" w:lineRule="auto"/>
            </w:pPr>
            <w:r>
              <w:rPr>
                <w:rFonts w:ascii="Calibri" w:hAnsi="Calibri"/>
                <w:b w:val="0"/>
                <w:i w:val="0"/>
                <w:color w:val="212121"/>
                <w:sz w:val="16"/>
              </w:rPr>
              <w:t>Low / inappropriately normal</w:t>
            </w:r>
          </w:p>
        </w:tc>
        <w:tc>
          <w:tcPr>
            <w:tcW w:type="dxa" w:w="1036"/>
            <w:vAlign w:val="top"/>
          </w:tcPr>
          <w:p>
            <w:pPr>
              <w:spacing w:after="40" w:before="0" w:line="259" w:lineRule="auto"/>
            </w:pPr>
            <w:r>
              <w:rPr>
                <w:rFonts w:ascii="Calibri" w:hAnsi="Calibri"/>
                <w:b w:val="0"/>
                <w:i w:val="0"/>
                <w:color w:val="212121"/>
                <w:sz w:val="16"/>
              </w:rPr>
              <w:t>Confirms hypoproliferative marrow, consistent with reduced/blunted erythropoietin action</w:t>
            </w:r>
          </w:p>
        </w:tc>
        <w:tc>
          <w:tcPr>
            <w:tcW w:type="dxa" w:w="1036"/>
            <w:vAlign w:val="top"/>
          </w:tcPr>
          <w:p>
            <w:pPr>
              <w:spacing w:after="40" w:before="0" w:line="259" w:lineRule="auto"/>
            </w:pPr>
            <w:r>
              <w:rPr>
                <w:rFonts w:ascii="Calibri" w:hAnsi="Calibri"/>
                <w:b w:val="0"/>
                <w:i w:val="0"/>
                <w:color w:val="212121"/>
                <w:sz w:val="16"/>
              </w:rPr>
              <w:t>Anemic patients under evaluation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Helps exclude haemolysis/blood loss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and ESR</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5 mg/L; ESR age/sex appropriate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Document the active inflammation that drives hepcidin and iron sequestration</w:t>
            </w:r>
          </w:p>
        </w:tc>
        <w:tc>
          <w:tcPr>
            <w:tcW w:type="dxa" w:w="1036"/>
            <w:vAlign w:val="top"/>
          </w:tcPr>
          <w:p>
            <w:pPr>
              <w:spacing w:after="40" w:before="0" w:line="259" w:lineRule="auto"/>
            </w:pPr>
            <w:r>
              <w:rPr>
                <w:rFonts w:ascii="Calibri" w:hAnsi="Calibri"/>
                <w:b w:val="0"/>
                <w:i w:val="0"/>
                <w:color w:val="212121"/>
                <w:sz w:val="16"/>
              </w:rPr>
              <w:t>Patients with suspected inflammatory anemia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correlate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Soluble transferrin receptor (sTfR) / sTfR-ferritin index</w:t>
            </w:r>
          </w:p>
        </w:tc>
        <w:tc>
          <w:tcPr>
            <w:tcW w:type="dxa" w:w="892"/>
            <w:vAlign w:val="top"/>
          </w:tcPr>
          <w:p>
            <w:pPr>
              <w:spacing w:after="40" w:before="0" w:line="259" w:lineRule="auto"/>
            </w:pPr>
            <w:r>
              <w:rPr>
                <w:rFonts w:ascii="Calibri" w:hAnsi="Calibri"/>
                <w:b w:val="0"/>
                <w:i w:val="0"/>
                <w:color w:val="212121"/>
                <w:sz w:val="16"/>
              </w:rPr>
              <w:t>Iron-status marker</w:t>
            </w:r>
          </w:p>
        </w:tc>
        <w:tc>
          <w:tcPr>
            <w:tcW w:type="dxa" w:w="950"/>
            <w:vAlign w:val="top"/>
          </w:tcPr>
          <w:p>
            <w:pPr>
              <w:spacing w:after="40" w:before="0" w:line="259" w:lineRule="auto"/>
            </w:pPr>
            <w:r>
              <w:rPr>
                <w:rFonts w:ascii="Calibri" w:hAnsi="Calibri"/>
                <w:b w:val="0"/>
                <w:i w:val="0"/>
                <w:color w:val="212121"/>
                <w:sz w:val="16"/>
              </w:rPr>
              <w:t>Normal in pure ACD</w:t>
            </w:r>
          </w:p>
        </w:tc>
        <w:tc>
          <w:tcPr>
            <w:tcW w:type="dxa" w:w="950"/>
            <w:vAlign w:val="top"/>
          </w:tcPr>
          <w:p>
            <w:pPr>
              <w:spacing w:after="40" w:before="0" w:line="259" w:lineRule="auto"/>
            </w:pPr>
            <w:r>
              <w:rPr>
                <w:rFonts w:ascii="Calibri" w:hAnsi="Calibri"/>
                <w:b w:val="0"/>
                <w:i w:val="0"/>
                <w:color w:val="212121"/>
                <w:sz w:val="16"/>
              </w:rPr>
              <w:t>Raised with coexisting iron deficiency</w:t>
            </w:r>
          </w:p>
        </w:tc>
        <w:tc>
          <w:tcPr>
            <w:tcW w:type="dxa" w:w="1036"/>
            <w:vAlign w:val="top"/>
          </w:tcPr>
          <w:p>
            <w:pPr>
              <w:spacing w:after="40" w:before="0" w:line="259" w:lineRule="auto"/>
            </w:pPr>
            <w:r>
              <w:rPr>
                <w:rFonts w:ascii="Calibri" w:hAnsi="Calibri"/>
                <w:b w:val="0"/>
                <w:i w:val="0"/>
                <w:color w:val="212121"/>
                <w:sz w:val="16"/>
              </w:rPr>
              <w:t>Separates pure ACD from combined ACD + iron deficiency when ferritin is confounded</w:t>
            </w:r>
          </w:p>
        </w:tc>
        <w:tc>
          <w:tcPr>
            <w:tcW w:type="dxa" w:w="1036"/>
            <w:vAlign w:val="top"/>
          </w:tcPr>
          <w:p>
            <w:pPr>
              <w:spacing w:after="40" w:before="0" w:line="259" w:lineRule="auto"/>
            </w:pPr>
            <w:r>
              <w:rPr>
                <w:rFonts w:ascii="Calibri" w:hAnsi="Calibri"/>
                <w:b w:val="0"/>
                <w:i w:val="0"/>
                <w:color w:val="212121"/>
                <w:sz w:val="16"/>
              </w:rPr>
              <w:t>Diagnostically difficult combined anemias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Not affected by inflammation as strongly as ferritin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function &amp; underlying-disease workup</w:t>
            </w:r>
          </w:p>
        </w:tc>
        <w:tc>
          <w:tcPr>
            <w:tcW w:type="dxa" w:w="892"/>
            <w:vAlign w:val="top"/>
          </w:tcPr>
          <w:p>
            <w:pPr>
              <w:spacing w:after="40" w:before="0" w:line="259" w:lineRule="auto"/>
            </w:pPr>
            <w:r>
              <w:rPr>
                <w:rFonts w:ascii="Calibri" w:hAnsi="Calibri"/>
                <w:b w:val="0"/>
                <w:i w:val="0"/>
                <w:color w:val="212121"/>
                <w:sz w:val="16"/>
              </w:rPr>
              <w:t>Creatinine/eGFR, targeted tests</w:t>
            </w:r>
          </w:p>
        </w:tc>
        <w:tc>
          <w:tcPr>
            <w:tcW w:type="dxa" w:w="950"/>
            <w:vAlign w:val="top"/>
          </w:tcPr>
          <w:p>
            <w:pPr>
              <w:spacing w:after="40" w:before="0" w:line="259" w:lineRule="auto"/>
            </w:pPr>
            <w:r>
              <w:rPr>
                <w:rFonts w:ascii="Calibri" w:hAnsi="Calibri"/>
                <w:b w:val="0"/>
                <w:i w:val="0"/>
                <w:color w:val="212121"/>
                <w:sz w:val="16"/>
              </w:rPr>
              <w:t>eGFR &gt;= 90; disease-specific normals</w:t>
            </w:r>
          </w:p>
        </w:tc>
        <w:tc>
          <w:tcPr>
            <w:tcW w:type="dxa" w:w="950"/>
            <w:vAlign w:val="top"/>
          </w:tcPr>
          <w:p>
            <w:pPr>
              <w:spacing w:after="40" w:before="0" w:line="259" w:lineRule="auto"/>
            </w:pPr>
            <w:r>
              <w:rPr>
                <w:rFonts w:ascii="Calibri" w:hAnsi="Calibri"/>
                <w:b w:val="0"/>
                <w:i w:val="0"/>
                <w:color w:val="212121"/>
                <w:sz w:val="16"/>
              </w:rPr>
              <w:t>Reduced eGFR; positive infective/autoimmune/malignancy markers</w:t>
            </w:r>
          </w:p>
        </w:tc>
        <w:tc>
          <w:tcPr>
            <w:tcW w:type="dxa" w:w="1036"/>
            <w:vAlign w:val="top"/>
          </w:tcPr>
          <w:p>
            <w:pPr>
              <w:spacing w:after="40" w:before="0" w:line="259" w:lineRule="auto"/>
            </w:pPr>
            <w:r>
              <w:rPr>
                <w:rFonts w:ascii="Calibri" w:hAnsi="Calibri"/>
                <w:b w:val="0"/>
                <w:i w:val="0"/>
                <w:color w:val="212121"/>
                <w:sz w:val="16"/>
              </w:rPr>
              <w:t>Identifies and quantifies the chronic driver (CKD, TB, RA, cancer) to direct treatment</w:t>
            </w:r>
          </w:p>
        </w:tc>
        <w:tc>
          <w:tcPr>
            <w:tcW w:type="dxa" w:w="1036"/>
            <w:vAlign w:val="top"/>
          </w:tcPr>
          <w:p>
            <w:pPr>
              <w:spacing w:after="40" w:before="0" w:line="259" w:lineRule="auto"/>
            </w:pPr>
            <w:r>
              <w:rPr>
                <w:rFonts w:ascii="Calibri" w:hAnsi="Calibri"/>
                <w:b w:val="0"/>
                <w:i w:val="0"/>
                <w:color w:val="212121"/>
                <w:sz w:val="16"/>
              </w:rPr>
              <w:t>CKD, TB/HIV, RA, malignancy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Root-cause</w:t>
            </w:r>
          </w:p>
        </w:tc>
        <w:tc>
          <w:tcPr>
            <w:tcW w:type="dxa" w:w="720"/>
            <w:vAlign w:val="top"/>
          </w:tcPr>
          <w:p>
            <w:pPr>
              <w:spacing w:after="40" w:before="0" w:line="259" w:lineRule="auto"/>
            </w:pPr>
            <w:r>
              <w:rPr>
                <w:rFonts w:ascii="Calibri" w:hAnsi="Calibri"/>
                <w:b w:val="0"/>
                <w:i w:val="0"/>
                <w:color w:val="212121"/>
                <w:sz w:val="16"/>
              </w:rPr>
              <w:t>Treating the cause is the cornerstone of therapy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Underlying-disease history</w:t>
            </w:r>
          </w:p>
        </w:tc>
        <w:tc>
          <w:tcPr>
            <w:tcW w:type="dxa" w:w="979"/>
            <w:vAlign w:val="top"/>
          </w:tcPr>
          <w:p>
            <w:pPr>
              <w:spacing w:after="40" w:before="0" w:line="259" w:lineRule="auto"/>
            </w:pPr>
            <w:r>
              <w:rPr>
                <w:rFonts w:ascii="Calibri" w:hAnsi="Calibri"/>
                <w:b w:val="0"/>
                <w:i w:val="0"/>
                <w:color w:val="212121"/>
                <w:sz w:val="16"/>
              </w:rPr>
              <w:t>Known/occult chronic infection, autoimmune disease, malignancy, CKD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chronic drivers present</w:t>
            </w:r>
          </w:p>
        </w:tc>
        <w:tc>
          <w:tcPr>
            <w:tcW w:type="dxa" w:w="1036"/>
            <w:vAlign w:val="top"/>
          </w:tcPr>
          <w:p>
            <w:pPr>
              <w:spacing w:after="40" w:before="0" w:line="259" w:lineRule="auto"/>
            </w:pPr>
            <w:r>
              <w:rPr>
                <w:rFonts w:ascii="Calibri" w:hAnsi="Calibri"/>
                <w:b w:val="0"/>
                <w:i w:val="0"/>
                <w:color w:val="212121"/>
                <w:sz w:val="16"/>
              </w:rPr>
              <w:t>Anchors the diagnosis - ACD requires a chronic inflammatory context</w:t>
            </w:r>
          </w:p>
        </w:tc>
        <w:tc>
          <w:tcPr>
            <w:tcW w:type="dxa" w:w="1036"/>
            <w:vAlign w:val="top"/>
          </w:tcPr>
          <w:p>
            <w:pPr>
              <w:spacing w:after="40" w:before="0" w:line="259" w:lineRule="auto"/>
            </w:pPr>
            <w:r>
              <w:rPr>
                <w:rFonts w:ascii="Calibri" w:hAnsi="Calibri"/>
                <w:b w:val="0"/>
                <w:i w:val="0"/>
                <w:color w:val="212121"/>
                <w:sz w:val="16"/>
              </w:rPr>
              <w:t>Chronically ill and elderly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fever, night sweats, weight loss (TB/malignancy), joint pain (RA)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Anemia symptom review</w:t>
            </w:r>
          </w:p>
        </w:tc>
        <w:tc>
          <w:tcPr>
            <w:tcW w:type="dxa" w:w="979"/>
            <w:vAlign w:val="top"/>
          </w:tcPr>
          <w:p>
            <w:pPr>
              <w:spacing w:after="40" w:before="0" w:line="259" w:lineRule="auto"/>
            </w:pPr>
            <w:r>
              <w:rPr>
                <w:rFonts w:ascii="Calibri" w:hAnsi="Calibri"/>
                <w:b w:val="0"/>
                <w:i w:val="0"/>
                <w:color w:val="212121"/>
                <w:sz w:val="16"/>
              </w:rPr>
              <w:t>Fatigue, exertional dyspnoea, reduced exercise tolerance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 often mild and overshadowed by the underlying illness</w:t>
            </w:r>
          </w:p>
        </w:tc>
        <w:tc>
          <w:tcPr>
            <w:tcW w:type="dxa" w:w="1036"/>
            <w:vAlign w:val="top"/>
          </w:tcPr>
          <w:p>
            <w:pPr>
              <w:spacing w:after="40" w:before="0" w:line="259" w:lineRule="auto"/>
            </w:pPr>
            <w:r>
              <w:rPr>
                <w:rFonts w:ascii="Calibri" w:hAnsi="Calibri"/>
                <w:b w:val="0"/>
                <w:i w:val="0"/>
                <w:color w:val="212121"/>
                <w:sz w:val="16"/>
              </w:rPr>
              <w:t>Gauges functional impact; symptoms are frequently attributed to the primary disease</w:t>
            </w:r>
          </w:p>
        </w:tc>
        <w:tc>
          <w:tcPr>
            <w:tcW w:type="dxa" w:w="1036"/>
            <w:vAlign w:val="top"/>
          </w:tcPr>
          <w:p>
            <w:pPr>
              <w:spacing w:after="40" w:before="0" w:line="259" w:lineRule="auto"/>
            </w:pPr>
            <w:r>
              <w:rPr>
                <w:rFonts w:ascii="Calibri" w:hAnsi="Calibri"/>
                <w:b w:val="0"/>
                <w:i w:val="0"/>
                <w:color w:val="212121"/>
                <w:sz w:val="16"/>
              </w:rPr>
              <w:t>All patients with chronic disease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may be subtle because anemia develops slowly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Blood-loss &amp; nutrition history</w:t>
            </w:r>
          </w:p>
        </w:tc>
        <w:tc>
          <w:tcPr>
            <w:tcW w:type="dxa" w:w="979"/>
            <w:vAlign w:val="top"/>
          </w:tcPr>
          <w:p>
            <w:pPr>
              <w:spacing w:after="40" w:before="0" w:line="259" w:lineRule="auto"/>
            </w:pPr>
            <w:r>
              <w:rPr>
                <w:rFonts w:ascii="Calibri" w:hAnsi="Calibri"/>
                <w:b w:val="0"/>
                <w:i w:val="0"/>
                <w:color w:val="212121"/>
                <w:sz w:val="16"/>
              </w:rPr>
              <w:t>GI bleeding, menstrual loss, diet, prior iron therapy response</w:t>
            </w:r>
          </w:p>
        </w:tc>
        <w:tc>
          <w:tcPr>
            <w:tcW w:type="dxa" w:w="950"/>
            <w:vAlign w:val="top"/>
          </w:tcPr>
          <w:p>
            <w:pPr>
              <w:spacing w:after="40" w:before="0" w:line="259" w:lineRule="auto"/>
            </w:pPr>
            <w:r>
              <w:rPr>
                <w:rFonts w:ascii="Calibri" w:hAnsi="Calibri"/>
                <w:b w:val="0"/>
                <w:i w:val="0"/>
                <w:color w:val="212121"/>
                <w:sz w:val="16"/>
              </w:rPr>
              <w:t>No blood loss; adequate diet</w:t>
            </w:r>
          </w:p>
        </w:tc>
        <w:tc>
          <w:tcPr>
            <w:tcW w:type="dxa" w:w="950"/>
            <w:vAlign w:val="top"/>
          </w:tcPr>
          <w:p>
            <w:pPr>
              <w:spacing w:after="40" w:before="0" w:line="259" w:lineRule="auto"/>
            </w:pPr>
            <w:r>
              <w:rPr>
                <w:rFonts w:ascii="Calibri" w:hAnsi="Calibri"/>
                <w:b w:val="0"/>
                <w:i w:val="0"/>
                <w:color w:val="212121"/>
                <w:sz w:val="16"/>
              </w:rPr>
              <w:t>Blood loss, poor diet, or failure of oral iron</w:t>
            </w:r>
          </w:p>
        </w:tc>
        <w:tc>
          <w:tcPr>
            <w:tcW w:type="dxa" w:w="1036"/>
            <w:vAlign w:val="top"/>
          </w:tcPr>
          <w:p>
            <w:pPr>
              <w:spacing w:after="40" w:before="0" w:line="259" w:lineRule="auto"/>
            </w:pPr>
            <w:r>
              <w:rPr>
                <w:rFonts w:ascii="Calibri" w:hAnsi="Calibri"/>
                <w:b w:val="0"/>
                <w:i w:val="0"/>
                <w:color w:val="212121"/>
                <w:sz w:val="16"/>
              </w:rPr>
              <w:t>Detects coexisting iron deficiency (combined ACD + IDA), common in India</w:t>
            </w:r>
          </w:p>
        </w:tc>
        <w:tc>
          <w:tcPr>
            <w:tcW w:type="dxa" w:w="1036"/>
            <w:vAlign w:val="top"/>
          </w:tcPr>
          <w:p>
            <w:pPr>
              <w:spacing w:after="40" w:before="0" w:line="259" w:lineRule="auto"/>
            </w:pPr>
            <w:r>
              <w:rPr>
                <w:rFonts w:ascii="Calibri" w:hAnsi="Calibri"/>
                <w:b w:val="0"/>
                <w:i w:val="0"/>
                <w:color w:val="212121"/>
                <w:sz w:val="16"/>
              </w:rPr>
              <w:t>Women, IBD, hookworm-endemic populations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 yield</w:t>
            </w:r>
          </w:p>
        </w:tc>
        <w:tc>
          <w:tcPr>
            <w:tcW w:type="dxa" w:w="720"/>
            <w:vAlign w:val="top"/>
          </w:tcPr>
          <w:p>
            <w:pPr>
              <w:spacing w:after="40" w:before="0" w:line="259" w:lineRule="auto"/>
            </w:pPr>
            <w:r>
              <w:rPr>
                <w:rFonts w:ascii="Calibri" w:hAnsi="Calibri"/>
                <w:b w:val="0"/>
                <w:i w:val="0"/>
                <w:color w:val="212121"/>
                <w:sz w:val="16"/>
              </w:rPr>
              <w:t>Poor response to oral iron supports an inflammatory component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General &amp; pallor examination</w:t>
            </w:r>
          </w:p>
        </w:tc>
        <w:tc>
          <w:tcPr>
            <w:tcW w:type="dxa" w:w="979"/>
            <w:vAlign w:val="top"/>
          </w:tcPr>
          <w:p>
            <w:pPr>
              <w:spacing w:after="40" w:before="0" w:line="259" w:lineRule="auto"/>
            </w:pPr>
            <w:r>
              <w:rPr>
                <w:rFonts w:ascii="Calibri" w:hAnsi="Calibri"/>
                <w:b w:val="0"/>
                <w:i w:val="0"/>
                <w:color w:val="212121"/>
                <w:sz w:val="16"/>
              </w:rPr>
              <w:t>Conjunctival/palmar pallor, tachycardia, features of chronic illness</w:t>
            </w:r>
          </w:p>
        </w:tc>
        <w:tc>
          <w:tcPr>
            <w:tcW w:type="dxa" w:w="950"/>
            <w:vAlign w:val="top"/>
          </w:tcPr>
          <w:p>
            <w:pPr>
              <w:spacing w:after="40" w:before="0" w:line="259" w:lineRule="auto"/>
            </w:pPr>
            <w:r>
              <w:rPr>
                <w:rFonts w:ascii="Calibri" w:hAnsi="Calibri"/>
                <w:b w:val="0"/>
                <w:i w:val="0"/>
                <w:color w:val="212121"/>
                <w:sz w:val="16"/>
              </w:rPr>
              <w:t>No pallor, stable pulse</w:t>
            </w:r>
          </w:p>
        </w:tc>
        <w:tc>
          <w:tcPr>
            <w:tcW w:type="dxa" w:w="950"/>
            <w:vAlign w:val="top"/>
          </w:tcPr>
          <w:p>
            <w:pPr>
              <w:spacing w:after="40" w:before="0" w:line="259" w:lineRule="auto"/>
            </w:pPr>
            <w:r>
              <w:rPr>
                <w:rFonts w:ascii="Calibri" w:hAnsi="Calibri"/>
                <w:b w:val="0"/>
                <w:i w:val="0"/>
                <w:color w:val="212121"/>
                <w:sz w:val="16"/>
              </w:rPr>
              <w:t>Pallor, tachycardia, cachexia</w:t>
            </w:r>
          </w:p>
        </w:tc>
        <w:tc>
          <w:tcPr>
            <w:tcW w:type="dxa" w:w="1036"/>
            <w:vAlign w:val="top"/>
          </w:tcPr>
          <w:p>
            <w:pPr>
              <w:spacing w:after="40" w:before="0" w:line="259" w:lineRule="auto"/>
            </w:pPr>
            <w:r>
              <w:rPr>
                <w:rFonts w:ascii="Calibri" w:hAnsi="Calibri"/>
                <w:b w:val="0"/>
                <w:i w:val="0"/>
                <w:color w:val="212121"/>
                <w:sz w:val="16"/>
              </w:rPr>
              <w:t>Confirms anemia and gives clues to chronicity and severity</w:t>
            </w:r>
          </w:p>
        </w:tc>
        <w:tc>
          <w:tcPr>
            <w:tcW w:type="dxa" w:w="1036"/>
            <w:vAlign w:val="top"/>
          </w:tcPr>
          <w:p>
            <w:pPr>
              <w:spacing w:after="40" w:before="0" w:line="259" w:lineRule="auto"/>
            </w:pPr>
            <w:r>
              <w:rPr>
                <w:rFonts w:ascii="Calibri" w:hAnsi="Calibri"/>
                <w:b w:val="0"/>
                <w:i w:val="0"/>
                <w:color w:val="212121"/>
                <w:sz w:val="16"/>
              </w:rPr>
              <w:t>Anemic and chronically ill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Pallor is insensitive for mild anemia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Underlying-disease examination</w:t>
            </w:r>
          </w:p>
        </w:tc>
        <w:tc>
          <w:tcPr>
            <w:tcW w:type="dxa" w:w="979"/>
            <w:vAlign w:val="top"/>
          </w:tcPr>
          <w:p>
            <w:pPr>
              <w:spacing w:after="40" w:before="0" w:line="259" w:lineRule="auto"/>
            </w:pPr>
            <w:r>
              <w:rPr>
                <w:rFonts w:ascii="Calibri" w:hAnsi="Calibri"/>
                <w:b w:val="0"/>
                <w:i w:val="0"/>
                <w:color w:val="212121"/>
                <w:sz w:val="16"/>
              </w:rPr>
              <w:t>Synovitis/joint deformity, lymphadenopathy, hepatosplenomegaly, oedema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Signs of RA, infection, malignancy, CKD or heart failure</w:t>
            </w:r>
          </w:p>
        </w:tc>
        <w:tc>
          <w:tcPr>
            <w:tcW w:type="dxa" w:w="1036"/>
            <w:vAlign w:val="top"/>
          </w:tcPr>
          <w:p>
            <w:pPr>
              <w:spacing w:after="40" w:before="0" w:line="259" w:lineRule="auto"/>
            </w:pPr>
            <w:r>
              <w:rPr>
                <w:rFonts w:ascii="Calibri" w:hAnsi="Calibri"/>
                <w:b w:val="0"/>
                <w:i w:val="0"/>
                <w:color w:val="212121"/>
                <w:sz w:val="16"/>
              </w:rPr>
              <w:t>Localises the inflammatory driver and directs targeted investigation</w:t>
            </w:r>
          </w:p>
        </w:tc>
        <w:tc>
          <w:tcPr>
            <w:tcW w:type="dxa" w:w="1036"/>
            <w:vAlign w:val="top"/>
          </w:tcPr>
          <w:p>
            <w:pPr>
              <w:spacing w:after="40" w:before="0" w:line="259" w:lineRule="auto"/>
            </w:pPr>
            <w:r>
              <w:rPr>
                <w:rFonts w:ascii="Calibri" w:hAnsi="Calibri"/>
                <w:b w:val="0"/>
                <w:i w:val="0"/>
                <w:color w:val="212121"/>
                <w:sz w:val="16"/>
              </w:rPr>
              <w:t>RA, TB/HIV, malignancy, CKD, heart-failure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Root-cause</w:t>
            </w:r>
          </w:p>
        </w:tc>
        <w:tc>
          <w:tcPr>
            <w:tcW w:type="dxa" w:w="720"/>
            <w:vAlign w:val="top"/>
          </w:tcPr>
          <w:p>
            <w:pPr>
              <w:spacing w:after="40" w:before="0" w:line="259" w:lineRule="auto"/>
            </w:pPr>
            <w:r>
              <w:rPr>
                <w:rFonts w:ascii="Calibri" w:hAnsi="Calibri"/>
                <w:b w:val="0"/>
                <w:i w:val="0"/>
                <w:color w:val="212121"/>
                <w:sz w:val="16"/>
              </w:rPr>
              <w:t>Splenomegaly/lymphadenopathy prompt haematology 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&amp; treatment review</w:t>
            </w:r>
          </w:p>
        </w:tc>
        <w:tc>
          <w:tcPr>
            <w:tcW w:type="dxa" w:w="979"/>
            <w:vAlign w:val="top"/>
          </w:tcPr>
          <w:p>
            <w:pPr>
              <w:spacing w:after="40" w:before="0" w:line="259" w:lineRule="auto"/>
            </w:pPr>
            <w:r>
              <w:rPr>
                <w:rFonts w:ascii="Calibri" w:hAnsi="Calibri"/>
                <w:b w:val="0"/>
                <w:i w:val="0"/>
                <w:color w:val="212121"/>
                <w:sz w:val="16"/>
              </w:rPr>
              <w:t>Chemotherapy, zidovudine, NSAIDs, chronic steroids, prior transfusions</w:t>
            </w:r>
          </w:p>
        </w:tc>
        <w:tc>
          <w:tcPr>
            <w:tcW w:type="dxa" w:w="950"/>
            <w:vAlign w:val="top"/>
          </w:tcPr>
          <w:p>
            <w:pPr>
              <w:spacing w:after="40" w:before="0" w:line="259" w:lineRule="auto"/>
            </w:pPr>
            <w:r>
              <w:rPr>
                <w:rFonts w:ascii="Calibri" w:hAnsi="Calibri"/>
                <w:b w:val="0"/>
                <w:i w:val="0"/>
                <w:color w:val="212121"/>
                <w:sz w:val="16"/>
              </w:rPr>
              <w:t>None relevant</w:t>
            </w:r>
          </w:p>
        </w:tc>
        <w:tc>
          <w:tcPr>
            <w:tcW w:type="dxa" w:w="950"/>
            <w:vAlign w:val="top"/>
          </w:tcPr>
          <w:p>
            <w:pPr>
              <w:spacing w:after="40" w:before="0" w:line="259" w:lineRule="auto"/>
            </w:pPr>
            <w:r>
              <w:rPr>
                <w:rFonts w:ascii="Calibri" w:hAnsi="Calibri"/>
                <w:b w:val="0"/>
                <w:i w:val="0"/>
                <w:color w:val="212121"/>
                <w:sz w:val="16"/>
              </w:rPr>
              <w:t>Marrow-suppressive or GI-bleeding drugs, transfusion history</w:t>
            </w:r>
          </w:p>
        </w:tc>
        <w:tc>
          <w:tcPr>
            <w:tcW w:type="dxa" w:w="1036"/>
            <w:vAlign w:val="top"/>
          </w:tcPr>
          <w:p>
            <w:pPr>
              <w:spacing w:after="40" w:before="0" w:line="259" w:lineRule="auto"/>
            </w:pPr>
            <w:r>
              <w:rPr>
                <w:rFonts w:ascii="Calibri" w:hAnsi="Calibri"/>
                <w:b w:val="0"/>
                <w:i w:val="0"/>
                <w:color w:val="212121"/>
                <w:sz w:val="16"/>
              </w:rPr>
              <w:t>Identifies drug contributions and transfusion-related iron loading</w:t>
            </w:r>
          </w:p>
        </w:tc>
        <w:tc>
          <w:tcPr>
            <w:tcW w:type="dxa" w:w="1036"/>
            <w:vAlign w:val="top"/>
          </w:tcPr>
          <w:p>
            <w:pPr>
              <w:spacing w:after="40" w:before="0" w:line="259" w:lineRule="auto"/>
            </w:pPr>
            <w:r>
              <w:rPr>
                <w:rFonts w:ascii="Calibri" w:hAnsi="Calibri"/>
                <w:b w:val="0"/>
                <w:i w:val="0"/>
                <w:color w:val="212121"/>
                <w:sz w:val="16"/>
              </w:rPr>
              <w:t>Oncology, HIV and polypharmacy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safe iron and ESA use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 tiredness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commonest symptom; reduced oxygen delivery lowers energy, though it is often attributed to the underlying disease.</w:t>
            </w:r>
          </w:p>
        </w:tc>
      </w:tr>
      <w:tr>
        <w:trPr>
          <w:cantSplit/>
        </w:trPr>
        <w:tc>
          <w:tcPr>
            <w:tcW w:type="dxa" w:w="2304"/>
            <w:vAlign w:val="top"/>
          </w:tcPr>
          <w:p>
            <w:pPr>
              <w:spacing w:after="40" w:before="0" w:line="259" w:lineRule="auto"/>
            </w:pPr>
            <w:r>
              <w:rPr>
                <w:rFonts w:ascii="Calibri" w:hAnsi="Calibri"/>
                <w:b/>
                <w:i w:val="0"/>
                <w:color w:val="212121"/>
                <w:sz w:val="19"/>
              </w:rPr>
              <w:t>Exertional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Breathlessness on exertion as haemoglobin falls and oxygen-carrying capacity drops.</w:t>
            </w:r>
          </w:p>
        </w:tc>
      </w:tr>
      <w:tr>
        <w:trPr>
          <w:cantSplit/>
        </w:trPr>
        <w:tc>
          <w:tcPr>
            <w:tcW w:type="dxa" w:w="2304"/>
            <w:vAlign w:val="top"/>
          </w:tcPr>
          <w:p>
            <w:pPr>
              <w:spacing w:after="40" w:before="0" w:line="259" w:lineRule="auto"/>
            </w:pPr>
            <w:r>
              <w:rPr>
                <w:rFonts w:ascii="Calibri" w:hAnsi="Calibri"/>
                <w:b/>
                <w:i w:val="0"/>
                <w:color w:val="212121"/>
                <w:sz w:val="19"/>
              </w:rPr>
              <w:t>Weakness /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weakness and diminished stamina during daily activity.</w:t>
            </w:r>
          </w:p>
        </w:tc>
      </w:tr>
      <w:tr>
        <w:trPr>
          <w:cantSplit/>
        </w:trPr>
        <w:tc>
          <w:tcPr>
            <w:tcW w:type="dxa" w:w="2304"/>
            <w:vAlign w:val="top"/>
          </w:tcPr>
          <w:p>
            <w:pPr>
              <w:spacing w:after="40" w:before="0" w:line="259" w:lineRule="auto"/>
            </w:pPr>
            <w:r>
              <w:rPr>
                <w:rFonts w:ascii="Calibri" w:hAnsi="Calibri"/>
                <w:b/>
                <w:i w:val="0"/>
                <w:color w:val="212121"/>
                <w:sz w:val="19"/>
              </w:rPr>
              <w:t>Pallor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Noticed by the patient or family as a pale complexion, lips or nail beds.</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Awareness of a fast or forceful heartbeat as the heart compensates for anemia.</w:t>
            </w:r>
          </w:p>
        </w:tc>
      </w:tr>
      <w:tr>
        <w:trPr>
          <w:cantSplit/>
        </w:trPr>
        <w:tc>
          <w:tcPr>
            <w:tcW w:type="dxa" w:w="2304"/>
            <w:vAlign w:val="top"/>
          </w:tcPr>
          <w:p>
            <w:pPr>
              <w:spacing w:after="40" w:before="0" w:line="259" w:lineRule="auto"/>
            </w:pPr>
            <w:r>
              <w:rPr>
                <w:rFonts w:ascii="Calibri" w:hAnsi="Calibri"/>
                <w:b/>
                <w:i w:val="0"/>
                <w:color w:val="212121"/>
                <w:sz w:val="19"/>
              </w:rPr>
              <w:t>Light-headedness / dizziness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on standing, from reduced oxygen delivery to the brain.</w:t>
            </w:r>
          </w:p>
        </w:tc>
      </w:tr>
      <w:tr>
        <w:trPr>
          <w:cantSplit/>
        </w:trPr>
        <w:tc>
          <w:tcPr>
            <w:tcW w:type="dxa" w:w="2304"/>
            <w:vAlign w:val="top"/>
          </w:tcPr>
          <w:p>
            <w:pPr>
              <w:spacing w:after="40" w:before="0" w:line="259" w:lineRule="auto"/>
            </w:pPr>
            <w:r>
              <w:rPr>
                <w:rFonts w:ascii="Calibri" w:hAnsi="Calibri"/>
                <w:b/>
                <w:i w:val="0"/>
                <w:color w:val="212121"/>
                <w:sz w:val="19"/>
              </w:rPr>
              <w:t>Poor concentration / 'brain fog'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cognitive sharpness, particularly in the elderly.</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non-specific symptom of anemia in some patients.</w:t>
            </w:r>
          </w:p>
        </w:tc>
      </w:tr>
      <w:tr>
        <w:trPr>
          <w:cantSplit/>
        </w:trPr>
        <w:tc>
          <w:tcPr>
            <w:tcW w:type="dxa" w:w="2304"/>
            <w:vAlign w:val="top"/>
          </w:tcPr>
          <w:p>
            <w:pPr>
              <w:spacing w:after="40" w:before="0" w:line="259" w:lineRule="auto"/>
            </w:pPr>
            <w:r>
              <w:rPr>
                <w:rFonts w:ascii="Calibri" w:hAnsi="Calibri"/>
                <w:b/>
                <w:i w:val="0"/>
                <w:color w:val="212121"/>
                <w:sz w:val="19"/>
              </w:rPr>
              <w:t>Cold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Feeling cold more easily due to impaired oxygen delivery and thermoregulation.</w:t>
            </w:r>
          </w:p>
        </w:tc>
      </w:tr>
      <w:tr>
        <w:trPr>
          <w:cantSplit/>
        </w:trPr>
        <w:tc>
          <w:tcPr>
            <w:tcW w:type="dxa" w:w="2304"/>
            <w:vAlign w:val="top"/>
          </w:tcPr>
          <w:p>
            <w:pPr>
              <w:spacing w:after="40" w:before="0" w:line="259" w:lineRule="auto"/>
            </w:pPr>
            <w:r>
              <w:rPr>
                <w:rFonts w:ascii="Calibri" w:hAnsi="Calibri"/>
                <w:b/>
                <w:i w:val="0"/>
                <w:color w:val="212121"/>
                <w:sz w:val="19"/>
              </w:rPr>
              <w:t>Worsening of underlying-disease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Anemia can aggravate angina, claudication or heart-failure breathlessness in patients with cardiovascular disease.</w:t>
            </w:r>
          </w:p>
        </w:tc>
      </w:tr>
      <w:tr>
        <w:trPr>
          <w:cantSplit/>
        </w:trPr>
        <w:tc>
          <w:tcPr>
            <w:tcW w:type="dxa" w:w="2304"/>
            <w:vAlign w:val="top"/>
          </w:tcPr>
          <w:p>
            <w:pPr>
              <w:spacing w:after="40" w:before="0" w:line="259" w:lineRule="auto"/>
            </w:pPr>
            <w:r>
              <w:rPr>
                <w:rFonts w:ascii="Calibri" w:hAnsi="Calibri"/>
                <w:b/>
                <w:i w:val="0"/>
                <w:color w:val="212121"/>
                <w:sz w:val="19"/>
              </w:rPr>
              <w:t>Often asymptomatic / mild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Because ACD develops slowly and is usually mild-to-moderate, it may be detected only on routine blood tests.</w:t>
            </w:r>
          </w:p>
        </w:tc>
      </w:tr>
      <w:tr>
        <w:trPr>
          <w:cantSplit/>
        </w:trPr>
        <w:tc>
          <w:tcPr>
            <w:tcW w:type="dxa" w:w="2304"/>
            <w:vAlign w:val="top"/>
          </w:tcPr>
          <w:p>
            <w:pPr>
              <w:spacing w:after="40" w:before="0" w:line="259" w:lineRule="auto"/>
            </w:pPr>
            <w:r>
              <w:rPr>
                <w:rFonts w:ascii="Calibri" w:hAnsi="Calibri"/>
                <w:b/>
                <w:i w:val="0"/>
                <w:color w:val="212121"/>
                <w:sz w:val="19"/>
              </w:rPr>
              <w:t>Restless legs / disturbed sleep</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More typical when true iron deficiency co-exists with the inflammatory anemia.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Conjunctival and palmar 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bedside sign of anemia; insensitive for mild cases.</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rise in heart rate to maintain oxygen delivery.</w:t>
            </w:r>
          </w:p>
        </w:tc>
      </w:tr>
      <w:tr>
        <w:trPr>
          <w:cantSplit/>
        </w:trPr>
        <w:tc>
          <w:tcPr>
            <w:tcW w:type="dxa" w:w="3456"/>
            <w:vAlign w:val="top"/>
          </w:tcPr>
          <w:p>
            <w:pPr>
              <w:spacing w:after="40" w:before="0" w:line="259" w:lineRule="auto"/>
            </w:pPr>
            <w:r>
              <w:rPr>
                <w:rFonts w:ascii="Calibri" w:hAnsi="Calibri"/>
                <w:b/>
                <w:i w:val="0"/>
                <w:color w:val="212121"/>
                <w:sz w:val="19"/>
              </w:rPr>
              <w:t>Flow (systolic ejection)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soft haemic murmur from increased, lower-viscosity blood flow.</w:t>
            </w:r>
          </w:p>
        </w:tc>
      </w:tr>
      <w:tr>
        <w:trPr>
          <w:cantSplit/>
        </w:trPr>
        <w:tc>
          <w:tcPr>
            <w:tcW w:type="dxa" w:w="3456"/>
            <w:vAlign w:val="top"/>
          </w:tcPr>
          <w:p>
            <w:pPr>
              <w:spacing w:after="40" w:before="0" w:line="259" w:lineRule="auto"/>
            </w:pPr>
            <w:r>
              <w:rPr>
                <w:rFonts w:ascii="Calibri" w:hAnsi="Calibri"/>
                <w:b/>
                <w:i w:val="0"/>
                <w:color w:val="212121"/>
                <w:sz w:val="19"/>
              </w:rPr>
              <w:t>Features of the underlying disease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Synovitis/joint deformity (RA), cachexia and lymphadenopathy (malignancy/TB), or oedema (CKD/heart failure).</w:t>
            </w:r>
          </w:p>
        </w:tc>
      </w:tr>
      <w:tr>
        <w:trPr>
          <w:cantSplit/>
        </w:trPr>
        <w:tc>
          <w:tcPr>
            <w:tcW w:type="dxa" w:w="3456"/>
            <w:vAlign w:val="top"/>
          </w:tcPr>
          <w:p>
            <w:pPr>
              <w:spacing w:after="40" w:before="0" w:line="259" w:lineRule="auto"/>
            </w:pPr>
            <w:r>
              <w:rPr>
                <w:rFonts w:ascii="Calibri" w:hAnsi="Calibri"/>
                <w:b/>
                <w:i w:val="0"/>
                <w:color w:val="212121"/>
                <w:sz w:val="19"/>
              </w:rPr>
              <w:t>Hepatosplenomegaly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accompany chronic infection, autoimmune disease or an underlying haematological malignancy.</w:t>
            </w:r>
          </w:p>
        </w:tc>
      </w:tr>
      <w:tr>
        <w:trPr>
          <w:cantSplit/>
        </w:trPr>
        <w:tc>
          <w:tcPr>
            <w:tcW w:type="dxa" w:w="3456"/>
            <w:vAlign w:val="top"/>
          </w:tcPr>
          <w:p>
            <w:pPr>
              <w:spacing w:after="40" w:before="0" w:line="259" w:lineRule="auto"/>
            </w:pPr>
            <w:r>
              <w:rPr>
                <w:rFonts w:ascii="Calibri" w:hAnsi="Calibri"/>
                <w:b/>
                <w:i w:val="0"/>
                <w:color w:val="212121"/>
                <w:sz w:val="19"/>
              </w:rPr>
              <w:t>Signs of chronic illness / cachexia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Muscle wasting and poor nutritional status reflecting the chronic inflammatory state.</w:t>
            </w:r>
          </w:p>
        </w:tc>
      </w:tr>
      <w:tr>
        <w:trPr>
          <w:cantSplit/>
        </w:trPr>
        <w:tc>
          <w:tcPr>
            <w:tcW w:type="dxa" w:w="3456"/>
            <w:vAlign w:val="top"/>
          </w:tcPr>
          <w:p>
            <w:pPr>
              <w:spacing w:after="40" w:before="0" w:line="259" w:lineRule="auto"/>
            </w:pPr>
            <w:r>
              <w:rPr>
                <w:rFonts w:ascii="Calibri" w:hAnsi="Calibri"/>
                <w:b/>
                <w:i w:val="0"/>
                <w:color w:val="212121"/>
                <w:sz w:val="19"/>
              </w:rPr>
              <w:t>Peripheral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when ACD accompanies chronic kidney disease or congestive heart failure.</w:t>
            </w:r>
          </w:p>
        </w:tc>
      </w:tr>
      <w:tr>
        <w:trPr>
          <w:cantSplit/>
        </w:trPr>
        <w:tc>
          <w:tcPr>
            <w:tcW w:type="dxa" w:w="3456"/>
            <w:vAlign w:val="top"/>
          </w:tcPr>
          <w:p>
            <w:pPr>
              <w:spacing w:after="40" w:before="0" w:line="259" w:lineRule="auto"/>
            </w:pPr>
            <w:r>
              <w:rPr>
                <w:rFonts w:ascii="Calibri" w:hAnsi="Calibri"/>
                <w:b/>
                <w:i w:val="0"/>
                <w:color w:val="212121"/>
                <w:sz w:val="19"/>
              </w:rPr>
              <w:t>Koilonychia / glossitis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 to coexisting true iron deficiency rather than pure ACD.</w:t>
            </w:r>
          </w:p>
        </w:tc>
      </w:tr>
      <w:tr>
        <w:trPr>
          <w:cantSplit/>
        </w:trPr>
        <w:tc>
          <w:tcPr>
            <w:tcW w:type="dxa" w:w="3456"/>
            <w:vAlign w:val="top"/>
          </w:tcPr>
          <w:p>
            <w:pPr>
              <w:spacing w:after="40" w:before="0" w:line="259" w:lineRule="auto"/>
            </w:pPr>
            <w:r>
              <w:rPr>
                <w:rFonts w:ascii="Calibri" w:hAnsi="Calibri"/>
                <w:b/>
                <w:i w:val="0"/>
                <w:color w:val="212121"/>
                <w:sz w:val="19"/>
              </w:rPr>
              <w:t>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chronic infection (TB), autoimmune disease or lymphoma driving the anemia.</w:t>
            </w:r>
          </w:p>
        </w:tc>
      </w:tr>
      <w:tr>
        <w:trPr>
          <w:cantSplit/>
        </w:trPr>
        <w:tc>
          <w:tcPr>
            <w:tcW w:type="dxa" w:w="3456"/>
            <w:vAlign w:val="top"/>
          </w:tcPr>
          <w:p>
            <w:pPr>
              <w:spacing w:after="40" w:before="0" w:line="259" w:lineRule="auto"/>
            </w:pPr>
            <w:r>
              <w:rPr>
                <w:rFonts w:ascii="Calibri" w:hAnsi="Calibri"/>
                <w:b/>
                <w:i w:val="0"/>
                <w:color w:val="212121"/>
                <w:sz w:val="19"/>
              </w:rPr>
              <w:t>Normal spleen with mild pallor only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uncomplicated ACD, examination may reveal little beyond mild pallor and signs of the primary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anemia: fatigue, exertional breathlessness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exercise tolerance and functional capacity, especially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Aggravation of ischaemic symptoms (angina, claudication) and heart-failure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concentration and increased falls risk in older adults</w:t>
            </w:r>
          </w:p>
        </w:tc>
        <w:tc>
          <w:tcPr>
            <w:tcW w:type="dxa" w:w="2980"/>
            <w:vAlign w:val="top"/>
          </w:tcPr>
          <w:p>
            <w:pPr>
              <w:spacing w:after="40" w:before="0" w:line="259" w:lineRule="auto"/>
            </w:pPr>
            <w:r>
              <w:rPr>
                <w:rFonts w:ascii="Calibri" w:hAnsi="Calibri"/>
                <w:b w:val="0"/>
                <w:i w:val="0"/>
                <w:color w:val="212121"/>
                <w:sz w:val="19"/>
              </w:rPr>
              <w:t>Direct consequences of reduced oxygen-carrying capacity superimposed on a chronic illness.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wound healing and slower recovery from surgery or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need for blood transfusion and reduced response to erythropoiesis-stimulating agents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ACD with true iron deficiency, complicating diagnosis and treatment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outcomes in pregnancy where inflammatory anemia coexists with nutritional anemia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More frequent and longer hospital admissions</w:t>
            </w:r>
          </w:p>
        </w:tc>
        <w:tc>
          <w:tcPr>
            <w:tcW w:type="dxa" w:w="2980"/>
            <w:vAlign w:val="top"/>
          </w:tcPr>
          <w:p>
            <w:pPr>
              <w:spacing w:after="40" w:before="0" w:line="259" w:lineRule="auto"/>
            </w:pPr>
            <w:r>
              <w:rPr>
                <w:rFonts w:ascii="Calibri" w:hAnsi="Calibri"/>
                <w:b w:val="0"/>
                <w:i w:val="0"/>
                <w:color w:val="212121"/>
                <w:sz w:val="19"/>
              </w:rPr>
              <w:t>Result from persistent inflammation blunting erythropoiesis and from the interaction of anemia with the underlying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 prognosis and higher mortality in CKD, heart failure and cancer when anemia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 overload from repeated transfusions or inappropriate intravenous iron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frailty, disability and loss of independence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Cardio-renal-anemia syndrome accelerating decline in heart and kidney function</w:t>
            </w:r>
          </w:p>
        </w:tc>
        <w:tc>
          <w:tcPr>
            <w:tcW w:type="dxa" w:w="2980"/>
            <w:vAlign w:val="top"/>
          </w:tcPr>
          <w:p>
            <w:pPr>
              <w:spacing w:after="40" w:before="0" w:line="259" w:lineRule="auto"/>
            </w:pPr>
            <w:r>
              <w:rPr>
                <w:rFonts w:ascii="Calibri" w:hAnsi="Calibri"/>
                <w:b w:val="0"/>
                <w:i w:val="0"/>
                <w:color w:val="212121"/>
                <w:sz w:val="19"/>
              </w:rPr>
              <w:t>Long-term, sometimes irreversible outcomes of under-treated inflammatory anemia and its interplay with chronic organ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CKD reduces erythropoietin and retains hepcidin, so anemia is common and worsens as kidney function declines; it drives ESA and IV-iron therapy decisions.</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classic autoimmune cause of ACD; anemia severity tracks disease activity and improves when inflammation is controlled with DMARDs/biologics.</w:t>
            </w:r>
          </w:p>
        </w:tc>
      </w:tr>
      <w:tr>
        <w:trPr>
          <w:cantSplit/>
        </w:trPr>
        <w:tc>
          <w:tcPr>
            <w:tcW w:type="dxa" w:w="2232"/>
            <w:vAlign w:val="top"/>
          </w:tcPr>
          <w:p>
            <w:pPr>
              <w:spacing w:after="40" w:before="0" w:line="259" w:lineRule="auto"/>
            </w:pPr>
            <w:r>
              <w:rPr>
                <w:rFonts w:ascii="Calibri" w:hAnsi="Calibri"/>
                <w:b/>
                <w:i w:val="0"/>
                <w:color w:val="212121"/>
                <w:sz w:val="19"/>
              </w:rPr>
              <w:t>Tuberculosis / chronic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 dominant, treatable driver in India; persistent infection raises cytokines and hepcidin, and the anemia typically resolves with effective anti-infective therapy.</w:t>
            </w:r>
          </w:p>
        </w:tc>
      </w:tr>
      <w:tr>
        <w:trPr>
          <w:cantSplit/>
        </w:trPr>
        <w:tc>
          <w:tcPr>
            <w:tcW w:type="dxa" w:w="2232"/>
            <w:vAlign w:val="top"/>
          </w:tcPr>
          <w:p>
            <w:pPr>
              <w:spacing w:after="40" w:before="0" w:line="259" w:lineRule="auto"/>
            </w:pPr>
            <w:r>
              <w:rPr>
                <w:rFonts w:ascii="Calibri" w:hAnsi="Calibri"/>
                <w:b/>
                <w:i w:val="0"/>
                <w:color w:val="212121"/>
                <w:sz w:val="19"/>
              </w:rPr>
              <w:t>HIV/AIDS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Causes anemia through inflammation plus direct effects on red-cell production; some antiretrovirals (e.g., zidovudine) add marrow suppression.</w:t>
            </w:r>
          </w:p>
        </w:tc>
      </w:tr>
      <w:tr>
        <w:trPr>
          <w:cantSplit/>
        </w:trPr>
        <w:tc>
          <w:tcPr>
            <w:tcW w:type="dxa" w:w="2232"/>
            <w:vAlign w:val="top"/>
          </w:tcPr>
          <w:p>
            <w:pPr>
              <w:spacing w:after="40" w:before="0" w:line="259" w:lineRule="auto"/>
            </w:pPr>
            <w:r>
              <w:rPr>
                <w:rFonts w:ascii="Calibri" w:hAnsi="Calibri"/>
                <w:b/>
                <w:i w:val="0"/>
                <w:color w:val="212121"/>
                <w:sz w:val="19"/>
              </w:rPr>
              <w:t>Malignancy (solid tumours &amp; lymphoma)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Tumour cytokines, marrow infiltration and chemotherapy/radiotherapy combine to cause anemia of cancer.</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chronic autoimmune inflammatory disease that commonly produces ACD, sometimes overlapping with autoimmune haemolysis.</w:t>
            </w:r>
          </w:p>
        </w:tc>
      </w:tr>
      <w:tr>
        <w:trPr>
          <w:cantSplit/>
        </w:trPr>
        <w:tc>
          <w:tcPr>
            <w:tcW w:type="dxa" w:w="2232"/>
            <w:vAlign w:val="top"/>
          </w:tcPr>
          <w:p>
            <w:pPr>
              <w:spacing w:after="40" w:before="0" w:line="259" w:lineRule="auto"/>
            </w:pPr>
            <w:r>
              <w:rPr>
                <w:rFonts w:ascii="Calibri" w:hAnsi="Calibri"/>
                <w:b/>
                <w:i w:val="0"/>
                <w:color w:val="212121"/>
                <w:sz w:val="19"/>
              </w:rPr>
              <w:t>Inflammatory bowel disease (Crohn's, ulcerative colitis)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Combines inflammatory anemia with chronic gut blood loss, so a combined ACD-plus-iron-deficiency picture is typical.</w:t>
            </w:r>
          </w:p>
        </w:tc>
      </w:tr>
      <w:tr>
        <w:trPr>
          <w:cantSplit/>
        </w:trPr>
        <w:tc>
          <w:tcPr>
            <w:tcW w:type="dxa" w:w="2232"/>
            <w:vAlign w:val="top"/>
          </w:tcPr>
          <w:p>
            <w:pPr>
              <w:spacing w:after="40" w:before="0" w:line="259" w:lineRule="auto"/>
            </w:pPr>
            <w:r>
              <w:rPr>
                <w:rFonts w:ascii="Calibri" w:hAnsi="Calibri"/>
                <w:b/>
                <w:i w:val="0"/>
                <w:color w:val="212121"/>
                <w:sz w:val="19"/>
              </w:rPr>
              <w:t>Congestive heart failure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Anemia and heart failure aggravate each other within the cardio-renal-anemia syndrome and predict worse outcomes.</w:t>
            </w:r>
          </w:p>
        </w:tc>
      </w:tr>
      <w:tr>
        <w:trPr>
          <w:cantSplit/>
        </w:trPr>
        <w:tc>
          <w:tcPr>
            <w:tcW w:type="dxa" w:w="2232"/>
            <w:vAlign w:val="top"/>
          </w:tcPr>
          <w:p>
            <w:pPr>
              <w:spacing w:after="40" w:before="0" w:line="259" w:lineRule="auto"/>
            </w:pPr>
            <w:r>
              <w:rPr>
                <w:rFonts w:ascii="Calibri" w:hAnsi="Calibri"/>
                <w:b/>
                <w:i w:val="0"/>
                <w:color w:val="212121"/>
                <w:sz w:val="19"/>
              </w:rPr>
              <w:t>Obesity / metabolic inflammation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Adipose-derived IL-6 raises hepcidin, causing a mild functional iron deficiency and anemia of inflammation.</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low-grade inflammation and frequent diabetic kidney disease contribute to inflammatory anemia and complicate its management.</w:t>
            </w:r>
          </w:p>
        </w:tc>
      </w:tr>
      <w:tr>
        <w:trPr>
          <w:cantSplit/>
        </w:trPr>
        <w:tc>
          <w:tcPr>
            <w:tcW w:type="dxa" w:w="2232"/>
            <w:vAlign w:val="top"/>
          </w:tcPr>
          <w:p>
            <w:pPr>
              <w:spacing w:after="40" w:before="0" w:line="259" w:lineRule="auto"/>
            </w:pPr>
            <w:r>
              <w:rPr>
                <w:rFonts w:ascii="Calibri" w:hAnsi="Calibri"/>
                <w:b/>
                <w:i w:val="0"/>
                <w:color w:val="212121"/>
                <w:sz w:val="19"/>
              </w:rPr>
              <w:t>Concurrent iron-deficiency anemia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True iron depletion frequently coexists with ACD in India; the combination alters iron studies and demands cautious iron repletion.</w:t>
            </w:r>
          </w:p>
        </w:tc>
      </w:tr>
      <w:tr>
        <w:trPr>
          <w:cantSplit/>
        </w:trPr>
        <w:tc>
          <w:tcPr>
            <w:tcW w:type="dxa" w:w="2232"/>
            <w:vAlign w:val="top"/>
          </w:tcPr>
          <w:p>
            <w:pPr>
              <w:spacing w:after="40" w:before="0" w:line="259" w:lineRule="auto"/>
            </w:pPr>
            <w:r>
              <w:rPr>
                <w:rFonts w:ascii="Calibri" w:hAnsi="Calibri"/>
                <w:b/>
                <w:i w:val="0"/>
                <w:color w:val="212121"/>
                <w:sz w:val="19"/>
              </w:rPr>
              <w:t>Anemia of the elderly / inflammaging</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Low-grade inflammation of ageing plus accumulated chronic disease makes inflammatory anemia a major cause of unexplained anemia in older adults.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this anemia is caused by an ongoing illness or inflammation, so the main treatment is controlling that underlying condition, not just taking iron.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in inflammation the body often has enough stored iron but cannot use it, so unsupervised high-dose iron tablets may not help and can cause side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and blood tests if you have a chronic disease (kidney disease, rheumatoid arthritis, tuberculosis, IBD, cancer) so anemia is detected and tracked.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prescribed treatment for the underlying disease fully - for example, complete the entire course of anti-tuberculosis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worsening tiredness, breathlessness or chest pain, which may mean the anemia needs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your doctor before starting iron or 'blood-building' supplements, as the right treatment depends on your iron studies and the cause.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CKD/RA/TB/cancer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of chronically ill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as physically active as your underlying condition allows, since regular activity lowers chronic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Asian-Indian BMI (18.5-22.9 kg/m^2) to reduce obesity-driven inflammation and hepcidin.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light aerobic activity such as walking to preserve stamina and cardiovascular fitness.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activity and rest during disease flares, when anemia and fatigue may be worse.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chronically ill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graded activity as the anemia and underlying disease improve with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supervised, gentle exercise in CKD, heart failure or cancer to maintain function without overexertion.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treatment of the cause rather than expecting exercise alone to correct the anemia.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for excessive breathlessness or chest pain and adjust intensity accordingly.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treatment for the underlying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Cancer survivors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largely anti-inflammatory diet rich in vegetables, fruit, whole grains, pulses and adequate protein to support the underlying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dietary iron, vitamin B12 and folate to prevent coexisting nutritional deficiency, which is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Pair plant (non-haem) iron sources with vitamin-C-rich foods, and avoid tea/coffee with meals, to improve iron absorption when iron deficiency co-exists.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self-prescribe high-dose iron; in active inflammation it is poorly absorbed and may be ineffective.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overall nutrition to aid recovery and immune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combined ACD + iron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your doctor's guidance on whether oral or intravenous iron is appropriate - IV iron is often preferred when inflammation blocks oral iron use, especially in 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proven vitamin B12 or folate deficiency alongside treatment of the inflammatory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iron, if prescribed, on an empty stomach or with vitamin C, and separately from tea, coffee, calcium and antacids.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gastrointestinal side effects of iron so the dose or route can be adjusted.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anemia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ACD + iron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Post-chemotherapy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regular, adequate sleep (about 7-9 hours), since chronic sleep loss can raise inflammatory markers.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sleep-disrupting problems such as pain, breathlessness or restless legs that accompany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to support overall recovery and immune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ill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painful inflammatory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systemic inflammation and prevent COPD, which can worsen inflammatory anemia and tissue hypoxia.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particularly if you already have a chronic lung, heart or kidney condition.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(counselling, nicotine replacement) to quit successfully.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cardiovascular or renal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or abstain, as chronic heavy use causes liver inflammation and can suppress the bone marrow.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drinking also causes folate deficiency, adding another cause of anemia.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to reduce heavy drinking, which worsens both inflammation and 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and treat depression, which often accompany long-term illness and are linked to higher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(breathing, relaxation, yoga) as an adjunct to medical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psychological support for the burden of chronic disease, which can improve adherence and overall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fatigue may stem from both anemia and low mood, and address both.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Cancer and CKD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treating the underlying cause - this is the cornerstone of correcting anemia of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erythropoiesis-stimulating agents and iron (usually intravenous) with your specialist when anemia is significant, as in CKD or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blood transfusion for severe or symptomatic anemia as advised by your doctor.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iron studies and inflammatory markers rechecked to guide and monitor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or unmonitored iron, which can cause iron overload with repeated transfusions.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symptomatic ACD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and cancer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needing ESA/IV iron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ddk.nih.gov/health-information/blood-diseases/anemia-inflammation-chronic-disease" TargetMode="External"/><Relationship Id="rId10" Type="http://schemas.openxmlformats.org/officeDocument/2006/relationships/hyperlink" Target="https://www.who.int/news-room/fact-sheets/detail/tuberculosis" TargetMode="External"/><Relationship Id="rId11" Type="http://schemas.openxmlformats.org/officeDocument/2006/relationships/hyperlink" Target="https://www.who.int/news-room/fact-sheets/detail/anaemia" TargetMode="External"/><Relationship Id="rId12" Type="http://schemas.openxmlformats.org/officeDocument/2006/relationships/hyperlink" Target="https://www.merckmanuals.com/professional/hematology-and-oncology/anemias-caused-by-deficient-erythropoiesis/anemia-of-chronic-disease" TargetMode="External"/><Relationship Id="rId13" Type="http://schemas.openxmlformats.org/officeDocument/2006/relationships/hyperlink" Target="https://www.nhlbi.nih.gov/health/anemia/cau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