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Sickle Cell Trait</w:t>
      </w:r>
    </w:p>
    <w:p>
      <w:pPr>
        <w:spacing w:before="0" w:after="160"/>
      </w:pPr>
      <w:r>
        <w:rPr>
          <w:rFonts w:ascii="Calibri" w:hAnsi="Calibri"/>
          <w:b/>
          <w:i w:val="0"/>
          <w:color w:val="212121"/>
          <w:sz w:val="22"/>
        </w:rPr>
        <w:t xml:space="preserve">AKA </w:t>
      </w:r>
      <w:r>
        <w:rPr>
          <w:rFonts w:ascii="Calibri" w:hAnsi="Calibri"/>
          <w:b w:val="0"/>
          <w:i w:val="0"/>
          <w:color w:val="212121"/>
          <w:sz w:val="22"/>
        </w:rPr>
        <w:t>i.e., Sickle cell carrier, Heterozygous HbAS, Hb AS, Sickle trait, HbS carrier state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Sickle cell trait (HbAS) is the heterozygous carrier state of the sickle haemoglobin gene, in which one β-globin allele is normal (HbA) and the other carries the sickle mutation (HbS, β⁶ Glu→Val). It is generally a benign, largely asymptomatic condition with normal haemoglobin, normal red-cell indices and a normal lifespan, and it must be distinguished from sickle cell disease (homozygous HbSS or compound heterozygous states). Carriers can, however, manifest specific complications under extreme physiological stress—severe hypoxia, dehydration, high altitude or extreme exertion—and are of major public-health importance for reproductive genetic counselling, since two carriers have a 1-in-4 chance of a child with sickle cell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Sickle cell trait is the most common haemoglobinopathy carrier state in India, concentrated in the central and western “sickle cell belt” and among Scheduled Tribes. Pooled birth-prevalence data estimate the trait at about 9,639 per 100,000 (≈9.6%) neonates in endemic regions, rising to roughly 11,599 per 100,000 (≈11.6%) in tribal populations versus about 1,502 per 100,000 (≈1.5%) in non-tribal groups. Carrier (heterozygote) frequencies of 10–35% are documented in the Gond and Bhil tribes of central India, 11.37% on tribal screening in Gujarat, and 18.2–34.1% in Wayanad, Kerala; Madhya Pradesh alone is estimated to have close to a million heterozygotes. Under the National Sickle Cell Anaemia Elimination Mission (launched 2023 across 17 high-burden states, targeting 7 crore screenings by 2025–26), over 6 crore people had been screened by mid-2025, identifying about 16.7 lakh trait carriers and 2.15 lakh people with sickle cell disease; Odisha, Chhattisgarh, Madhya Pradesh, Maharashtra and Gujarat carry the highest burden.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Sickle cell trait is identified by demonstrating sickle haemoglobin in a heterozygous pattern in a person who is not anaemic; the key is to prove HbA predominance and to exclude disease or compound heterozygous states: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sickle solubility / sickling test (sodium metabisulfite or dithionite) — a screening test only, which is positive in both trait and disease and therefore cannot distinguish them;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haemoglobin HPLC or electrophoresis showing HbA greater than HbS (typically ~55–60% HbA and ~35–45% HbS) with a normal HbA2 and no significant HbF elevation — confirmatory, and distinguishes AS from HbSS, HbS–β-thalassaemia and HbSC;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normal complete blood count and haemoglobin with normal red-cell indices and no anaemia — a key feature separating trait from sickle cell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normal peripheral blood smear without irreversibly sickled cells at baseline;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molecular HBB gene analysis (β⁶ GAG→GTG, Glu→Val point mutation) for confirmation, for prenatal diagnosis, or when compound heterozygosity with β-thalassaemia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point-of-care solubility or immunoassay devices (e.g., Sickle SCAN, HemoTypeSC) used for mass field screening under the National Sickle Cell Anaemia Elimination Mission.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“Sickle cell trait” is best understood within the haemoglobin-genotype spectrum, which frames why the trait is benign while related states are not:</w:t>
      </w:r>
    </w:p>
    <w:p>
      <w:pPr>
        <w:spacing w:before="0" w:after="80"/>
      </w:pPr>
      <w:r>
        <w:rPr>
          <w:rFonts w:ascii="Calibri" w:hAnsi="Calibri"/>
          <w:b w:val="0"/>
          <w:i w:val="0"/>
          <w:color w:val="212121"/>
          <w:sz w:val="21"/>
        </w:rPr>
        <w:t>(1) The genotype spectrum — normal (HbAA), carrier/trait (HbAS) and disease. Sickle cell trait is the heterozygous carrier state and, unlike the homozygous disease, does not cause chronic haemolysis, vaso-occlusive crises or a shortened lifespan.</w:t>
      </w:r>
    </w:p>
    <w:p>
      <w:pPr>
        <w:spacing w:before="0" w:after="80"/>
      </w:pPr>
      <w:r>
        <w:rPr>
          <w:rFonts w:ascii="Calibri" w:hAnsi="Calibri"/>
          <w:b w:val="0"/>
          <w:i w:val="0"/>
          <w:color w:val="212121"/>
          <w:sz w:val="21"/>
        </w:rPr>
        <w:t>(2) Distinction from clinically significant compound heterozygous states — HbS/β-thalassaemia, HbSC, HbS/D-Punjab, HbS/E and HbS/HPFH. These can produce true sickling disease and must never be mislabelled as benign trait; a low MCV or anaemia in an AS report should prompt a search for co-inherited β-thalassaemia.</w:t>
      </w:r>
    </w:p>
    <w:p>
      <w:pPr>
        <w:spacing w:before="0" w:after="80"/>
      </w:pPr>
      <w:r>
        <w:rPr>
          <w:rFonts w:ascii="Calibri" w:hAnsi="Calibri"/>
          <w:b w:val="0"/>
          <w:i w:val="0"/>
          <w:color w:val="212121"/>
          <w:sz w:val="21"/>
        </w:rPr>
        <w:t>(3) Haplotype background — in India HbS occurs predominantly on the Arab-Indian (Asian) haplotype, which is associated with high fetal haemoglobin and a generally milder phenotype than the African haplotypes; this is relevant to counselling when both partners are carriers.</w:t>
      </w:r>
    </w:p>
    <w:p>
      <w:pPr>
        <w:spacing w:before="0" w:after="80"/>
      </w:pPr>
      <w:r>
        <w:rPr>
          <w:rFonts w:ascii="Calibri" w:hAnsi="Calibri"/>
          <w:b w:val="0"/>
          <w:i w:val="0"/>
          <w:color w:val="212121"/>
          <w:sz w:val="21"/>
        </w:rPr>
        <w:t>(4) Co-inherited modifiers — concurrent α-thalassaemia, G6PD deficiency or iron deficiency (all common in Indian tribal populations) can alter red-cell indices and complicate laboratory and clinical interpretation of the carrier state.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Single inherited HBB point mutation: One β-globin allele carries the sickle mutation (β⁶ GAG→GTG, Glu→Val) producing HbS while the other allele is normal (HbA), yielding the heterozygous AS state with HbS ≤45% — too little for chronic sickling under normal conditions.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Autosomal codominant inheritance: The trait is inherited from one carrier or affected parent; because both HbA and HbS are expressed, HbS is demonstrable on testing but the person remains clinically well.</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Malaria selection pressure: Heterozygote advantage against Plasmodium falciparum has maintained high HbS gene frequencies in the malaria-endemic tribal and forest belts of central and western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Endogamy and consanguinity: Community endogamy and consanguineous unions in tribal populations concentrate the gene and increase the probability of two carriers mating and producing an affected child.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Founder effect and haplotype: Localized founder effects and the Arab-Indian haplotype account for the regional clustering seen along the Indian “sickle cell belt.”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Provoking physiological stressors: Severe hypoxia, dehydration, high altitude, extreme exertion, acidosis and hyperthermia can precipitate red-cell sickling in the otherwise stable carrier and underlie the recognized (uncommon) complications.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Newborns &amp; children</w:t>
            </w:r>
          </w:p>
        </w:tc>
        <w:tc>
          <w:tcPr>
            <w:tcW w:type="dxa" w:w="4276"/>
            <w:vAlign w:val="top"/>
          </w:tcPr>
          <w:p>
            <w:pPr>
              <w:spacing w:after="60" w:line="259" w:lineRule="auto"/>
            </w:pPr>
            <w:r>
              <w:rPr>
                <w:rFonts w:ascii="Calibri" w:hAnsi="Calibri"/>
                <w:b w:val="0"/>
                <w:i w:val="0"/>
                <w:color w:val="212121"/>
                <w:sz w:val="19"/>
              </w:rPr>
              <w:t>The trait is present from birth and is best detected early through newborn or childhood screening, which underpins timely genetic counselling and prevents mislabelling later in life.</w:t>
            </w:r>
          </w:p>
          <w:p>
            <w:pPr>
              <w:spacing w:after="40" w:before="60" w:line="259" w:lineRule="auto"/>
            </w:pPr>
            <w:r>
              <w:rPr>
                <w:rFonts w:ascii="Calibri" w:hAnsi="Calibri"/>
                <w:b w:val="0"/>
                <w:i w:val="0"/>
                <w:color w:val="212121"/>
                <w:sz w:val="19"/>
              </w:rPr>
              <w:t>The National Sickle Cell Anaemia Elimination Mission targets the population aged 0–40 years in tribal and high-burden districts, screening over 6 crore people by mid-2025.</w:t>
            </w:r>
          </w:p>
          <w:p>
            <w:pPr>
              <w:spacing w:after="40" w:line="252" w:lineRule="auto"/>
            </w:pPr>
            <w:hyperlink r:id="rId9">
              <w:r>
                <w:rPr>
                  <w:rFonts w:ascii="Calibri" w:hAnsi="Calibri" w:cs="Calibri"/>
                  <w:sz w:val="18"/>
                  <w:color w:val="1155CC"/>
                  <w:u w:val="single"/>
                </w:rPr>
                <w:t xml:space="preserve">sickle.nhm.gov.in — National Mission</w:t>
              </w:r>
            </w:hyperlink>
          </w:p>
          <w:p>
            <w:pPr>
              <w:spacing w:before="60" w:after="40"/>
            </w:pPr>
            <w:r>
              <w:rPr>
                <w:rFonts w:ascii="Calibri" w:hAnsi="Calibri"/>
                <w:b w:val="0"/>
                <w:i w:val="0"/>
                <w:color w:val="5A5A5A"/>
                <w:sz w:val="18"/>
              </w:rPr>
              <w:t>#newbornscreening  #carrier  #geneticcounselling  #earlydetection  #sicklebelt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(reproductive age)</w:t>
            </w:r>
          </w:p>
        </w:tc>
        <w:tc>
          <w:tcPr>
            <w:tcW w:type="dxa" w:w="4276"/>
            <w:vAlign w:val="top"/>
          </w:tcPr>
          <w:p>
            <w:pPr>
              <w:spacing w:after="60" w:line="259" w:lineRule="auto"/>
            </w:pPr>
            <w:r>
              <w:rPr>
                <w:rFonts w:ascii="Calibri" w:hAnsi="Calibri"/>
                <w:b w:val="0"/>
                <w:i w:val="0"/>
                <w:color w:val="212121"/>
                <w:sz w:val="19"/>
              </w:rPr>
              <w:t>In adults the main significance of the trait is reproductive: identifying two carrier partners allows counselling about the 1-in-4 chance of an affected child per pregnancy.</w:t>
            </w:r>
          </w:p>
          <w:p>
            <w:pPr>
              <w:spacing w:after="40" w:before="60" w:line="259" w:lineRule="auto"/>
            </w:pPr>
            <w:r>
              <w:rPr>
                <w:rFonts w:ascii="Calibri" w:hAnsi="Calibri"/>
                <w:b w:val="0"/>
                <w:i w:val="0"/>
                <w:color w:val="212121"/>
                <w:sz w:val="19"/>
              </w:rPr>
              <w:t>Sickle cell trait can never become sickle cell disease, but a child of two carriers has a 25% chance of sickle cell disease with each pregnancy.</w:t>
            </w:r>
          </w:p>
          <w:p>
            <w:pPr>
              <w:spacing w:after="40" w:line="252" w:lineRule="auto"/>
            </w:pPr>
            <w:hyperlink r:id="rId10">
              <w:r>
                <w:rPr>
                  <w:rFonts w:ascii="Calibri" w:hAnsi="Calibri" w:cs="Calibri"/>
                  <w:sz w:val="18"/>
                  <w:color w:val="1155CC"/>
                  <w:u w:val="single"/>
                </w:rPr>
                <w:t xml:space="preserve">hematology.org — sickle cell trait</w:t>
              </w:r>
            </w:hyperlink>
          </w:p>
          <w:p>
            <w:pPr>
              <w:spacing w:before="60" w:after="40"/>
            </w:pPr>
            <w:r>
              <w:rPr>
                <w:rFonts w:ascii="Calibri" w:hAnsi="Calibri"/>
                <w:b w:val="0"/>
                <w:i w:val="0"/>
                <w:color w:val="5A5A5A"/>
                <w:sz w:val="18"/>
              </w:rPr>
              <w:t>#reproductiverisk  #premaritalscreening  #antenatal  #counselling</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Gross painless haematuria and renal papillary necrosis are reported more often in male carriers, and young males predominate among the rare exertional events seen in athletes and recruits.</w:t>
            </w:r>
          </w:p>
          <w:p>
            <w:pPr>
              <w:spacing w:after="40" w:before="60" w:line="259" w:lineRule="auto"/>
            </w:pPr>
            <w:r>
              <w:rPr>
                <w:rFonts w:ascii="Calibri" w:hAnsi="Calibri"/>
                <w:b w:val="0"/>
                <w:i w:val="0"/>
                <w:color w:val="212121"/>
                <w:sz w:val="19"/>
              </w:rPr>
              <w:t>Sickle cell trait has been associated with a 54% higher rate of exertional rhabdomyolysis and a markedly higher risk of exertional sudden death in intensely training young men.</w:t>
            </w:r>
          </w:p>
          <w:p>
            <w:pPr>
              <w:spacing w:after="40" w:line="252" w:lineRule="auto"/>
            </w:pPr>
            <w:hyperlink r:id="rId11">
              <w:r>
                <w:rPr>
                  <w:rFonts w:ascii="Calibri" w:hAnsi="Calibri" w:cs="Calibri"/>
                  <w:sz w:val="18"/>
                  <w:color w:val="1155CC"/>
                  <w:u w:val="single"/>
                </w:rPr>
                <w:t xml:space="preserve">StatPearls — Sickle Cell Trait</w:t>
              </w:r>
            </w:hyperlink>
          </w:p>
          <w:p>
            <w:pPr>
              <w:spacing w:before="60" w:after="40"/>
            </w:pPr>
            <w:r>
              <w:rPr>
                <w:rFonts w:ascii="Calibri" w:hAnsi="Calibri"/>
                <w:b w:val="0"/>
                <w:i w:val="0"/>
                <w:color w:val="5A5A5A"/>
                <w:sz w:val="18"/>
              </w:rPr>
              <w:t>#haematuria  #exertional  #rhabdomyolysis  #athletes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Females (pregnant carriers)</w:t>
            </w:r>
          </w:p>
        </w:tc>
        <w:tc>
          <w:tcPr>
            <w:tcW w:type="dxa" w:w="4276"/>
            <w:vAlign w:val="top"/>
          </w:tcPr>
          <w:p>
            <w:pPr>
              <w:spacing w:after="60" w:line="259" w:lineRule="auto"/>
            </w:pPr>
            <w:r>
              <w:rPr>
                <w:rFonts w:ascii="Calibri" w:hAnsi="Calibri"/>
                <w:b w:val="0"/>
                <w:i w:val="0"/>
                <w:color w:val="212121"/>
                <w:sz w:val="19"/>
              </w:rPr>
              <w:t>Pregnant carriers have an increased frequency of asymptomatic bacteriuria and urinary tract infection and a higher venous thromboembolism risk, warranting antenatal screening and trimester urine cultures.</w:t>
            </w:r>
          </w:p>
          <w:p>
            <w:pPr>
              <w:spacing w:after="40" w:before="60" w:line="259" w:lineRule="auto"/>
            </w:pPr>
            <w:r>
              <w:rPr>
                <w:rFonts w:ascii="Calibri" w:hAnsi="Calibri"/>
                <w:b w:val="0"/>
                <w:i w:val="0"/>
                <w:color w:val="212121"/>
                <w:sz w:val="19"/>
              </w:rPr>
              <w:t>Guidelines advise urine cultures each trimester with folic acid and iron supplementation in pregnant carriers; partner testing guides prenatal counselling.</w:t>
            </w:r>
          </w:p>
          <w:p>
            <w:pPr>
              <w:spacing w:after="40" w:line="252" w:lineRule="auto"/>
            </w:pPr>
            <w:hyperlink r:id="rId11">
              <w:r>
                <w:rPr>
                  <w:rFonts w:ascii="Calibri" w:hAnsi="Calibri" w:cs="Calibri"/>
                  <w:sz w:val="18"/>
                  <w:color w:val="1155CC"/>
                  <w:u w:val="single"/>
                </w:rPr>
                <w:t xml:space="preserve">StatPearls — Sickle Cell Trait</w:t>
              </w:r>
            </w:hyperlink>
          </w:p>
          <w:p>
            <w:pPr>
              <w:spacing w:before="60" w:after="40"/>
            </w:pPr>
            <w:r>
              <w:rPr>
                <w:rFonts w:ascii="Calibri" w:hAnsi="Calibri"/>
                <w:b w:val="0"/>
                <w:i w:val="0"/>
                <w:color w:val="5A5A5A"/>
                <w:sz w:val="18"/>
              </w:rPr>
              <w:t>#pregnancy  #UTI  #VTE  #antenatalscreening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Central Indian tribes (Gond, Bhil)</w:t>
            </w:r>
          </w:p>
        </w:tc>
        <w:tc>
          <w:tcPr>
            <w:tcW w:type="dxa" w:w="4276"/>
            <w:vAlign w:val="top"/>
          </w:tcPr>
          <w:p>
            <w:pPr>
              <w:spacing w:after="60" w:line="259" w:lineRule="auto"/>
            </w:pPr>
            <w:r>
              <w:rPr>
                <w:rFonts w:ascii="Calibri" w:hAnsi="Calibri"/>
                <w:b w:val="0"/>
                <w:i w:val="0"/>
                <w:color w:val="212121"/>
                <w:sz w:val="19"/>
              </w:rPr>
              <w:t>The largest tribal groups of the central Indian malaria belt carry the highest HbS gene frequencies, reflecting long-standing malaria selection pressure and endogamy.</w:t>
            </w:r>
          </w:p>
          <w:p>
            <w:pPr>
              <w:spacing w:after="40" w:before="60" w:line="259" w:lineRule="auto"/>
            </w:pPr>
            <w:r>
              <w:rPr>
                <w:rFonts w:ascii="Calibri" w:hAnsi="Calibri"/>
                <w:b w:val="0"/>
                <w:i w:val="0"/>
                <w:color w:val="212121"/>
                <w:sz w:val="19"/>
              </w:rPr>
              <w:t>HbS prevalence of about 20–35% is documented among Gond and Bhil tribes of central India; Madhya Pradesh alone is estimated to have ~961,492 heterozygotes.</w:t>
            </w:r>
          </w:p>
          <w:p>
            <w:pPr>
              <w:spacing w:after="40" w:line="252" w:lineRule="auto"/>
            </w:pPr>
            <w:hyperlink r:id="rId12">
              <w:r>
                <w:rPr>
                  <w:rFonts w:ascii="Calibri" w:hAnsi="Calibri" w:cs="Calibri"/>
                  <w:sz w:val="18"/>
                  <w:color w:val="1155CC"/>
                  <w:u w:val="single"/>
                </w:rPr>
                <w:t xml:space="preserve">ijmr.org.in — SCD in tribal populations</w:t>
              </w:r>
            </w:hyperlink>
          </w:p>
          <w:p>
            <w:pPr>
              <w:spacing w:before="60" w:after="40"/>
            </w:pPr>
            <w:r>
              <w:rPr>
                <w:rFonts w:ascii="Calibri" w:hAnsi="Calibri"/>
                <w:b w:val="0"/>
                <w:i w:val="0"/>
                <w:color w:val="5A5A5A"/>
                <w:sz w:val="18"/>
              </w:rPr>
              <w:t>#gond  #bhil  #tribal  #sicklebelt  #centralindia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 Gujarat tribal communities</w:t>
            </w:r>
          </w:p>
        </w:tc>
        <w:tc>
          <w:tcPr>
            <w:tcW w:type="dxa" w:w="4276"/>
            <w:vAlign w:val="top"/>
          </w:tcPr>
          <w:p>
            <w:pPr>
              <w:spacing w:after="60" w:line="259" w:lineRule="auto"/>
            </w:pPr>
            <w:r>
              <w:rPr>
                <w:rFonts w:ascii="Calibri" w:hAnsi="Calibri"/>
                <w:b w:val="0"/>
                <w:i w:val="0"/>
                <w:color w:val="212121"/>
                <w:sz w:val="19"/>
              </w:rPr>
              <w:t>Endogamous tribal communities of south Gujarat (Chaudhry, Gamit, Vasava, Kukana) show high carrier rates, making them a priority for community screening.</w:t>
            </w:r>
          </w:p>
          <w:p>
            <w:pPr>
              <w:spacing w:after="40" w:before="60" w:line="259" w:lineRule="auto"/>
            </w:pPr>
            <w:r>
              <w:rPr>
                <w:rFonts w:ascii="Calibri" w:hAnsi="Calibri"/>
                <w:b w:val="0"/>
                <w:i w:val="0"/>
                <w:color w:val="212121"/>
                <w:sz w:val="19"/>
              </w:rPr>
              <w:t>Tribal screening of 168,498 individuals in Gujarat found an 11.37% sickle cell trait carrier prevalence.</w:t>
            </w:r>
          </w:p>
          <w:p>
            <w:pPr>
              <w:spacing w:after="40" w:line="252" w:lineRule="auto"/>
            </w:pPr>
            <w:hyperlink r:id="rId12">
              <w:r>
                <w:rPr>
                  <w:rFonts w:ascii="Calibri" w:hAnsi="Calibri" w:cs="Calibri"/>
                  <w:sz w:val="18"/>
                  <w:color w:val="1155CC"/>
                  <w:u w:val="single"/>
                </w:rPr>
                <w:t xml:space="preserve">ijmr.org.in — SCD in tribal populations</w:t>
              </w:r>
            </w:hyperlink>
          </w:p>
          <w:p>
            <w:pPr>
              <w:spacing w:before="60" w:after="40"/>
            </w:pPr>
            <w:r>
              <w:rPr>
                <w:rFonts w:ascii="Calibri" w:hAnsi="Calibri"/>
                <w:b w:val="0"/>
                <w:i w:val="0"/>
                <w:color w:val="5A5A5A"/>
                <w:sz w:val="18"/>
              </w:rPr>
              <w:t>#gujarat  #tribalscreening  #carrier  #endogamy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Wayanad (Kerala) &amp; Nilgiri belt</w:t>
            </w:r>
          </w:p>
        </w:tc>
        <w:tc>
          <w:tcPr>
            <w:tcW w:type="dxa" w:w="4276"/>
            <w:vAlign w:val="top"/>
          </w:tcPr>
          <w:p>
            <w:pPr>
              <w:spacing w:after="60" w:line="259" w:lineRule="auto"/>
            </w:pPr>
            <w:r>
              <w:rPr>
                <w:rFonts w:ascii="Calibri" w:hAnsi="Calibri"/>
                <w:b w:val="0"/>
                <w:i w:val="0"/>
                <w:color w:val="212121"/>
                <w:sz w:val="19"/>
              </w:rPr>
              <w:t>Pockets of very high prevalence exist in the southern hill tribes, showing that the sickle gene is not confined to central India.</w:t>
            </w:r>
          </w:p>
          <w:p>
            <w:pPr>
              <w:spacing w:after="40" w:before="60" w:line="259" w:lineRule="auto"/>
            </w:pPr>
            <w:r>
              <w:rPr>
                <w:rFonts w:ascii="Calibri" w:hAnsi="Calibri"/>
                <w:b w:val="0"/>
                <w:i w:val="0"/>
                <w:color w:val="212121"/>
                <w:sz w:val="19"/>
              </w:rPr>
              <w:t>Carrier prevalence of 18.2–34.1% has been reported among tribal groups of Wayanad district, Kerala.</w:t>
            </w:r>
          </w:p>
          <w:p>
            <w:pPr>
              <w:spacing w:after="40" w:line="252" w:lineRule="auto"/>
            </w:pPr>
            <w:hyperlink r:id="rId12">
              <w:r>
                <w:rPr>
                  <w:rFonts w:ascii="Calibri" w:hAnsi="Calibri" w:cs="Calibri"/>
                  <w:sz w:val="18"/>
                  <w:color w:val="1155CC"/>
                  <w:u w:val="single"/>
                </w:rPr>
                <w:t xml:space="preserve">ijmr.org.in — SCD in tribal populations</w:t>
              </w:r>
            </w:hyperlink>
          </w:p>
          <w:p>
            <w:pPr>
              <w:spacing w:before="60" w:after="40"/>
            </w:pPr>
            <w:r>
              <w:rPr>
                <w:rFonts w:ascii="Calibri" w:hAnsi="Calibri"/>
                <w:b w:val="0"/>
                <w:i w:val="0"/>
                <w:color w:val="5A5A5A"/>
                <w:sz w:val="18"/>
              </w:rPr>
              <w:t>#wayanad  #kerala  #hilltribes  #highprevalence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High-burden states</w:t>
            </w:r>
          </w:p>
        </w:tc>
        <w:tc>
          <w:tcPr>
            <w:tcW w:type="dxa" w:w="2160"/>
            <w:vAlign w:val="top"/>
          </w:tcPr>
          <w:p>
            <w:pPr>
              <w:spacing w:after="40" w:before="0" w:line="259" w:lineRule="auto"/>
            </w:pPr>
            <w:r>
              <w:rPr>
                <w:rFonts w:ascii="Calibri" w:hAnsi="Calibri"/>
                <w:b w:val="0"/>
                <w:i w:val="0"/>
                <w:color w:val="212121"/>
                <w:sz w:val="19"/>
              </w:rPr>
              <w:t>Odisha, Chhattisgarh, MP, Maharashtra, Gujarat</w:t>
            </w:r>
          </w:p>
        </w:tc>
        <w:tc>
          <w:tcPr>
            <w:tcW w:type="dxa" w:w="4276"/>
            <w:vAlign w:val="top"/>
          </w:tcPr>
          <w:p>
            <w:pPr>
              <w:spacing w:after="60" w:line="259" w:lineRule="auto"/>
            </w:pPr>
            <w:r>
              <w:rPr>
                <w:rFonts w:ascii="Calibri" w:hAnsi="Calibri"/>
                <w:b w:val="0"/>
                <w:i w:val="0"/>
                <w:color w:val="212121"/>
                <w:sz w:val="19"/>
              </w:rPr>
              <w:t>These states form the core of the Indian sickle cell belt and account for the highest number of diagnosed carriers and patients under the national screening programme.</w:t>
            </w:r>
          </w:p>
          <w:p>
            <w:pPr>
              <w:spacing w:after="40" w:before="60" w:line="259" w:lineRule="auto"/>
            </w:pPr>
            <w:r>
              <w:rPr>
                <w:rFonts w:ascii="Calibri" w:hAnsi="Calibri"/>
                <w:b w:val="0"/>
                <w:i w:val="0"/>
                <w:color w:val="212121"/>
                <w:sz w:val="19"/>
              </w:rPr>
              <w:t>Odisha, Chhattisgarh, Madhya Pradesh, Maharashtra and Gujarat report the highest numbers of diagnosed cases; ~16.7 lakh trait carriers were identified by mid-2025.</w:t>
            </w:r>
          </w:p>
          <w:p>
            <w:pPr>
              <w:spacing w:after="40" w:line="252" w:lineRule="auto"/>
            </w:pPr>
            <w:hyperlink r:id="rId13">
              <w:r>
                <w:rPr>
                  <w:rFonts w:ascii="Calibri" w:hAnsi="Calibri" w:cs="Calibri"/>
                  <w:sz w:val="18"/>
                  <w:color w:val="1155CC"/>
                  <w:u w:val="single"/>
                </w:rPr>
                <w:t xml:space="preserve">outlookindia.com — National Mission figures</w:t>
              </w:r>
            </w:hyperlink>
          </w:p>
          <w:p>
            <w:pPr>
              <w:spacing w:before="60" w:after="40"/>
            </w:pPr>
            <w:r>
              <w:rPr>
                <w:rFonts w:ascii="Calibri" w:hAnsi="Calibri"/>
                <w:b w:val="0"/>
                <w:i w:val="0"/>
                <w:color w:val="5A5A5A"/>
                <w:sz w:val="18"/>
              </w:rPr>
              <w:t>#sicklebelt  #odisha  #chhattisgarh  #nationalmission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Strenuous exertion</w:t>
            </w:r>
          </w:p>
        </w:tc>
        <w:tc>
          <w:tcPr>
            <w:tcW w:type="dxa" w:w="2160"/>
            <w:vAlign w:val="top"/>
          </w:tcPr>
          <w:p>
            <w:pPr>
              <w:spacing w:after="40" w:before="0" w:line="259" w:lineRule="auto"/>
            </w:pPr>
            <w:r>
              <w:rPr>
                <w:rFonts w:ascii="Calibri" w:hAnsi="Calibri"/>
                <w:b w:val="0"/>
                <w:i w:val="0"/>
                <w:color w:val="212121"/>
                <w:sz w:val="19"/>
              </w:rPr>
              <w:t>Athletes, military &amp; police recruits</w:t>
            </w:r>
          </w:p>
        </w:tc>
        <w:tc>
          <w:tcPr>
            <w:tcW w:type="dxa" w:w="4276"/>
            <w:vAlign w:val="top"/>
          </w:tcPr>
          <w:p>
            <w:pPr>
              <w:spacing w:after="60" w:line="259" w:lineRule="auto"/>
            </w:pPr>
            <w:r>
              <w:rPr>
                <w:rFonts w:ascii="Calibri" w:hAnsi="Calibri"/>
                <w:b w:val="0"/>
                <w:i w:val="0"/>
                <w:color w:val="212121"/>
                <w:sz w:val="19"/>
              </w:rPr>
              <w:t>Sudden maximal or unconditioned exertion—especially in heat or without acclimatization—can precipitate exertional sickling, rhabdomyolysis and, rarely, collapse; graded conditioning and hydration are protective.</w:t>
            </w:r>
          </w:p>
          <w:p>
            <w:pPr>
              <w:spacing w:after="40" w:before="60" w:line="259" w:lineRule="auto"/>
            </w:pPr>
            <w:r>
              <w:rPr>
                <w:rFonts w:ascii="Calibri" w:hAnsi="Calibri"/>
                <w:b w:val="0"/>
                <w:i w:val="0"/>
                <w:color w:val="212121"/>
                <w:sz w:val="19"/>
              </w:rPr>
              <w:t>A large US Army study linked the trait to a ~54% higher rate of exertional rhabdomyolysis (without an increase in overall mortality when hydration/rest protocols were followed).</w:t>
            </w:r>
          </w:p>
          <w:p>
            <w:pPr>
              <w:spacing w:after="40" w:line="252" w:lineRule="auto"/>
            </w:pPr>
            <w:hyperlink r:id="rId14">
              <w:r>
                <w:rPr>
                  <w:rFonts w:ascii="Calibri" w:hAnsi="Calibri" w:cs="Calibri"/>
                  <w:sz w:val="18"/>
                  <w:color w:val="1155CC"/>
                  <w:u w:val="single"/>
                </w:rPr>
                <w:t xml:space="preserve">NEJM 2016 — SCT, rhabdomyolysis &amp; mortality</w:t>
              </w:r>
            </w:hyperlink>
          </w:p>
          <w:p>
            <w:pPr>
              <w:spacing w:before="60" w:after="40"/>
            </w:pPr>
            <w:r>
              <w:rPr>
                <w:rFonts w:ascii="Calibri" w:hAnsi="Calibri"/>
                <w:b w:val="0"/>
                <w:i w:val="0"/>
                <w:color w:val="5A5A5A"/>
                <w:sz w:val="18"/>
              </w:rPr>
              <w:t>#athletes  #recruits  #exertional  #rhabdomyolysis  #acclimatization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High-altitude exposure</w:t>
            </w:r>
          </w:p>
        </w:tc>
        <w:tc>
          <w:tcPr>
            <w:tcW w:type="dxa" w:w="2160"/>
            <w:vAlign w:val="top"/>
          </w:tcPr>
          <w:p>
            <w:pPr>
              <w:spacing w:after="40" w:before="0" w:line="259" w:lineRule="auto"/>
            </w:pPr>
            <w:r>
              <w:rPr>
                <w:rFonts w:ascii="Calibri" w:hAnsi="Calibri"/>
                <w:b w:val="0"/>
                <w:i w:val="0"/>
                <w:color w:val="212121"/>
                <w:sz w:val="19"/>
              </w:rPr>
              <w:t>Trekkers, aviators, high-altitude travellers</w:t>
            </w:r>
          </w:p>
        </w:tc>
        <w:tc>
          <w:tcPr>
            <w:tcW w:type="dxa" w:w="4276"/>
            <w:vAlign w:val="top"/>
          </w:tcPr>
          <w:p>
            <w:pPr>
              <w:spacing w:after="60" w:line="259" w:lineRule="auto"/>
            </w:pPr>
            <w:r>
              <w:rPr>
                <w:rFonts w:ascii="Calibri" w:hAnsi="Calibri"/>
                <w:b w:val="0"/>
                <w:i w:val="0"/>
                <w:color w:val="212121"/>
                <w:sz w:val="19"/>
              </w:rPr>
              <w:t>Hypoxia at high altitude or in unpressurized flight can trigger red-cell sickling, with splenic infarction being a recognized altitude-related event in carriers.</w:t>
            </w:r>
          </w:p>
          <w:p>
            <w:pPr>
              <w:spacing w:after="40" w:before="60" w:line="259" w:lineRule="auto"/>
            </w:pPr>
            <w:r>
              <w:rPr>
                <w:rFonts w:ascii="Calibri" w:hAnsi="Calibri"/>
                <w:b w:val="0"/>
                <w:i w:val="0"/>
                <w:color w:val="212121"/>
                <w:sz w:val="19"/>
              </w:rPr>
              <w:t>Splenic infarction at high altitude is an established, though uncommon, complication of the otherwise benign trait.</w:t>
            </w:r>
          </w:p>
          <w:p>
            <w:pPr>
              <w:spacing w:after="40" w:line="252" w:lineRule="auto"/>
            </w:pPr>
            <w:hyperlink r:id="rId11">
              <w:r>
                <w:rPr>
                  <w:rFonts w:ascii="Calibri" w:hAnsi="Calibri" w:cs="Calibri"/>
                  <w:sz w:val="18"/>
                  <w:color w:val="1155CC"/>
                  <w:u w:val="single"/>
                </w:rPr>
                <w:t xml:space="preserve">StatPearls — Sickle Cell Trait</w:t>
              </w:r>
            </w:hyperlink>
          </w:p>
          <w:p>
            <w:pPr>
              <w:spacing w:before="60" w:after="40"/>
            </w:pPr>
            <w:r>
              <w:rPr>
                <w:rFonts w:ascii="Calibri" w:hAnsi="Calibri"/>
                <w:b w:val="0"/>
                <w:i w:val="0"/>
                <w:color w:val="5A5A5A"/>
                <w:sz w:val="18"/>
              </w:rPr>
              <w:t>#altitude  #hypoxia  #splenicinfarction  #aviation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Heat &amp; dehydration exposure</w:t>
            </w:r>
          </w:p>
        </w:tc>
        <w:tc>
          <w:tcPr>
            <w:tcW w:type="dxa" w:w="2160"/>
            <w:vAlign w:val="top"/>
          </w:tcPr>
          <w:p>
            <w:pPr>
              <w:spacing w:after="40" w:before="0" w:line="259" w:lineRule="auto"/>
            </w:pPr>
            <w:r>
              <w:rPr>
                <w:rFonts w:ascii="Calibri" w:hAnsi="Calibri"/>
                <w:b w:val="0"/>
                <w:i w:val="0"/>
                <w:color w:val="212121"/>
                <w:sz w:val="19"/>
              </w:rPr>
              <w:t>Outdoor manual labourers</w:t>
            </w:r>
          </w:p>
        </w:tc>
        <w:tc>
          <w:tcPr>
            <w:tcW w:type="dxa" w:w="4276"/>
            <w:vAlign w:val="top"/>
          </w:tcPr>
          <w:p>
            <w:pPr>
              <w:spacing w:after="60" w:line="259" w:lineRule="auto"/>
            </w:pPr>
            <w:r>
              <w:rPr>
                <w:rFonts w:ascii="Calibri" w:hAnsi="Calibri"/>
                <w:b w:val="0"/>
                <w:i w:val="0"/>
                <w:color w:val="212121"/>
                <w:sz w:val="19"/>
              </w:rPr>
              <w:t>Heavy manual work in heat with inadequate fluid replacement produces dehydration and hyperthermia—two of the strongest sickling triggers—raising the risk of exertional events.</w:t>
            </w:r>
          </w:p>
          <w:p>
            <w:pPr>
              <w:spacing w:after="40" w:before="60" w:line="259" w:lineRule="auto"/>
            </w:pPr>
            <w:r>
              <w:rPr>
                <w:rFonts w:ascii="Calibri" w:hAnsi="Calibri"/>
                <w:b w:val="0"/>
                <w:i w:val="0"/>
                <w:color w:val="212121"/>
                <w:sz w:val="19"/>
              </w:rPr>
              <w:t>Dehydration, hyperthermia, hypoxia and acidosis are the physiological conditions that promote HbS polymerization in carriers.</w:t>
            </w:r>
          </w:p>
          <w:p>
            <w:pPr>
              <w:spacing w:after="40" w:line="252" w:lineRule="auto"/>
            </w:pPr>
            <w:hyperlink r:id="rId11">
              <w:r>
                <w:rPr>
                  <w:rFonts w:ascii="Calibri" w:hAnsi="Calibri" w:cs="Calibri"/>
                  <w:sz w:val="18"/>
                  <w:color w:val="1155CC"/>
                  <w:u w:val="single"/>
                </w:rPr>
                <w:t xml:space="preserve">StatPearls — Sickle Cell Trait</w:t>
              </w:r>
            </w:hyperlink>
          </w:p>
          <w:p>
            <w:pPr>
              <w:spacing w:before="60" w:after="40"/>
            </w:pPr>
            <w:r>
              <w:rPr>
                <w:rFonts w:ascii="Calibri" w:hAnsi="Calibri"/>
                <w:b w:val="0"/>
                <w:i w:val="0"/>
                <w:color w:val="5A5A5A"/>
                <w:sz w:val="18"/>
              </w:rPr>
              <w:t>#heat  #dehydration  #manuallabour  #sicklingtrigger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Hydration</w:t>
            </w:r>
          </w:p>
        </w:tc>
        <w:tc>
          <w:tcPr>
            <w:tcW w:type="dxa" w:w="2160"/>
            <w:vAlign w:val="top"/>
          </w:tcPr>
          <w:p>
            <w:pPr>
              <w:spacing w:after="40" w:before="0" w:line="259" w:lineRule="auto"/>
            </w:pPr>
            <w:r>
              <w:rPr>
                <w:rFonts w:ascii="Calibri" w:hAnsi="Calibri"/>
                <w:b w:val="0"/>
                <w:i w:val="0"/>
                <w:color w:val="212121"/>
                <w:sz w:val="19"/>
              </w:rPr>
              <w:t>Low-fluid-intake / dehydration-prone individuals</w:t>
            </w:r>
          </w:p>
        </w:tc>
        <w:tc>
          <w:tcPr>
            <w:tcW w:type="dxa" w:w="4276"/>
            <w:vAlign w:val="top"/>
          </w:tcPr>
          <w:p>
            <w:pPr>
              <w:spacing w:after="60" w:line="259" w:lineRule="auto"/>
            </w:pPr>
            <w:r>
              <w:rPr>
                <w:rFonts w:ascii="Calibri" w:hAnsi="Calibri"/>
                <w:b w:val="0"/>
                <w:i w:val="0"/>
                <w:color w:val="212121"/>
                <w:sz w:val="19"/>
              </w:rPr>
              <w:t>Carriers have an impaired ability to concentrate urine (hyposthenuria), so their fluid requirements are higher; poor fluid intake during fasting, travel or festivals increases sickling risk.</w:t>
            </w:r>
          </w:p>
          <w:p>
            <w:pPr>
              <w:spacing w:after="40" w:before="60" w:line="259" w:lineRule="auto"/>
            </w:pPr>
            <w:r>
              <w:rPr>
                <w:rFonts w:ascii="Calibri" w:hAnsi="Calibri"/>
                <w:b w:val="0"/>
                <w:i w:val="0"/>
                <w:color w:val="212121"/>
                <w:sz w:val="19"/>
              </w:rPr>
              <w:t>Renal medullary hypoxia and hypertonicity make dehydration a key provoker of haematuria and papillary necrosis in the trait.</w:t>
            </w:r>
          </w:p>
          <w:p>
            <w:pPr>
              <w:spacing w:after="40" w:line="252" w:lineRule="auto"/>
            </w:pPr>
            <w:hyperlink r:id="rId11">
              <w:r>
                <w:rPr>
                  <w:rFonts w:ascii="Calibri" w:hAnsi="Calibri" w:cs="Calibri"/>
                  <w:sz w:val="18"/>
                  <w:color w:val="1155CC"/>
                  <w:u w:val="single"/>
                </w:rPr>
                <w:t xml:space="preserve">StatPearls — Sickle Cell Trait</w:t>
              </w:r>
            </w:hyperlink>
          </w:p>
          <w:p>
            <w:pPr>
              <w:spacing w:before="60" w:after="40"/>
            </w:pPr>
            <w:r>
              <w:rPr>
                <w:rFonts w:ascii="Calibri" w:hAnsi="Calibri"/>
                <w:b w:val="0"/>
                <w:i w:val="0"/>
                <w:color w:val="5A5A5A"/>
                <w:sz w:val="18"/>
              </w:rPr>
              <w:t>#hydration  #hyposthenuria  #fluidintake  #fasting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Nutritional status</w:t>
            </w:r>
          </w:p>
        </w:tc>
        <w:tc>
          <w:tcPr>
            <w:tcW w:type="dxa" w:w="2160"/>
            <w:vAlign w:val="top"/>
          </w:tcPr>
          <w:p>
            <w:pPr>
              <w:spacing w:after="40" w:before="0" w:line="259" w:lineRule="auto"/>
            </w:pPr>
            <w:r>
              <w:rPr>
                <w:rFonts w:ascii="Calibri" w:hAnsi="Calibri"/>
                <w:b w:val="0"/>
                <w:i w:val="0"/>
                <w:color w:val="212121"/>
                <w:sz w:val="19"/>
              </w:rPr>
              <w:t>Individuals with coexisting iron-deficiency anaemia</w:t>
            </w:r>
          </w:p>
        </w:tc>
        <w:tc>
          <w:tcPr>
            <w:tcW w:type="dxa" w:w="4276"/>
            <w:vAlign w:val="top"/>
          </w:tcPr>
          <w:p>
            <w:pPr>
              <w:spacing w:after="60" w:line="259" w:lineRule="auto"/>
            </w:pPr>
            <w:r>
              <w:rPr>
                <w:rFonts w:ascii="Calibri" w:hAnsi="Calibri"/>
                <w:b w:val="0"/>
                <w:i w:val="0"/>
                <w:color w:val="212121"/>
                <w:sz w:val="19"/>
              </w:rPr>
              <w:t>Iron-deficiency and other nutritional anaemias are widespread in Indian tribal diets and can coexist with the trait, altering red-cell indices and complicating interpretation — the trait itself does not cause anaemia.</w:t>
            </w:r>
          </w:p>
          <w:p>
            <w:pPr>
              <w:spacing w:before="60" w:after="40"/>
            </w:pPr>
            <w:r>
              <w:rPr>
                <w:rFonts w:ascii="Calibri" w:hAnsi="Calibri"/>
                <w:b w:val="0"/>
                <w:i w:val="0"/>
                <w:color w:val="5A5A5A"/>
                <w:sz w:val="18"/>
              </w:rPr>
              <w:t>#irondeficiency  #anaemia  #tribaldiet  #nutrition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 carrier parents</w:t>
            </w:r>
          </w:p>
        </w:tc>
        <w:tc>
          <w:tcPr>
            <w:tcW w:type="dxa" w:w="4276"/>
            <w:vAlign w:val="top"/>
          </w:tcPr>
          <w:p>
            <w:pPr>
              <w:spacing w:after="60" w:line="259" w:lineRule="auto"/>
            </w:pPr>
            <w:r>
              <w:rPr>
                <w:rFonts w:ascii="Calibri" w:hAnsi="Calibri"/>
                <w:b w:val="0"/>
                <w:i w:val="0"/>
                <w:color w:val="212121"/>
                <w:sz w:val="19"/>
              </w:rPr>
              <w:t>Each child of one carrier parent has a 50% chance of inheriting the trait; when both parents are carriers, each pregnancy carries a 25% risk of sickle cell disease.</w:t>
            </w:r>
          </w:p>
          <w:p>
            <w:pPr>
              <w:spacing w:after="40" w:before="60" w:line="259" w:lineRule="auto"/>
            </w:pPr>
            <w:r>
              <w:rPr>
                <w:rFonts w:ascii="Calibri" w:hAnsi="Calibri"/>
                <w:b w:val="0"/>
                <w:i w:val="0"/>
                <w:color w:val="212121"/>
                <w:sz w:val="19"/>
              </w:rPr>
              <w:t>All US newborns are screened for both trait and disease; India's Mission mirrors this with mass carrier screening and family tracing.</w:t>
            </w:r>
          </w:p>
          <w:p>
            <w:pPr>
              <w:spacing w:after="40" w:line="252" w:lineRule="auto"/>
            </w:pPr>
            <w:hyperlink r:id="rId10">
              <w:r>
                <w:rPr>
                  <w:rFonts w:ascii="Calibri" w:hAnsi="Calibri" w:cs="Calibri"/>
                  <w:sz w:val="18"/>
                  <w:color w:val="1155CC"/>
                  <w:u w:val="single"/>
                </w:rPr>
                <w:t xml:space="preserve">hematology.org — sickle cell trait</w:t>
              </w:r>
            </w:hyperlink>
          </w:p>
          <w:p>
            <w:pPr>
              <w:spacing w:before="60" w:after="40"/>
            </w:pPr>
            <w:r>
              <w:rPr>
                <w:rFonts w:ascii="Calibri" w:hAnsi="Calibri"/>
                <w:b w:val="0"/>
                <w:i w:val="0"/>
                <w:color w:val="5A5A5A"/>
                <w:sz w:val="18"/>
              </w:rPr>
              <w:t>#familyhistory  #inheritance  #carrierparents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Consanguinity &amp; endogamy</w:t>
            </w:r>
          </w:p>
        </w:tc>
        <w:tc>
          <w:tcPr>
            <w:tcW w:type="dxa" w:w="2160"/>
            <w:vAlign w:val="top"/>
          </w:tcPr>
          <w:p>
            <w:pPr>
              <w:spacing w:after="40" w:before="0" w:line="259" w:lineRule="auto"/>
            </w:pPr>
            <w:r>
              <w:rPr>
                <w:rFonts w:ascii="Calibri" w:hAnsi="Calibri"/>
                <w:b w:val="0"/>
                <w:i w:val="0"/>
                <w:color w:val="212121"/>
                <w:sz w:val="19"/>
              </w:rPr>
              <w:t>Endogamous / consanguineous tribal communities</w:t>
            </w:r>
          </w:p>
        </w:tc>
        <w:tc>
          <w:tcPr>
            <w:tcW w:type="dxa" w:w="4276"/>
            <w:vAlign w:val="top"/>
          </w:tcPr>
          <w:p>
            <w:pPr>
              <w:spacing w:after="60" w:line="259" w:lineRule="auto"/>
            </w:pPr>
            <w:r>
              <w:rPr>
                <w:rFonts w:ascii="Calibri" w:hAnsi="Calibri"/>
                <w:b w:val="0"/>
                <w:i w:val="0"/>
                <w:color w:val="212121"/>
                <w:sz w:val="19"/>
              </w:rPr>
              <w:t>Marriage within a small carrier gene pool markedly increases the chance of two carriers uniting, driving the high burden of affected births in tribal populations.</w:t>
            </w:r>
          </w:p>
          <w:p>
            <w:pPr>
              <w:spacing w:after="40" w:before="60" w:line="259" w:lineRule="auto"/>
            </w:pPr>
            <w:r>
              <w:rPr>
                <w:rFonts w:ascii="Calibri" w:hAnsi="Calibri"/>
                <w:b w:val="0"/>
                <w:i w:val="0"/>
                <w:color w:val="212121"/>
                <w:sz w:val="19"/>
              </w:rPr>
              <w:t>India's ~67.8 million (8.6%) tribal population concentrated in the sickle belt bears the greatest share of carriers and affected births.</w:t>
            </w:r>
          </w:p>
          <w:p>
            <w:pPr>
              <w:spacing w:after="40" w:line="252" w:lineRule="auto"/>
            </w:pPr>
            <w:hyperlink r:id="rId9">
              <w:r>
                <w:rPr>
                  <w:rFonts w:ascii="Calibri" w:hAnsi="Calibri" w:cs="Calibri"/>
                  <w:sz w:val="18"/>
                  <w:color w:val="1155CC"/>
                  <w:u w:val="single"/>
                </w:rPr>
                <w:t xml:space="preserve">sickle.nhm.gov.in — National Mission</w:t>
              </w:r>
            </w:hyperlink>
          </w:p>
          <w:p>
            <w:pPr>
              <w:spacing w:before="60" w:after="40"/>
            </w:pPr>
            <w:r>
              <w:rPr>
                <w:rFonts w:ascii="Calibri" w:hAnsi="Calibri"/>
                <w:b w:val="0"/>
                <w:i w:val="0"/>
                <w:color w:val="5A5A5A"/>
                <w:sz w:val="18"/>
              </w:rPr>
              <w:t>#consanguinity  #endogamy  #tribal  #founder effect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Haplotype / co-inheritance</w:t>
            </w:r>
          </w:p>
        </w:tc>
        <w:tc>
          <w:tcPr>
            <w:tcW w:type="dxa" w:w="2160"/>
            <w:vAlign w:val="top"/>
          </w:tcPr>
          <w:p>
            <w:pPr>
              <w:spacing w:after="40" w:before="0" w:line="259" w:lineRule="auto"/>
            </w:pPr>
            <w:r>
              <w:rPr>
                <w:rFonts w:ascii="Calibri" w:hAnsi="Calibri"/>
                <w:b w:val="0"/>
                <w:i w:val="0"/>
                <w:color w:val="212121"/>
                <w:sz w:val="19"/>
              </w:rPr>
              <w:t>Arab-Indian haplotype carriers</w:t>
            </w:r>
          </w:p>
        </w:tc>
        <w:tc>
          <w:tcPr>
            <w:tcW w:type="dxa" w:w="4276"/>
            <w:vAlign w:val="top"/>
          </w:tcPr>
          <w:p>
            <w:pPr>
              <w:spacing w:after="60" w:line="259" w:lineRule="auto"/>
            </w:pPr>
            <w:r>
              <w:rPr>
                <w:rFonts w:ascii="Calibri" w:hAnsi="Calibri"/>
                <w:b w:val="0"/>
                <w:i w:val="0"/>
                <w:color w:val="212121"/>
                <w:sz w:val="19"/>
              </w:rPr>
              <w:t>Indian HbS predominantly sits on the Arab-Indian haplotype with high fetal haemoglobin, generally milder; co-inherited α-thalassaemia, β-thalassaemia or G6PD deficiency modify the picture.</w:t>
            </w:r>
          </w:p>
          <w:p>
            <w:pPr>
              <w:spacing w:before="60" w:after="40"/>
            </w:pPr>
            <w:r>
              <w:rPr>
                <w:rFonts w:ascii="Calibri" w:hAnsi="Calibri"/>
                <w:b w:val="0"/>
                <w:i w:val="0"/>
                <w:color w:val="5A5A5A"/>
                <w:sz w:val="18"/>
              </w:rPr>
              <w:t>#arabindianhaplotype  #HbF  #alphathalassemia  #modifiergenes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carriers</w:t>
            </w:r>
          </w:p>
        </w:tc>
        <w:tc>
          <w:tcPr>
            <w:tcW w:type="dxa" w:w="4276"/>
            <w:vAlign w:val="top"/>
          </w:tcPr>
          <w:p>
            <w:pPr>
              <w:spacing w:after="60" w:line="259" w:lineRule="auto"/>
            </w:pPr>
            <w:r>
              <w:rPr>
                <w:rFonts w:ascii="Calibri" w:hAnsi="Calibri"/>
                <w:b w:val="0"/>
                <w:i w:val="0"/>
                <w:color w:val="212121"/>
                <w:sz w:val="19"/>
              </w:rPr>
              <w:t>Pregnancy increases the frequency of asymptomatic bacteriuria, UTI and venous thromboembolism in carriers and is the key window for partner testing and prenatal counselling.</w:t>
            </w:r>
          </w:p>
          <w:p>
            <w:pPr>
              <w:spacing w:after="40" w:before="60" w:line="259" w:lineRule="auto"/>
            </w:pPr>
            <w:r>
              <w:rPr>
                <w:rFonts w:ascii="Calibri" w:hAnsi="Calibri"/>
                <w:b w:val="0"/>
                <w:i w:val="0"/>
                <w:color w:val="212121"/>
                <w:sz w:val="19"/>
              </w:rPr>
              <w:t>Trimester urine cultures, folic acid and iron supplementation, and partner screening are recommended in pregnant carriers.</w:t>
            </w:r>
          </w:p>
          <w:p>
            <w:pPr>
              <w:spacing w:after="40" w:line="252" w:lineRule="auto"/>
            </w:pPr>
            <w:hyperlink r:id="rId11">
              <w:r>
                <w:rPr>
                  <w:rFonts w:ascii="Calibri" w:hAnsi="Calibri" w:cs="Calibri"/>
                  <w:sz w:val="18"/>
                  <w:color w:val="1155CC"/>
                  <w:u w:val="single"/>
                </w:rPr>
                <w:t xml:space="preserve">StatPearls — Sickle Cell Trait</w:t>
              </w:r>
            </w:hyperlink>
          </w:p>
          <w:p>
            <w:pPr>
              <w:spacing w:before="60" w:after="40"/>
            </w:pPr>
            <w:r>
              <w:rPr>
                <w:rFonts w:ascii="Calibri" w:hAnsi="Calibri"/>
                <w:b w:val="0"/>
                <w:i w:val="0"/>
                <w:color w:val="5A5A5A"/>
                <w:sz w:val="18"/>
              </w:rPr>
              <w:t>#pregnancy  #bacteriuria  #VTE  #prenatalcounselling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Carriers with renal manifestations</w:t>
            </w:r>
          </w:p>
        </w:tc>
        <w:tc>
          <w:tcPr>
            <w:tcW w:type="dxa" w:w="4276"/>
            <w:vAlign w:val="top"/>
          </w:tcPr>
          <w:p>
            <w:pPr>
              <w:spacing w:after="60" w:line="259" w:lineRule="auto"/>
            </w:pPr>
            <w:r>
              <w:rPr>
                <w:rFonts w:ascii="Calibri" w:hAnsi="Calibri"/>
                <w:b w:val="0"/>
                <w:i w:val="0"/>
                <w:color w:val="212121"/>
                <w:sz w:val="19"/>
              </w:rPr>
              <w:t>The renal medulla's hypoxic, hypertonic, acidotic milieu makes it the target organ of the trait, producing haematuria, hyposthenuria, papillary necrosis, albuminuria and accelerated CKD.</w:t>
            </w:r>
          </w:p>
          <w:p>
            <w:pPr>
              <w:spacing w:after="40" w:before="60" w:line="259" w:lineRule="auto"/>
            </w:pPr>
            <w:r>
              <w:rPr>
                <w:rFonts w:ascii="Calibri" w:hAnsi="Calibri"/>
                <w:b w:val="0"/>
                <w:i w:val="0"/>
                <w:color w:val="212121"/>
                <w:sz w:val="19"/>
              </w:rPr>
              <w:t>Carriers show an accelerated eGFR decline (~0.254 mL/min/1.73m² per year) and are at risk of the rare, aggressive renal medullary carcinoma.</w:t>
            </w:r>
          </w:p>
          <w:p>
            <w:pPr>
              <w:spacing w:after="40" w:line="252" w:lineRule="auto"/>
            </w:pPr>
            <w:hyperlink r:id="rId11">
              <w:r>
                <w:rPr>
                  <w:rFonts w:ascii="Calibri" w:hAnsi="Calibri" w:cs="Calibri"/>
                  <w:sz w:val="18"/>
                  <w:color w:val="1155CC"/>
                  <w:u w:val="single"/>
                </w:rPr>
                <w:t xml:space="preserve">StatPearls — Sickle Cell Trait</w:t>
              </w:r>
            </w:hyperlink>
          </w:p>
          <w:p>
            <w:pPr>
              <w:spacing w:before="60" w:after="40"/>
            </w:pPr>
            <w:r>
              <w:rPr>
                <w:rFonts w:ascii="Calibri" w:hAnsi="Calibri"/>
                <w:b w:val="0"/>
                <w:i w:val="0"/>
                <w:color w:val="5A5A5A"/>
                <w:sz w:val="18"/>
              </w:rPr>
              <w:t>#CKD  #haematuria  #papillarynecrosis  #renalmedullarycarcinoma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Carriers monitored with HbA1c</w:t>
            </w:r>
          </w:p>
        </w:tc>
        <w:tc>
          <w:tcPr>
            <w:tcW w:type="dxa" w:w="4276"/>
            <w:vAlign w:val="top"/>
          </w:tcPr>
          <w:p>
            <w:pPr>
              <w:spacing w:after="60" w:line="259" w:lineRule="auto"/>
            </w:pPr>
            <w:r>
              <w:rPr>
                <w:rFonts w:ascii="Calibri" w:hAnsi="Calibri"/>
                <w:b w:val="0"/>
                <w:i w:val="0"/>
                <w:color w:val="212121"/>
                <w:sz w:val="19"/>
              </w:rPr>
              <w:t>The HbS variant can interfere with certain HbA1c assay methods, potentially giving misleading glycaemic results; awareness of trait status is needed for accurate diabetes monitoring.</w:t>
            </w:r>
          </w:p>
          <w:p>
            <w:pPr>
              <w:spacing w:before="60" w:after="40"/>
            </w:pPr>
            <w:r>
              <w:rPr>
                <w:rFonts w:ascii="Calibri" w:hAnsi="Calibri"/>
                <w:b w:val="0"/>
                <w:i w:val="0"/>
                <w:color w:val="5A5A5A"/>
                <w:sz w:val="18"/>
              </w:rPr>
              <w:t>#HbA1c  #assayinterference  #diabetesmonitoring  #labpitfall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trait is compatible with normal and even elite activity, but sudden maximal or unconditioned exertion—especially in heat—can precipitate exertional rhabdomyolysis (about 54% higher rate) and, rarely, collapse; graded conditioning and acclimatization are strongly protective.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diet causes the trait, but adequate hydration and iron-sufficient nutrition matter: the renal concentrating defect raises fluid needs, and coexisting iron-deficiency anaemia (common in Indian tribal diets) confounds interpretation of red-cell indices.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is limited; nocturnal hypoxaemia from untreated sleep apnoea could theoretically promote HbS polymerization, and pre-exertion exhaustion raises the risk of exertional events.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produces carboxyhaemoglobinaemia and relative hypoxia and adds vascular and thrombotic risk, so it is prudent to avoid, although trait-specific outcome data are limited.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Excess alcohol promotes dehydration through diuresis—a recognized sickling trigger; moderation with generous hydration is advised.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 main impact is psychological—anxiety, stigma or misunderstanding of carrier status and reproductive-risk distress—rather than a biological driver of sickling.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Dehydration and raised plasma osmolality are among the strongest provokers of red-cell sickling; carriers have impaired urine-concentrating ability (hyposthenuria) and need generous fluid intake, particularly with exertion, heat, altitude or illness.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Relevant only through a mild diuretic/dehydrating effect; there is no meaningful independent role in the trait.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role; general infection prevention and antenatal urine screening reduce the modestly increased UTI risk seen in pregnant carriers.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Severe hypoxia, high altitude (unpressurized flight or rapid ascent), extreme exertion, dehydration, acidosis and hyperthermia are the defining triggers that convert benign trait into symptomatic sickling events such as haematuria, splenic infarction and rhabdomyolysis.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Exertional load &amp; heat acclimatization</w:t>
            </w:r>
          </w:p>
        </w:tc>
        <w:tc>
          <w:tcPr>
            <w:tcW w:type="dxa" w:w="1655"/>
            <w:vAlign w:val="top"/>
          </w:tcPr>
          <w:p>
            <w:pPr>
              <w:spacing w:after="40" w:before="0" w:line="259" w:lineRule="auto"/>
            </w:pPr>
            <w:r>
              <w:rPr>
                <w:rFonts w:ascii="Calibri" w:hAnsi="Calibri"/>
                <w:b w:val="0"/>
                <w:i w:val="0"/>
                <w:color w:val="212121"/>
                <w:sz w:val="19"/>
              </w:rPr>
              <w:t>Athletes, recruits, labourers</w:t>
            </w:r>
          </w:p>
        </w:tc>
        <w:tc>
          <w:tcPr>
            <w:tcW w:type="dxa" w:w="1512"/>
            <w:vAlign w:val="top"/>
          </w:tcPr>
          <w:p>
            <w:pPr>
              <w:spacing w:after="40" w:before="0" w:line="259" w:lineRule="auto"/>
            </w:pPr>
            <w:r>
              <w:rPr>
                <w:rFonts w:ascii="Calibri" w:hAnsi="Calibri"/>
                <w:b w:val="0"/>
                <w:i w:val="0"/>
                <w:color w:val="212121"/>
                <w:sz w:val="19"/>
              </w:rPr>
              <w:t>Graded, acclimatized activity with rest/hydration breaks</w:t>
            </w:r>
          </w:p>
        </w:tc>
        <w:tc>
          <w:tcPr>
            <w:tcW w:type="dxa" w:w="1512"/>
            <w:vAlign w:val="top"/>
          </w:tcPr>
          <w:p>
            <w:pPr>
              <w:spacing w:after="40" w:before="0" w:line="259" w:lineRule="auto"/>
            </w:pPr>
            <w:r>
              <w:rPr>
                <w:rFonts w:ascii="Calibri" w:hAnsi="Calibri"/>
                <w:b w:val="0"/>
                <w:i w:val="0"/>
                <w:color w:val="212121"/>
                <w:sz w:val="19"/>
              </w:rPr>
              <w:t>Sudden maximal or unconditioned exertion; high heat index</w:t>
            </w:r>
          </w:p>
        </w:tc>
        <w:tc>
          <w:tcPr>
            <w:tcW w:type="dxa" w:w="1468"/>
            <w:vAlign w:val="top"/>
          </w:tcPr>
          <w:p>
            <w:pPr>
              <w:spacing w:after="60" w:line="259" w:lineRule="auto"/>
            </w:pPr>
            <w:r>
              <w:rPr>
                <w:rFonts w:ascii="Calibri" w:hAnsi="Calibri"/>
                <w:b w:val="0"/>
                <w:i w:val="0"/>
                <w:color w:val="212121"/>
                <w:sz w:val="19"/>
              </w:rPr>
              <w:t>Unconditioned maximal exertion in heat is the main precipitant of exertional sickling/rhabdomyolysis</w:t>
            </w:r>
          </w:p>
          <w:p>
            <w:pPr>
              <w:spacing w:after="40" w:line="252" w:lineRule="auto"/>
            </w:pPr>
            <w:hyperlink r:id="rId14">
              <w:r>
                <w:rPr>
                  <w:rFonts w:ascii="Calibri" w:hAnsi="Calibri" w:cs="Calibri"/>
                  <w:sz w:val="18"/>
                  <w:color w:val="1155CC"/>
                  <w:u w:val="single"/>
                </w:rPr>
                <w:t xml:space="preserve">https://www.nejm.org/doi/full/10.1056/NEJMoa1516257</w:t>
              </w:r>
            </w:hyperlink>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(L/day)</w:t>
            </w:r>
          </w:p>
        </w:tc>
        <w:tc>
          <w:tcPr>
            <w:tcW w:type="dxa" w:w="1655"/>
            <w:vAlign w:val="top"/>
          </w:tcPr>
          <w:p>
            <w:pPr>
              <w:spacing w:after="40" w:before="0" w:line="259" w:lineRule="auto"/>
            </w:pPr>
            <w:r>
              <w:rPr>
                <w:rFonts w:ascii="Calibri" w:hAnsi="Calibri"/>
                <w:b w:val="0"/>
                <w:i w:val="0"/>
                <w:color w:val="212121"/>
                <w:sz w:val="19"/>
              </w:rPr>
              <w:t>All carriers, athletes, pregnant</w:t>
            </w:r>
          </w:p>
        </w:tc>
        <w:tc>
          <w:tcPr>
            <w:tcW w:type="dxa" w:w="1512"/>
            <w:vAlign w:val="top"/>
          </w:tcPr>
          <w:p>
            <w:pPr>
              <w:spacing w:after="40" w:before="0" w:line="259" w:lineRule="auto"/>
            </w:pPr>
            <w:r>
              <w:rPr>
                <w:rFonts w:ascii="Calibri" w:hAnsi="Calibri"/>
                <w:b w:val="0"/>
                <w:i w:val="0"/>
                <w:color w:val="212121"/>
                <w:sz w:val="19"/>
              </w:rPr>
              <w:t>~2.5–3.5 L/day (higher with heat/exertion)</w:t>
            </w:r>
          </w:p>
        </w:tc>
        <w:tc>
          <w:tcPr>
            <w:tcW w:type="dxa" w:w="1512"/>
            <w:vAlign w:val="top"/>
          </w:tcPr>
          <w:p>
            <w:pPr>
              <w:spacing w:after="40" w:before="0" w:line="259" w:lineRule="auto"/>
            </w:pPr>
            <w:r>
              <w:rPr>
                <w:rFonts w:ascii="Calibri" w:hAnsi="Calibri"/>
                <w:b w:val="0"/>
                <w:i w:val="0"/>
                <w:color w:val="212121"/>
                <w:sz w:val="19"/>
              </w:rPr>
              <w:t>&lt; 1.5 L/day or clinical dehydration</w:t>
            </w:r>
          </w:p>
        </w:tc>
        <w:tc>
          <w:tcPr>
            <w:tcW w:type="dxa" w:w="1468"/>
            <w:vAlign w:val="top"/>
          </w:tcPr>
          <w:p>
            <w:pPr>
              <w:spacing w:after="60" w:line="259" w:lineRule="auto"/>
            </w:pPr>
            <w:r>
              <w:rPr>
                <w:rFonts w:ascii="Calibri" w:hAnsi="Calibri"/>
                <w:b w:val="0"/>
                <w:i w:val="0"/>
                <w:color w:val="212121"/>
                <w:sz w:val="19"/>
              </w:rPr>
              <w:t>Hyposthenuria raises baseline fluid needs; dehydration provokes sickling</w:t>
            </w:r>
          </w:p>
          <w:p>
            <w:pPr>
              <w:spacing w:after="40" w:line="252" w:lineRule="auto"/>
            </w:pPr>
            <w:hyperlink r:id="rId11">
              <w:r>
                <w:rPr>
                  <w:rFonts w:ascii="Calibri" w:hAnsi="Calibri" w:cs="Calibri"/>
                  <w:sz w:val="18"/>
                  <w:color w:val="1155CC"/>
                  <w:u w:val="single"/>
                </w:rPr>
                <w:t xml:space="preserve">https://www.ncbi.nlm.nih.gov/books/NBK537130/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Urine-concentrating ability (specific gravity)</w:t>
            </w:r>
          </w:p>
        </w:tc>
        <w:tc>
          <w:tcPr>
            <w:tcW w:type="dxa" w:w="1655"/>
            <w:vAlign w:val="top"/>
          </w:tcPr>
          <w:p>
            <w:pPr>
              <w:spacing w:after="40" w:before="0" w:line="259" w:lineRule="auto"/>
            </w:pPr>
            <w:r>
              <w:rPr>
                <w:rFonts w:ascii="Calibri" w:hAnsi="Calibri"/>
                <w:b w:val="0"/>
                <w:i w:val="0"/>
                <w:color w:val="212121"/>
                <w:sz w:val="19"/>
              </w:rPr>
              <w:t>Adult carriers</w:t>
            </w:r>
          </w:p>
        </w:tc>
        <w:tc>
          <w:tcPr>
            <w:tcW w:type="dxa" w:w="1512"/>
            <w:vAlign w:val="top"/>
          </w:tcPr>
          <w:p>
            <w:pPr>
              <w:spacing w:after="40" w:before="0" w:line="259" w:lineRule="auto"/>
            </w:pPr>
            <w:r>
              <w:rPr>
                <w:rFonts w:ascii="Calibri" w:hAnsi="Calibri"/>
                <w:b w:val="0"/>
                <w:i w:val="0"/>
                <w:color w:val="212121"/>
                <w:sz w:val="19"/>
              </w:rPr>
              <w:t>First-morning specific gravity &gt; 1.020</w:t>
            </w:r>
          </w:p>
        </w:tc>
        <w:tc>
          <w:tcPr>
            <w:tcW w:type="dxa" w:w="1512"/>
            <w:vAlign w:val="top"/>
          </w:tcPr>
          <w:p>
            <w:pPr>
              <w:spacing w:after="40" w:before="0" w:line="259" w:lineRule="auto"/>
            </w:pPr>
            <w:r>
              <w:rPr>
                <w:rFonts w:ascii="Calibri" w:hAnsi="Calibri"/>
                <w:b w:val="0"/>
                <w:i w:val="0"/>
                <w:color w:val="212121"/>
                <w:sz w:val="19"/>
              </w:rPr>
              <w:t>Persistently &lt; 1.010 (hyposthenuria/isosthenuria)</w:t>
            </w:r>
          </w:p>
        </w:tc>
        <w:tc>
          <w:tcPr>
            <w:tcW w:type="dxa" w:w="1468"/>
            <w:vAlign w:val="top"/>
          </w:tcPr>
          <w:p>
            <w:pPr>
              <w:spacing w:after="60" w:line="259" w:lineRule="auto"/>
            </w:pPr>
            <w:r>
              <w:rPr>
                <w:rFonts w:ascii="Calibri" w:hAnsi="Calibri"/>
                <w:b w:val="0"/>
                <w:i w:val="0"/>
                <w:color w:val="212121"/>
                <w:sz w:val="19"/>
              </w:rPr>
              <w:t>Impaired concentrating ability is an early, common subclinical finding</w:t>
            </w:r>
          </w:p>
          <w:p>
            <w:pPr>
              <w:spacing w:after="40" w:line="252" w:lineRule="auto"/>
            </w:pPr>
            <w:hyperlink r:id="rId11">
              <w:r>
                <w:rPr>
                  <w:rFonts w:ascii="Calibri" w:hAnsi="Calibri" w:cs="Calibri"/>
                  <w:sz w:val="18"/>
                  <w:color w:val="1155CC"/>
                  <w:u w:val="single"/>
                </w:rPr>
                <w:t xml:space="preserve">https://www.ncbi.nlm.nih.gov/books/NBK537130/</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Altitude exposure</w:t>
            </w:r>
          </w:p>
        </w:tc>
        <w:tc>
          <w:tcPr>
            <w:tcW w:type="dxa" w:w="1655"/>
            <w:vAlign w:val="top"/>
          </w:tcPr>
          <w:p>
            <w:pPr>
              <w:spacing w:after="40" w:before="0" w:line="259" w:lineRule="auto"/>
            </w:pPr>
            <w:r>
              <w:rPr>
                <w:rFonts w:ascii="Calibri" w:hAnsi="Calibri"/>
                <w:b w:val="0"/>
                <w:i w:val="0"/>
                <w:color w:val="212121"/>
                <w:sz w:val="19"/>
              </w:rPr>
              <w:t>Trekkers, aviators</w:t>
            </w:r>
          </w:p>
        </w:tc>
        <w:tc>
          <w:tcPr>
            <w:tcW w:type="dxa" w:w="1512"/>
            <w:vAlign w:val="top"/>
          </w:tcPr>
          <w:p>
            <w:pPr>
              <w:spacing w:after="40" w:before="0" w:line="259" w:lineRule="auto"/>
            </w:pPr>
            <w:r>
              <w:rPr>
                <w:rFonts w:ascii="Calibri" w:hAnsi="Calibri"/>
                <w:b w:val="0"/>
                <w:i w:val="0"/>
                <w:color w:val="212121"/>
                <w:sz w:val="19"/>
              </w:rPr>
              <w:t>&lt; 2500 m or acclimatized / pressurized</w:t>
            </w:r>
          </w:p>
        </w:tc>
        <w:tc>
          <w:tcPr>
            <w:tcW w:type="dxa" w:w="1512"/>
            <w:vAlign w:val="top"/>
          </w:tcPr>
          <w:p>
            <w:pPr>
              <w:spacing w:after="40" w:before="0" w:line="259" w:lineRule="auto"/>
            </w:pPr>
            <w:r>
              <w:rPr>
                <w:rFonts w:ascii="Calibri" w:hAnsi="Calibri"/>
                <w:b w:val="0"/>
                <w:i w:val="0"/>
                <w:color w:val="212121"/>
                <w:sz w:val="19"/>
              </w:rPr>
              <w:t>Rapid ascent, unpressurized flight &gt; 3000 m</w:t>
            </w:r>
          </w:p>
        </w:tc>
        <w:tc>
          <w:tcPr>
            <w:tcW w:type="dxa" w:w="1468"/>
            <w:vAlign w:val="top"/>
          </w:tcPr>
          <w:p>
            <w:pPr>
              <w:spacing w:after="60" w:line="259" w:lineRule="auto"/>
            </w:pPr>
            <w:r>
              <w:rPr>
                <w:rFonts w:ascii="Calibri" w:hAnsi="Calibri"/>
                <w:b w:val="0"/>
                <w:i w:val="0"/>
                <w:color w:val="212121"/>
                <w:sz w:val="19"/>
              </w:rPr>
              <w:t>Hypoxia at altitude can trigger splenic infarction and sickling</w:t>
            </w:r>
          </w:p>
          <w:p>
            <w:pPr>
              <w:spacing w:after="40" w:line="252" w:lineRule="auto"/>
            </w:pPr>
            <w:hyperlink r:id="rId11">
              <w:r>
                <w:rPr>
                  <w:rFonts w:ascii="Calibri" w:hAnsi="Calibri" w:cs="Calibri"/>
                  <w:sz w:val="18"/>
                  <w:color w:val="1155CC"/>
                  <w:u w:val="single"/>
                </w:rPr>
                <w:t xml:space="preserve">https://www.ncbi.nlm.nih.gov/books/NBK537130/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Oxygen saturation (SpO₂)</w:t>
            </w:r>
          </w:p>
        </w:tc>
        <w:tc>
          <w:tcPr>
            <w:tcW w:type="dxa" w:w="1655"/>
            <w:vAlign w:val="top"/>
          </w:tcPr>
          <w:p>
            <w:pPr>
              <w:spacing w:after="40" w:before="0" w:line="259" w:lineRule="auto"/>
            </w:pPr>
            <w:r>
              <w:rPr>
                <w:rFonts w:ascii="Calibri" w:hAnsi="Calibri"/>
                <w:b w:val="0"/>
                <w:i w:val="0"/>
                <w:color w:val="212121"/>
                <w:sz w:val="19"/>
              </w:rPr>
              <w:t>Carriers under stress/illness</w:t>
            </w:r>
          </w:p>
        </w:tc>
        <w:tc>
          <w:tcPr>
            <w:tcW w:type="dxa" w:w="1512"/>
            <w:vAlign w:val="top"/>
          </w:tcPr>
          <w:p>
            <w:pPr>
              <w:spacing w:after="40" w:before="0" w:line="259" w:lineRule="auto"/>
            </w:pPr>
            <w:r>
              <w:rPr>
                <w:rFonts w:ascii="Calibri" w:hAnsi="Calibri"/>
                <w:b w:val="0"/>
                <w:i w:val="0"/>
                <w:color w:val="212121"/>
                <w:sz w:val="19"/>
              </w:rPr>
              <w:t>≥ 95%</w:t>
            </w:r>
          </w:p>
        </w:tc>
        <w:tc>
          <w:tcPr>
            <w:tcW w:type="dxa" w:w="1512"/>
            <w:vAlign w:val="top"/>
          </w:tcPr>
          <w:p>
            <w:pPr>
              <w:spacing w:after="40" w:before="0" w:line="259" w:lineRule="auto"/>
            </w:pPr>
            <w:r>
              <w:rPr>
                <w:rFonts w:ascii="Calibri" w:hAnsi="Calibri"/>
                <w:b w:val="0"/>
                <w:i w:val="0"/>
                <w:color w:val="212121"/>
                <w:sz w:val="19"/>
              </w:rPr>
              <w:t>&lt; 90% (hypoxaemia)</w:t>
            </w:r>
          </w:p>
        </w:tc>
        <w:tc>
          <w:tcPr>
            <w:tcW w:type="dxa" w:w="1468"/>
            <w:vAlign w:val="top"/>
          </w:tcPr>
          <w:p>
            <w:pPr>
              <w:spacing w:after="40" w:before="0" w:line="259" w:lineRule="auto"/>
            </w:pPr>
            <w:r>
              <w:rPr>
                <w:rFonts w:ascii="Calibri" w:hAnsi="Calibri"/>
                <w:b w:val="0"/>
                <w:i w:val="0"/>
                <w:color w:val="212121"/>
                <w:sz w:val="19"/>
              </w:rPr>
              <w:t>Hypoxaemia lowers the threshold for HbS polymerization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Adult carriers</w:t>
            </w:r>
          </w:p>
        </w:tc>
        <w:tc>
          <w:tcPr>
            <w:tcW w:type="dxa" w:w="1512"/>
            <w:vAlign w:val="top"/>
          </w:tcPr>
          <w:p>
            <w:pPr>
              <w:spacing w:after="40" w:before="0" w:line="259" w:lineRule="auto"/>
            </w:pPr>
            <w:r>
              <w:rPr>
                <w:rFonts w:ascii="Calibri" w:hAnsi="Calibri"/>
                <w:b w:val="0"/>
                <w:i w:val="0"/>
                <w:color w:val="212121"/>
                <w:sz w:val="19"/>
              </w:rPr>
              <w:t>M 13–17; F 12–15 (normal, non-anaemic)</w:t>
            </w:r>
          </w:p>
        </w:tc>
        <w:tc>
          <w:tcPr>
            <w:tcW w:type="dxa" w:w="1512"/>
            <w:vAlign w:val="top"/>
          </w:tcPr>
          <w:p>
            <w:pPr>
              <w:spacing w:after="40" w:before="0" w:line="259" w:lineRule="auto"/>
            </w:pPr>
            <w:r>
              <w:rPr>
                <w:rFonts w:ascii="Calibri" w:hAnsi="Calibri"/>
                <w:b w:val="0"/>
                <w:i w:val="0"/>
                <w:color w:val="212121"/>
                <w:sz w:val="19"/>
              </w:rPr>
              <w:t>Anaemia (suggests SCD, HbS/β-thal or iron deficiency)</w:t>
            </w:r>
          </w:p>
        </w:tc>
        <w:tc>
          <w:tcPr>
            <w:tcW w:type="dxa" w:w="1468"/>
            <w:vAlign w:val="top"/>
          </w:tcPr>
          <w:p>
            <w:pPr>
              <w:spacing w:after="60" w:line="259" w:lineRule="auto"/>
            </w:pPr>
            <w:r>
              <w:rPr>
                <w:rFonts w:ascii="Calibri" w:hAnsi="Calibri"/>
                <w:b w:val="0"/>
                <w:i w:val="0"/>
                <w:color w:val="212121"/>
                <w:sz w:val="19"/>
              </w:rPr>
              <w:t>The trait itself does not cause anaemia; anaemia demands a search for another cause</w:t>
            </w:r>
          </w:p>
          <w:p>
            <w:pPr>
              <w:spacing w:after="40" w:line="252" w:lineRule="auto"/>
            </w:pPr>
            <w:hyperlink r:id="rId11">
              <w:r>
                <w:rPr>
                  <w:rFonts w:ascii="Calibri" w:hAnsi="Calibri" w:cs="Calibri"/>
                  <w:sz w:val="18"/>
                  <w:color w:val="1155CC"/>
                  <w:u w:val="single"/>
                </w:rPr>
                <w:t xml:space="preserve">https://www.ncbi.nlm.nih.gov/books/NBK537130/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HbS fraction on HPLC (%)</w:t>
            </w:r>
          </w:p>
        </w:tc>
        <w:tc>
          <w:tcPr>
            <w:tcW w:type="dxa" w:w="1655"/>
            <w:vAlign w:val="top"/>
          </w:tcPr>
          <w:p>
            <w:pPr>
              <w:spacing w:after="40" w:before="0" w:line="259" w:lineRule="auto"/>
            </w:pPr>
            <w:r>
              <w:rPr>
                <w:rFonts w:ascii="Calibri" w:hAnsi="Calibri"/>
                <w:b w:val="0"/>
                <w:i w:val="0"/>
                <w:color w:val="212121"/>
                <w:sz w:val="19"/>
              </w:rPr>
              <w:t>Carriers on confirmatory testing</w:t>
            </w:r>
          </w:p>
        </w:tc>
        <w:tc>
          <w:tcPr>
            <w:tcW w:type="dxa" w:w="1512"/>
            <w:vAlign w:val="top"/>
          </w:tcPr>
          <w:p>
            <w:pPr>
              <w:spacing w:after="40" w:before="0" w:line="259" w:lineRule="auto"/>
            </w:pPr>
            <w:r>
              <w:rPr>
                <w:rFonts w:ascii="Calibri" w:hAnsi="Calibri"/>
                <w:b w:val="0"/>
                <w:i w:val="0"/>
                <w:color w:val="212121"/>
                <w:sz w:val="19"/>
              </w:rPr>
              <w:t>~35–45% (HbA &gt; HbS)</w:t>
            </w:r>
          </w:p>
        </w:tc>
        <w:tc>
          <w:tcPr>
            <w:tcW w:type="dxa" w:w="1512"/>
            <w:vAlign w:val="top"/>
          </w:tcPr>
          <w:p>
            <w:pPr>
              <w:spacing w:after="40" w:before="0" w:line="259" w:lineRule="auto"/>
            </w:pPr>
            <w:r>
              <w:rPr>
                <w:rFonts w:ascii="Calibri" w:hAnsi="Calibri"/>
                <w:b w:val="0"/>
                <w:i w:val="0"/>
                <w:color w:val="212121"/>
                <w:sz w:val="19"/>
              </w:rPr>
              <w:t>HbS &gt; 50% or HbA absent (suggests disease/compound state)</w:t>
            </w:r>
          </w:p>
        </w:tc>
        <w:tc>
          <w:tcPr>
            <w:tcW w:type="dxa" w:w="1468"/>
            <w:vAlign w:val="top"/>
          </w:tcPr>
          <w:p>
            <w:pPr>
              <w:spacing w:after="60" w:line="259" w:lineRule="auto"/>
            </w:pPr>
            <w:r>
              <w:rPr>
                <w:rFonts w:ascii="Calibri" w:hAnsi="Calibri"/>
                <w:b w:val="0"/>
                <w:i w:val="0"/>
                <w:color w:val="212121"/>
                <w:sz w:val="19"/>
              </w:rPr>
              <w:t>HbA predominance defines trait and excludes disease</w:t>
            </w:r>
          </w:p>
          <w:p>
            <w:pPr>
              <w:spacing w:after="40" w:line="252" w:lineRule="auto"/>
            </w:pPr>
            <w:hyperlink r:id="rId11">
              <w:r>
                <w:rPr>
                  <w:rFonts w:ascii="Calibri" w:hAnsi="Calibri" w:cs="Calibri"/>
                  <w:sz w:val="18"/>
                  <w:color w:val="1155CC"/>
                  <w:u w:val="single"/>
                </w:rPr>
                <w:t xml:space="preserve">https://www.ncbi.nlm.nih.gov/books/NBK537130/</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Urine red cells / haematuria</w:t>
            </w:r>
          </w:p>
        </w:tc>
        <w:tc>
          <w:tcPr>
            <w:tcW w:type="dxa" w:w="1655"/>
            <w:vAlign w:val="top"/>
          </w:tcPr>
          <w:p>
            <w:pPr>
              <w:spacing w:after="40" w:before="0" w:line="259" w:lineRule="auto"/>
            </w:pPr>
            <w:r>
              <w:rPr>
                <w:rFonts w:ascii="Calibri" w:hAnsi="Calibri"/>
                <w:b w:val="0"/>
                <w:i w:val="0"/>
                <w:color w:val="212121"/>
                <w:sz w:val="19"/>
              </w:rPr>
              <w:t>Symptomatic carriers</w:t>
            </w:r>
          </w:p>
        </w:tc>
        <w:tc>
          <w:tcPr>
            <w:tcW w:type="dxa" w:w="1512"/>
            <w:vAlign w:val="top"/>
          </w:tcPr>
          <w:p>
            <w:pPr>
              <w:spacing w:after="40" w:before="0" w:line="259" w:lineRule="auto"/>
            </w:pPr>
            <w:r>
              <w:rPr>
                <w:rFonts w:ascii="Calibri" w:hAnsi="Calibri"/>
                <w:b w:val="0"/>
                <w:i w:val="0"/>
                <w:color w:val="212121"/>
                <w:sz w:val="19"/>
              </w:rPr>
              <w:t>No haematuria</w:t>
            </w:r>
          </w:p>
        </w:tc>
        <w:tc>
          <w:tcPr>
            <w:tcW w:type="dxa" w:w="1512"/>
            <w:vAlign w:val="top"/>
          </w:tcPr>
          <w:p>
            <w:pPr>
              <w:spacing w:after="40" w:before="0" w:line="259" w:lineRule="auto"/>
            </w:pPr>
            <w:r>
              <w:rPr>
                <w:rFonts w:ascii="Calibri" w:hAnsi="Calibri"/>
                <w:b w:val="0"/>
                <w:i w:val="0"/>
                <w:color w:val="212121"/>
                <w:sz w:val="19"/>
              </w:rPr>
              <w:t>Gross or persistent microscopic haematuria</w:t>
            </w:r>
          </w:p>
        </w:tc>
        <w:tc>
          <w:tcPr>
            <w:tcW w:type="dxa" w:w="1468"/>
            <w:vAlign w:val="top"/>
          </w:tcPr>
          <w:p>
            <w:pPr>
              <w:spacing w:after="60" w:line="259" w:lineRule="auto"/>
            </w:pPr>
            <w:r>
              <w:rPr>
                <w:rFonts w:ascii="Calibri" w:hAnsi="Calibri"/>
                <w:b w:val="0"/>
                <w:i w:val="0"/>
                <w:color w:val="212121"/>
                <w:sz w:val="19"/>
              </w:rPr>
              <w:t>Prompts evaluation for papillary necrosis and, if unexplained, renal medullary carcinoma</w:t>
            </w:r>
          </w:p>
          <w:p>
            <w:pPr>
              <w:spacing w:after="40" w:line="252" w:lineRule="auto"/>
            </w:pPr>
            <w:hyperlink r:id="rId11">
              <w:r>
                <w:rPr>
                  <w:rFonts w:ascii="Calibri" w:hAnsi="Calibri" w:cs="Calibri"/>
                  <w:sz w:val="18"/>
                  <w:color w:val="1155CC"/>
                  <w:u w:val="single"/>
                </w:rPr>
                <w:t xml:space="preserve">https://www.ncbi.nlm.nih.gov/books/NBK537130/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Renal function (eGFR, mL/min/1.73m²)</w:t>
            </w:r>
          </w:p>
        </w:tc>
        <w:tc>
          <w:tcPr>
            <w:tcW w:type="dxa" w:w="1655"/>
            <w:vAlign w:val="top"/>
          </w:tcPr>
          <w:p>
            <w:pPr>
              <w:spacing w:after="40" w:before="0" w:line="259" w:lineRule="auto"/>
            </w:pPr>
            <w:r>
              <w:rPr>
                <w:rFonts w:ascii="Calibri" w:hAnsi="Calibri"/>
                <w:b w:val="0"/>
                <w:i w:val="0"/>
                <w:color w:val="212121"/>
                <w:sz w:val="19"/>
              </w:rPr>
              <w:t>Older / long-standing carriers</w:t>
            </w:r>
          </w:p>
        </w:tc>
        <w:tc>
          <w:tcPr>
            <w:tcW w:type="dxa" w:w="1512"/>
            <w:vAlign w:val="top"/>
          </w:tcPr>
          <w:p>
            <w:pPr>
              <w:spacing w:after="40" w:before="0" w:line="259" w:lineRule="auto"/>
            </w:pPr>
            <w:r>
              <w:rPr>
                <w:rFonts w:ascii="Calibri" w:hAnsi="Calibri"/>
                <w:b w:val="0"/>
                <w:i w:val="0"/>
                <w:color w:val="212121"/>
                <w:sz w:val="19"/>
              </w:rPr>
              <w:t>≥ 90</w:t>
            </w:r>
          </w:p>
        </w:tc>
        <w:tc>
          <w:tcPr>
            <w:tcW w:type="dxa" w:w="1512"/>
            <w:vAlign w:val="top"/>
          </w:tcPr>
          <w:p>
            <w:pPr>
              <w:spacing w:after="40" w:before="0" w:line="259" w:lineRule="auto"/>
            </w:pPr>
            <w:r>
              <w:rPr>
                <w:rFonts w:ascii="Calibri" w:hAnsi="Calibri"/>
                <w:b w:val="0"/>
                <w:i w:val="0"/>
                <w:color w:val="212121"/>
                <w:sz w:val="19"/>
              </w:rPr>
              <w:t>Declining or &lt; 60 (CKD)</w:t>
            </w:r>
          </w:p>
        </w:tc>
        <w:tc>
          <w:tcPr>
            <w:tcW w:type="dxa" w:w="1468"/>
            <w:vAlign w:val="top"/>
          </w:tcPr>
          <w:p>
            <w:pPr>
              <w:spacing w:after="60" w:line="259" w:lineRule="auto"/>
            </w:pPr>
            <w:r>
              <w:rPr>
                <w:rFonts w:ascii="Calibri" w:hAnsi="Calibri"/>
                <w:b w:val="0"/>
                <w:i w:val="0"/>
                <w:color w:val="212121"/>
                <w:sz w:val="19"/>
              </w:rPr>
              <w:t>Carriers show accelerated eGFR decline over time</w:t>
            </w:r>
          </w:p>
          <w:p>
            <w:pPr>
              <w:spacing w:after="40" w:line="252" w:lineRule="auto"/>
            </w:pPr>
            <w:hyperlink r:id="rId11">
              <w:r>
                <w:rPr>
                  <w:rFonts w:ascii="Calibri" w:hAnsi="Calibri" w:cs="Calibri"/>
                  <w:sz w:val="18"/>
                  <w:color w:val="1155CC"/>
                  <w:u w:val="single"/>
                </w:rPr>
                <w:t xml:space="preserve">https://www.ncbi.nlm.nih.gov/books/NBK537130/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Urine albumin (ACR, mg/g)</w:t>
            </w:r>
          </w:p>
        </w:tc>
        <w:tc>
          <w:tcPr>
            <w:tcW w:type="dxa" w:w="1655"/>
            <w:vAlign w:val="top"/>
          </w:tcPr>
          <w:p>
            <w:pPr>
              <w:spacing w:after="40" w:before="0" w:line="259" w:lineRule="auto"/>
            </w:pPr>
            <w:r>
              <w:rPr>
                <w:rFonts w:ascii="Calibri" w:hAnsi="Calibri"/>
                <w:b w:val="0"/>
                <w:i w:val="0"/>
                <w:color w:val="212121"/>
                <w:sz w:val="19"/>
              </w:rPr>
              <w:t>Adult carriers</w:t>
            </w:r>
          </w:p>
        </w:tc>
        <w:tc>
          <w:tcPr>
            <w:tcW w:type="dxa" w:w="1512"/>
            <w:vAlign w:val="top"/>
          </w:tcPr>
          <w:p>
            <w:pPr>
              <w:spacing w:after="40" w:before="0" w:line="259" w:lineRule="auto"/>
            </w:pPr>
            <w:r>
              <w:rPr>
                <w:rFonts w:ascii="Calibri" w:hAnsi="Calibri"/>
                <w:b w:val="0"/>
                <w:i w:val="0"/>
                <w:color w:val="212121"/>
                <w:sz w:val="19"/>
              </w:rPr>
              <w:t>&lt; 30</w:t>
            </w:r>
          </w:p>
        </w:tc>
        <w:tc>
          <w:tcPr>
            <w:tcW w:type="dxa" w:w="1512"/>
            <w:vAlign w:val="top"/>
          </w:tcPr>
          <w:p>
            <w:pPr>
              <w:spacing w:after="40" w:before="0" w:line="259" w:lineRule="auto"/>
            </w:pPr>
            <w:r>
              <w:rPr>
                <w:rFonts w:ascii="Calibri" w:hAnsi="Calibri"/>
                <w:b w:val="0"/>
                <w:i w:val="0"/>
                <w:color w:val="212121"/>
                <w:sz w:val="19"/>
              </w:rPr>
              <w:t>≥ 30 (albuminuria)</w:t>
            </w:r>
          </w:p>
        </w:tc>
        <w:tc>
          <w:tcPr>
            <w:tcW w:type="dxa" w:w="1468"/>
            <w:vAlign w:val="top"/>
          </w:tcPr>
          <w:p>
            <w:pPr>
              <w:spacing w:after="40" w:before="0" w:line="259" w:lineRule="auto"/>
            </w:pPr>
            <w:r>
              <w:rPr>
                <w:rFonts w:ascii="Calibri" w:hAnsi="Calibri"/>
                <w:b w:val="0"/>
                <w:i w:val="0"/>
                <w:color w:val="212121"/>
                <w:sz w:val="19"/>
              </w:rPr>
              <w:t>Albuminuria is an early marker of sickle nephropathy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carriers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adds hypoxia and vascular/thrombotic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 carriers</w:t>
            </w:r>
          </w:p>
        </w:tc>
        <w:tc>
          <w:tcPr>
            <w:tcW w:type="dxa" w:w="1512"/>
            <w:vAlign w:val="top"/>
          </w:tcPr>
          <w:p>
            <w:pPr>
              <w:spacing w:after="40" w:before="0" w:line="259" w:lineRule="auto"/>
            </w:pPr>
            <w:r>
              <w:rPr>
                <w:rFonts w:ascii="Calibri" w:hAnsi="Calibri"/>
                <w:b w:val="0"/>
                <w:i w:val="0"/>
                <w:color w:val="212121"/>
                <w:sz w:val="19"/>
              </w:rPr>
              <w:t>≤ 7 drinks/week with hydration</w:t>
            </w:r>
          </w:p>
        </w:tc>
        <w:tc>
          <w:tcPr>
            <w:tcW w:type="dxa" w:w="1512"/>
            <w:vAlign w:val="top"/>
          </w:tcPr>
          <w:p>
            <w:pPr>
              <w:spacing w:after="40" w:before="0" w:line="259" w:lineRule="auto"/>
            </w:pPr>
            <w:r>
              <w:rPr>
                <w:rFonts w:ascii="Calibri" w:hAnsi="Calibri"/>
                <w:b w:val="0"/>
                <w:i w:val="0"/>
                <w:color w:val="212121"/>
                <w:sz w:val="19"/>
              </w:rPr>
              <w:t>Heavy or binge use with dehydration</w:t>
            </w:r>
          </w:p>
        </w:tc>
        <w:tc>
          <w:tcPr>
            <w:tcW w:type="dxa" w:w="1468"/>
            <w:vAlign w:val="top"/>
          </w:tcPr>
          <w:p>
            <w:pPr>
              <w:spacing w:after="40" w:before="0" w:line="259" w:lineRule="auto"/>
            </w:pPr>
            <w:r>
              <w:rPr>
                <w:rFonts w:ascii="Calibri" w:hAnsi="Calibri"/>
                <w:b w:val="0"/>
                <w:i w:val="0"/>
                <w:color w:val="212121"/>
                <w:sz w:val="19"/>
              </w:rPr>
              <w:t>Alcohol-related diuresis promotes dehydration and sickling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Sickle solubility / sickling test</w:t>
            </w:r>
          </w:p>
        </w:tc>
        <w:tc>
          <w:tcPr>
            <w:tcW w:type="dxa" w:w="892"/>
            <w:vAlign w:val="top"/>
          </w:tcPr>
          <w:p>
            <w:pPr>
              <w:spacing w:after="40" w:before="0" w:line="259" w:lineRule="auto"/>
            </w:pPr>
            <w:r>
              <w:rPr>
                <w:rFonts w:ascii="Calibri" w:hAnsi="Calibri"/>
                <w:b w:val="0"/>
                <w:i w:val="0"/>
                <w:color w:val="212121"/>
                <w:sz w:val="16"/>
              </w:rPr>
              <w:t>Screening test</w:t>
            </w:r>
          </w:p>
        </w:tc>
        <w:tc>
          <w:tcPr>
            <w:tcW w:type="dxa" w:w="950"/>
            <w:vAlign w:val="top"/>
          </w:tcPr>
          <w:p>
            <w:pPr>
              <w:spacing w:after="40" w:before="0" w:line="259" w:lineRule="auto"/>
            </w:pPr>
            <w:r>
              <w:rPr>
                <w:rFonts w:ascii="Calibri" w:hAnsi="Calibri"/>
                <w:b w:val="0"/>
                <w:i w:val="0"/>
                <w:color w:val="212121"/>
                <w:sz w:val="16"/>
              </w:rPr>
              <w:t>Negative (no turbidity/sickling)</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Detects HbS but positive in BOTH trait and disease; a screen only, needs confirmation</w:t>
            </w:r>
          </w:p>
        </w:tc>
        <w:tc>
          <w:tcPr>
            <w:tcW w:type="dxa" w:w="1036"/>
            <w:vAlign w:val="top"/>
          </w:tcPr>
          <w:p>
            <w:pPr>
              <w:spacing w:after="40" w:before="0" w:line="259" w:lineRule="auto"/>
            </w:pPr>
            <w:r>
              <w:rPr>
                <w:rFonts w:ascii="Calibri" w:hAnsi="Calibri"/>
                <w:b w:val="0"/>
                <w:i w:val="0"/>
                <w:color w:val="212121"/>
                <w:sz w:val="16"/>
              </w:rPr>
              <w:t>Tribal &amp; high-burden communities, family members, athletes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Cannot distinguish AS from SS/HbS-β-thal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HbA vs HbS fraction</w:t>
            </w:r>
          </w:p>
        </w:tc>
        <w:tc>
          <w:tcPr>
            <w:tcW w:type="dxa" w:w="892"/>
            <w:vAlign w:val="top"/>
          </w:tcPr>
          <w:p>
            <w:pPr>
              <w:spacing w:after="40" w:before="0" w:line="259" w:lineRule="auto"/>
            </w:pPr>
            <w:r>
              <w:rPr>
                <w:rFonts w:ascii="Calibri" w:hAnsi="Calibri"/>
                <w:b w:val="0"/>
                <w:i w:val="0"/>
                <w:color w:val="212121"/>
                <w:sz w:val="16"/>
              </w:rPr>
              <w:t>Haemoglobin HPLC / electrophoresis</w:t>
            </w:r>
          </w:p>
        </w:tc>
        <w:tc>
          <w:tcPr>
            <w:tcW w:type="dxa" w:w="950"/>
            <w:vAlign w:val="top"/>
          </w:tcPr>
          <w:p>
            <w:pPr>
              <w:spacing w:after="40" w:before="0" w:line="259" w:lineRule="auto"/>
            </w:pPr>
            <w:r>
              <w:rPr>
                <w:rFonts w:ascii="Calibri" w:hAnsi="Calibri"/>
                <w:b w:val="0"/>
                <w:i w:val="0"/>
                <w:color w:val="212121"/>
                <w:sz w:val="16"/>
              </w:rPr>
              <w:t>HbA only (no HbS)</w:t>
            </w:r>
          </w:p>
        </w:tc>
        <w:tc>
          <w:tcPr>
            <w:tcW w:type="dxa" w:w="950"/>
            <w:vAlign w:val="top"/>
          </w:tcPr>
          <w:p>
            <w:pPr>
              <w:spacing w:after="40" w:before="0" w:line="259" w:lineRule="auto"/>
            </w:pPr>
            <w:r>
              <w:rPr>
                <w:rFonts w:ascii="Calibri" w:hAnsi="Calibri"/>
                <w:b w:val="0"/>
                <w:i w:val="0"/>
                <w:color w:val="212121"/>
                <w:sz w:val="16"/>
              </w:rPr>
              <w:t>HbA &gt; HbS (~55–60% / 35–45%), normal HbA2</w:t>
            </w:r>
          </w:p>
        </w:tc>
        <w:tc>
          <w:tcPr>
            <w:tcW w:type="dxa" w:w="1036"/>
            <w:vAlign w:val="top"/>
          </w:tcPr>
          <w:p>
            <w:pPr>
              <w:spacing w:after="40" w:before="0" w:line="259" w:lineRule="auto"/>
            </w:pPr>
            <w:r>
              <w:rPr>
                <w:rFonts w:ascii="Calibri" w:hAnsi="Calibri"/>
                <w:b w:val="0"/>
                <w:i w:val="0"/>
                <w:color w:val="212121"/>
                <w:sz w:val="16"/>
              </w:rPr>
              <w:t>Confirms trait and distinguishes it from disease and compound states</w:t>
            </w:r>
          </w:p>
        </w:tc>
        <w:tc>
          <w:tcPr>
            <w:tcW w:type="dxa" w:w="1036"/>
            <w:vAlign w:val="top"/>
          </w:tcPr>
          <w:p>
            <w:pPr>
              <w:spacing w:after="40" w:before="0" w:line="259" w:lineRule="auto"/>
            </w:pPr>
            <w:r>
              <w:rPr>
                <w:rFonts w:ascii="Calibri" w:hAnsi="Calibri"/>
                <w:b w:val="0"/>
                <w:i w:val="0"/>
                <w:color w:val="212121"/>
                <w:sz w:val="16"/>
              </w:rPr>
              <w:t>All screen-positive individuals, prenatal counselling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HbA predominance is the hallmark of trait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&amp; red-cell indices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Normal Hb, normal MCV/MCH</w:t>
            </w:r>
          </w:p>
        </w:tc>
        <w:tc>
          <w:tcPr>
            <w:tcW w:type="dxa" w:w="950"/>
            <w:vAlign w:val="top"/>
          </w:tcPr>
          <w:p>
            <w:pPr>
              <w:spacing w:after="40" w:before="0" w:line="259" w:lineRule="auto"/>
            </w:pPr>
            <w:r>
              <w:rPr>
                <w:rFonts w:ascii="Calibri" w:hAnsi="Calibri"/>
                <w:b w:val="0"/>
                <w:i w:val="0"/>
                <w:color w:val="212121"/>
                <w:sz w:val="16"/>
              </w:rPr>
              <w:t>Anaemia or low MCV → search for SCD, HbS/β-thal or iron deficiency</w:t>
            </w:r>
          </w:p>
        </w:tc>
        <w:tc>
          <w:tcPr>
            <w:tcW w:type="dxa" w:w="1036"/>
            <w:vAlign w:val="top"/>
          </w:tcPr>
          <w:p>
            <w:pPr>
              <w:spacing w:after="40" w:before="0" w:line="259" w:lineRule="auto"/>
            </w:pPr>
            <w:r>
              <w:rPr>
                <w:rFonts w:ascii="Calibri" w:hAnsi="Calibri"/>
                <w:b w:val="0"/>
                <w:i w:val="0"/>
                <w:color w:val="212121"/>
                <w:sz w:val="16"/>
              </w:rPr>
              <w:t>Trait is non-anaemic; abnormality points to disease or a coexisting cause</w:t>
            </w:r>
          </w:p>
        </w:tc>
        <w:tc>
          <w:tcPr>
            <w:tcW w:type="dxa" w:w="1036"/>
            <w:vAlign w:val="top"/>
          </w:tcPr>
          <w:p>
            <w:pPr>
              <w:spacing w:after="40" w:before="0" w:line="259" w:lineRule="auto"/>
            </w:pPr>
            <w:r>
              <w:rPr>
                <w:rFonts w:ascii="Calibri" w:hAnsi="Calibri"/>
                <w:b w:val="0"/>
                <w:i w:val="0"/>
                <w:color w:val="212121"/>
                <w:sz w:val="16"/>
              </w:rPr>
              <w:t>All carriers, tribal populations with nutritional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Low MCV should trigger β-thalassaemia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Red-cell morphology</w:t>
            </w:r>
          </w:p>
        </w:tc>
        <w:tc>
          <w:tcPr>
            <w:tcW w:type="dxa" w:w="892"/>
            <w:vAlign w:val="top"/>
          </w:tcPr>
          <w:p>
            <w:pPr>
              <w:spacing w:after="40" w:before="0" w:line="259" w:lineRule="auto"/>
            </w:pPr>
            <w:r>
              <w:rPr>
                <w:rFonts w:ascii="Calibri" w:hAnsi="Calibri"/>
                <w:b w:val="0"/>
                <w:i w:val="0"/>
                <w:color w:val="212121"/>
                <w:sz w:val="16"/>
              </w:rPr>
              <w:t>Peripheral blood smear</w:t>
            </w:r>
          </w:p>
        </w:tc>
        <w:tc>
          <w:tcPr>
            <w:tcW w:type="dxa" w:w="950"/>
            <w:vAlign w:val="top"/>
          </w:tcPr>
          <w:p>
            <w:pPr>
              <w:spacing w:after="40" w:before="0" w:line="259" w:lineRule="auto"/>
            </w:pPr>
            <w:r>
              <w:rPr>
                <w:rFonts w:ascii="Calibri" w:hAnsi="Calibri"/>
                <w:b w:val="0"/>
                <w:i w:val="0"/>
                <w:color w:val="212121"/>
                <w:sz w:val="16"/>
              </w:rPr>
              <w:t>Normal RBC morphology</w:t>
            </w:r>
          </w:p>
        </w:tc>
        <w:tc>
          <w:tcPr>
            <w:tcW w:type="dxa" w:w="950"/>
            <w:vAlign w:val="top"/>
          </w:tcPr>
          <w:p>
            <w:pPr>
              <w:spacing w:after="40" w:before="0" w:line="259" w:lineRule="auto"/>
            </w:pPr>
            <w:r>
              <w:rPr>
                <w:rFonts w:ascii="Calibri" w:hAnsi="Calibri"/>
                <w:b w:val="0"/>
                <w:i w:val="0"/>
                <w:color w:val="212121"/>
                <w:sz w:val="16"/>
              </w:rPr>
              <w:t>No irreversibly sickled cells at baseline (unlike SCD); target cells if co-inherited thal</w:t>
            </w:r>
          </w:p>
        </w:tc>
        <w:tc>
          <w:tcPr>
            <w:tcW w:type="dxa" w:w="1036"/>
            <w:vAlign w:val="top"/>
          </w:tcPr>
          <w:p>
            <w:pPr>
              <w:spacing w:after="40" w:before="0" w:line="259" w:lineRule="auto"/>
            </w:pPr>
            <w:r>
              <w:rPr>
                <w:rFonts w:ascii="Calibri" w:hAnsi="Calibri"/>
                <w:b w:val="0"/>
                <w:i w:val="0"/>
                <w:color w:val="212121"/>
                <w:sz w:val="16"/>
              </w:rPr>
              <w:t>Confirms absence of chronic sickling in the carrier</w:t>
            </w:r>
          </w:p>
        </w:tc>
        <w:tc>
          <w:tcPr>
            <w:tcW w:type="dxa" w:w="1036"/>
            <w:vAlign w:val="top"/>
          </w:tcPr>
          <w:p>
            <w:pPr>
              <w:spacing w:after="40" w:before="0" w:line="259" w:lineRule="auto"/>
            </w:pPr>
            <w:r>
              <w:rPr>
                <w:rFonts w:ascii="Calibri" w:hAnsi="Calibri"/>
                <w:b w:val="0"/>
                <w:i w:val="0"/>
                <w:color w:val="212121"/>
                <w:sz w:val="16"/>
              </w:rPr>
              <w:t>Carriers, differential from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Baseline smear is essentially normal in trait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Urinalysis (RBC, specific gravity, protein)</w:t>
            </w:r>
          </w:p>
        </w:tc>
        <w:tc>
          <w:tcPr>
            <w:tcW w:type="dxa" w:w="892"/>
            <w:vAlign w:val="top"/>
          </w:tcPr>
          <w:p>
            <w:pPr>
              <w:spacing w:after="40" w:before="0" w:line="259" w:lineRule="auto"/>
            </w:pPr>
            <w:r>
              <w:rPr>
                <w:rFonts w:ascii="Calibri" w:hAnsi="Calibri"/>
                <w:b w:val="0"/>
                <w:i w:val="0"/>
                <w:color w:val="212121"/>
                <w:sz w:val="16"/>
              </w:rPr>
              <w:t>Urine routine &amp; microscopy</w:t>
            </w:r>
          </w:p>
        </w:tc>
        <w:tc>
          <w:tcPr>
            <w:tcW w:type="dxa" w:w="950"/>
            <w:vAlign w:val="top"/>
          </w:tcPr>
          <w:p>
            <w:pPr>
              <w:spacing w:after="40" w:before="0" w:line="259" w:lineRule="auto"/>
            </w:pPr>
            <w:r>
              <w:rPr>
                <w:rFonts w:ascii="Calibri" w:hAnsi="Calibri"/>
                <w:b w:val="0"/>
                <w:i w:val="0"/>
                <w:color w:val="212121"/>
                <w:sz w:val="16"/>
              </w:rPr>
              <w:t>No haematuria; SG &gt; 1.020</w:t>
            </w:r>
          </w:p>
        </w:tc>
        <w:tc>
          <w:tcPr>
            <w:tcW w:type="dxa" w:w="950"/>
            <w:vAlign w:val="top"/>
          </w:tcPr>
          <w:p>
            <w:pPr>
              <w:spacing w:after="40" w:before="0" w:line="259" w:lineRule="auto"/>
            </w:pPr>
            <w:r>
              <w:rPr>
                <w:rFonts w:ascii="Calibri" w:hAnsi="Calibri"/>
                <w:b w:val="0"/>
                <w:i w:val="0"/>
                <w:color w:val="212121"/>
                <w:sz w:val="16"/>
              </w:rPr>
              <w:t>Haematuria; hyposthenuria (SG &lt; 1.010); proteinuria</w:t>
            </w:r>
          </w:p>
        </w:tc>
        <w:tc>
          <w:tcPr>
            <w:tcW w:type="dxa" w:w="1036"/>
            <w:vAlign w:val="top"/>
          </w:tcPr>
          <w:p>
            <w:pPr>
              <w:spacing w:after="40" w:before="0" w:line="259" w:lineRule="auto"/>
            </w:pPr>
            <w:r>
              <w:rPr>
                <w:rFonts w:ascii="Calibri" w:hAnsi="Calibri"/>
                <w:b w:val="0"/>
                <w:i w:val="0"/>
                <w:color w:val="212121"/>
                <w:sz w:val="16"/>
              </w:rPr>
              <w:t>Detects the commonest renal manifestations of the trait</w:t>
            </w:r>
          </w:p>
        </w:tc>
        <w:tc>
          <w:tcPr>
            <w:tcW w:type="dxa" w:w="1036"/>
            <w:vAlign w:val="top"/>
          </w:tcPr>
          <w:p>
            <w:pPr>
              <w:spacing w:after="40" w:before="0" w:line="259" w:lineRule="auto"/>
            </w:pPr>
            <w:r>
              <w:rPr>
                <w:rFonts w:ascii="Calibri" w:hAnsi="Calibri"/>
                <w:b w:val="0"/>
                <w:i w:val="0"/>
                <w:color w:val="212121"/>
                <w:sz w:val="16"/>
              </w:rPr>
              <w:t>Symptomatic carriers, pregnant carriers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Rule out papillary necrosis / UTI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 &amp; urine ACR</w:t>
            </w:r>
          </w:p>
        </w:tc>
        <w:tc>
          <w:tcPr>
            <w:tcW w:type="dxa" w:w="892"/>
            <w:vAlign w:val="top"/>
          </w:tcPr>
          <w:p>
            <w:pPr>
              <w:spacing w:after="40" w:before="0" w:line="259" w:lineRule="auto"/>
            </w:pPr>
            <w:r>
              <w:rPr>
                <w:rFonts w:ascii="Calibri" w:hAnsi="Calibri"/>
                <w:b w:val="0"/>
                <w:i w:val="0"/>
                <w:color w:val="212121"/>
                <w:sz w:val="16"/>
              </w:rPr>
              <w:t>Renal function tests</w:t>
            </w:r>
          </w:p>
        </w:tc>
        <w:tc>
          <w:tcPr>
            <w:tcW w:type="dxa" w:w="950"/>
            <w:vAlign w:val="top"/>
          </w:tcPr>
          <w:p>
            <w:pPr>
              <w:spacing w:after="40" w:before="0" w:line="259" w:lineRule="auto"/>
            </w:pPr>
            <w:r>
              <w:rPr>
                <w:rFonts w:ascii="Calibri" w:hAnsi="Calibri"/>
                <w:b w:val="0"/>
                <w:i w:val="0"/>
                <w:color w:val="212121"/>
                <w:sz w:val="16"/>
              </w:rPr>
              <w:t>eGFR ≥ 90; ACR &lt; 30 mg/g</w:t>
            </w:r>
          </w:p>
        </w:tc>
        <w:tc>
          <w:tcPr>
            <w:tcW w:type="dxa" w:w="950"/>
            <w:vAlign w:val="top"/>
          </w:tcPr>
          <w:p>
            <w:pPr>
              <w:spacing w:after="40" w:before="0" w:line="259" w:lineRule="auto"/>
            </w:pPr>
            <w:r>
              <w:rPr>
                <w:rFonts w:ascii="Calibri" w:hAnsi="Calibri"/>
                <w:b w:val="0"/>
                <w:i w:val="0"/>
                <w:color w:val="212121"/>
                <w:sz w:val="16"/>
              </w:rPr>
              <w:t>Falling eGFR / eGFR &lt; 60; ACR ≥ 30</w:t>
            </w:r>
          </w:p>
        </w:tc>
        <w:tc>
          <w:tcPr>
            <w:tcW w:type="dxa" w:w="1036"/>
            <w:vAlign w:val="top"/>
          </w:tcPr>
          <w:p>
            <w:pPr>
              <w:spacing w:after="40" w:before="0" w:line="259" w:lineRule="auto"/>
            </w:pPr>
            <w:r>
              <w:rPr>
                <w:rFonts w:ascii="Calibri" w:hAnsi="Calibri"/>
                <w:b w:val="0"/>
                <w:i w:val="0"/>
                <w:color w:val="212121"/>
                <w:sz w:val="16"/>
              </w:rPr>
              <w:t>Monitors sickle nephropathy and accelerated eGFR decline</w:t>
            </w:r>
          </w:p>
        </w:tc>
        <w:tc>
          <w:tcPr>
            <w:tcW w:type="dxa" w:w="1036"/>
            <w:vAlign w:val="top"/>
          </w:tcPr>
          <w:p>
            <w:pPr>
              <w:spacing w:after="40" w:before="0" w:line="259" w:lineRule="auto"/>
            </w:pPr>
            <w:r>
              <w:rPr>
                <w:rFonts w:ascii="Calibri" w:hAnsi="Calibri"/>
                <w:b w:val="0"/>
                <w:i w:val="0"/>
                <w:color w:val="212121"/>
                <w:sz w:val="16"/>
              </w:rPr>
              <w:t>Older carriers, hypertensive/diabetic carriers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Long-term surveillance in at-risk carriers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HBB gene mutation (β⁶ Glu→Val)</w:t>
            </w:r>
          </w:p>
        </w:tc>
        <w:tc>
          <w:tcPr>
            <w:tcW w:type="dxa" w:w="892"/>
            <w:vAlign w:val="top"/>
          </w:tcPr>
          <w:p>
            <w:pPr>
              <w:spacing w:after="40" w:before="0" w:line="259" w:lineRule="auto"/>
            </w:pPr>
            <w:r>
              <w:rPr>
                <w:rFonts w:ascii="Calibri" w:hAnsi="Calibri"/>
                <w:b w:val="0"/>
                <w:i w:val="0"/>
                <w:color w:val="212121"/>
                <w:sz w:val="16"/>
              </w:rPr>
              <w:t>DNA / molecular genetic testing</w:t>
            </w:r>
          </w:p>
        </w:tc>
        <w:tc>
          <w:tcPr>
            <w:tcW w:type="dxa" w:w="950"/>
            <w:vAlign w:val="top"/>
          </w:tcPr>
          <w:p>
            <w:pPr>
              <w:spacing w:after="40" w:before="0" w:line="259" w:lineRule="auto"/>
            </w:pPr>
            <w:r>
              <w:rPr>
                <w:rFonts w:ascii="Calibri" w:hAnsi="Calibri"/>
                <w:b w:val="0"/>
                <w:i w:val="0"/>
                <w:color w:val="212121"/>
                <w:sz w:val="16"/>
              </w:rPr>
              <w:t>No HBB mutation</w:t>
            </w:r>
          </w:p>
        </w:tc>
        <w:tc>
          <w:tcPr>
            <w:tcW w:type="dxa" w:w="950"/>
            <w:vAlign w:val="top"/>
          </w:tcPr>
          <w:p>
            <w:pPr>
              <w:spacing w:after="40" w:before="0" w:line="259" w:lineRule="auto"/>
            </w:pPr>
            <w:r>
              <w:rPr>
                <w:rFonts w:ascii="Calibri" w:hAnsi="Calibri"/>
                <w:b w:val="0"/>
                <w:i w:val="0"/>
                <w:color w:val="212121"/>
                <w:sz w:val="16"/>
              </w:rPr>
              <w:t>One HBB sickle allele (heterozygous)</w:t>
            </w:r>
          </w:p>
        </w:tc>
        <w:tc>
          <w:tcPr>
            <w:tcW w:type="dxa" w:w="1036"/>
            <w:vAlign w:val="top"/>
          </w:tcPr>
          <w:p>
            <w:pPr>
              <w:spacing w:after="40" w:before="0" w:line="259" w:lineRule="auto"/>
            </w:pPr>
            <w:r>
              <w:rPr>
                <w:rFonts w:ascii="Calibri" w:hAnsi="Calibri"/>
                <w:b w:val="0"/>
                <w:i w:val="0"/>
                <w:color w:val="212121"/>
                <w:sz w:val="16"/>
              </w:rPr>
              <w:t>Definitive confirmation; used for prenatal diagnosis and ambiguous/compound cases</w:t>
            </w:r>
          </w:p>
        </w:tc>
        <w:tc>
          <w:tcPr>
            <w:tcW w:type="dxa" w:w="1036"/>
            <w:vAlign w:val="top"/>
          </w:tcPr>
          <w:p>
            <w:pPr>
              <w:spacing w:after="40" w:before="0" w:line="259" w:lineRule="auto"/>
            </w:pPr>
            <w:r>
              <w:rPr>
                <w:rFonts w:ascii="Calibri" w:hAnsi="Calibri"/>
                <w:b w:val="0"/>
                <w:i w:val="0"/>
                <w:color w:val="212121"/>
                <w:sz w:val="16"/>
              </w:rPr>
              <w:t>Couples for prenatal diagnosis, ambiguous HPLC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Enables prenatal diagnosis when both partners are carriers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w:t>
            </w:r>
          </w:p>
        </w:tc>
        <w:tc>
          <w:tcPr>
            <w:tcW w:type="dxa" w:w="1036"/>
            <w:vAlign w:val="top"/>
          </w:tcPr>
          <w:p>
            <w:pPr>
              <w:spacing w:after="40" w:before="0" w:line="259" w:lineRule="auto"/>
            </w:pPr>
            <w:r>
              <w:rPr>
                <w:rFonts w:ascii="Calibri" w:hAnsi="Calibri"/>
                <w:b w:val="0"/>
                <w:i w:val="0"/>
                <w:color w:val="212121"/>
                <w:sz w:val="16"/>
              </w:rPr>
              <w:t>HbS detection (rapid device)</w:t>
            </w:r>
          </w:p>
        </w:tc>
        <w:tc>
          <w:tcPr>
            <w:tcW w:type="dxa" w:w="892"/>
            <w:vAlign w:val="top"/>
          </w:tcPr>
          <w:p>
            <w:pPr>
              <w:spacing w:after="40" w:before="0" w:line="259" w:lineRule="auto"/>
            </w:pPr>
            <w:r>
              <w:rPr>
                <w:rFonts w:ascii="Calibri" w:hAnsi="Calibri"/>
                <w:b w:val="0"/>
                <w:i w:val="0"/>
                <w:color w:val="212121"/>
                <w:sz w:val="16"/>
              </w:rPr>
              <w:t>Point-of-care test (Sickle SCAN / HemoTypeSC)</w:t>
            </w:r>
          </w:p>
        </w:tc>
        <w:tc>
          <w:tcPr>
            <w:tcW w:type="dxa" w:w="950"/>
            <w:vAlign w:val="top"/>
          </w:tcPr>
          <w:p>
            <w:pPr>
              <w:spacing w:after="40" w:before="0" w:line="259" w:lineRule="auto"/>
            </w:pPr>
            <w:r>
              <w:rPr>
                <w:rFonts w:ascii="Calibri" w:hAnsi="Calibri"/>
                <w:b w:val="0"/>
                <w:i w:val="0"/>
                <w:color w:val="212121"/>
                <w:sz w:val="16"/>
              </w:rPr>
              <w:t>HbA only</w:t>
            </w:r>
          </w:p>
        </w:tc>
        <w:tc>
          <w:tcPr>
            <w:tcW w:type="dxa" w:w="950"/>
            <w:vAlign w:val="top"/>
          </w:tcPr>
          <w:p>
            <w:pPr>
              <w:spacing w:after="40" w:before="0" w:line="259" w:lineRule="auto"/>
            </w:pPr>
            <w:r>
              <w:rPr>
                <w:rFonts w:ascii="Calibri" w:hAnsi="Calibri"/>
                <w:b w:val="0"/>
                <w:i w:val="0"/>
                <w:color w:val="212121"/>
                <w:sz w:val="16"/>
              </w:rPr>
              <w:t>HbA + HbS pattern (trait)</w:t>
            </w:r>
          </w:p>
        </w:tc>
        <w:tc>
          <w:tcPr>
            <w:tcW w:type="dxa" w:w="1036"/>
            <w:vAlign w:val="top"/>
          </w:tcPr>
          <w:p>
            <w:pPr>
              <w:spacing w:after="40" w:before="0" w:line="259" w:lineRule="auto"/>
            </w:pPr>
            <w:r>
              <w:rPr>
                <w:rFonts w:ascii="Calibri" w:hAnsi="Calibri"/>
                <w:b w:val="0"/>
                <w:i w:val="0"/>
                <w:color w:val="212121"/>
                <w:sz w:val="16"/>
              </w:rPr>
              <w:t>Enables mass field screening; positives confirmed by HPLC</w:t>
            </w:r>
          </w:p>
        </w:tc>
        <w:tc>
          <w:tcPr>
            <w:tcW w:type="dxa" w:w="1036"/>
            <w:vAlign w:val="top"/>
          </w:tcPr>
          <w:p>
            <w:pPr>
              <w:spacing w:after="40" w:before="0" w:line="259" w:lineRule="auto"/>
            </w:pPr>
            <w:r>
              <w:rPr>
                <w:rFonts w:ascii="Calibri" w:hAnsi="Calibri"/>
                <w:b w:val="0"/>
                <w:i w:val="0"/>
                <w:color w:val="212121"/>
                <w:sz w:val="16"/>
              </w:rPr>
              <w:t>Mass community/school screening under National Mission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Backbone of large-scale Mission screening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Ancestry &amp; regional origin</w:t>
            </w:r>
          </w:p>
        </w:tc>
        <w:tc>
          <w:tcPr>
            <w:tcW w:type="dxa" w:w="979"/>
            <w:vAlign w:val="top"/>
          </w:tcPr>
          <w:p>
            <w:pPr>
              <w:spacing w:after="40" w:before="0" w:line="259" w:lineRule="auto"/>
            </w:pPr>
            <w:r>
              <w:rPr>
                <w:rFonts w:ascii="Calibri" w:hAnsi="Calibri"/>
                <w:b w:val="0"/>
                <w:i w:val="0"/>
                <w:color w:val="212121"/>
                <w:sz w:val="16"/>
              </w:rPr>
              <w:t>Tribal origin / native district in sickle belt</w:t>
            </w:r>
          </w:p>
        </w:tc>
        <w:tc>
          <w:tcPr>
            <w:tcW w:type="dxa" w:w="950"/>
            <w:vAlign w:val="top"/>
          </w:tcPr>
          <w:p>
            <w:pPr>
              <w:spacing w:after="40" w:before="0" w:line="259" w:lineRule="auto"/>
            </w:pPr>
            <w:r>
              <w:rPr>
                <w:rFonts w:ascii="Calibri" w:hAnsi="Calibri"/>
                <w:b w:val="0"/>
                <w:i w:val="0"/>
                <w:color w:val="212121"/>
                <w:sz w:val="16"/>
              </w:rPr>
              <w:t>No belt/tribal ancestry</w:t>
            </w:r>
          </w:p>
        </w:tc>
        <w:tc>
          <w:tcPr>
            <w:tcW w:type="dxa" w:w="950"/>
            <w:vAlign w:val="top"/>
          </w:tcPr>
          <w:p>
            <w:pPr>
              <w:spacing w:after="40" w:before="0" w:line="259" w:lineRule="auto"/>
            </w:pPr>
            <w:r>
              <w:rPr>
                <w:rFonts w:ascii="Calibri" w:hAnsi="Calibri"/>
                <w:b w:val="0"/>
                <w:i w:val="0"/>
                <w:color w:val="212121"/>
                <w:sz w:val="16"/>
              </w:rPr>
              <w:t>Origin in a high-prevalence tribe or district</w:t>
            </w:r>
          </w:p>
        </w:tc>
        <w:tc>
          <w:tcPr>
            <w:tcW w:type="dxa" w:w="1036"/>
            <w:vAlign w:val="top"/>
          </w:tcPr>
          <w:p>
            <w:pPr>
              <w:spacing w:after="40" w:before="0" w:line="259" w:lineRule="auto"/>
            </w:pPr>
            <w:r>
              <w:rPr>
                <w:rFonts w:ascii="Calibri" w:hAnsi="Calibri"/>
                <w:b w:val="0"/>
                <w:i w:val="0"/>
                <w:color w:val="212121"/>
                <w:sz w:val="16"/>
              </w:rPr>
              <w:t>Establishes pre-test probability and screening priority</w:t>
            </w:r>
          </w:p>
        </w:tc>
        <w:tc>
          <w:tcPr>
            <w:tcW w:type="dxa" w:w="1036"/>
            <w:vAlign w:val="top"/>
          </w:tcPr>
          <w:p>
            <w:pPr>
              <w:spacing w:after="40" w:before="0" w:line="259" w:lineRule="auto"/>
            </w:pPr>
            <w:r>
              <w:rPr>
                <w:rFonts w:ascii="Calibri" w:hAnsi="Calibri"/>
                <w:b w:val="0"/>
                <w:i w:val="0"/>
                <w:color w:val="212121"/>
                <w:sz w:val="16"/>
              </w:rPr>
              <w:t>Central/west Indian tribes, sickle-belt districts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who to screen first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SCD/trait in relatives; unexplained sibling deaths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relative with trait/disease</w:t>
            </w:r>
          </w:p>
        </w:tc>
        <w:tc>
          <w:tcPr>
            <w:tcW w:type="dxa" w:w="1036"/>
            <w:vAlign w:val="top"/>
          </w:tcPr>
          <w:p>
            <w:pPr>
              <w:spacing w:after="40" w:before="0" w:line="259" w:lineRule="auto"/>
            </w:pPr>
            <w:r>
              <w:rPr>
                <w:rFonts w:ascii="Calibri" w:hAnsi="Calibri"/>
                <w:b w:val="0"/>
                <w:i w:val="0"/>
                <w:color w:val="212121"/>
                <w:sz w:val="16"/>
              </w:rPr>
              <w:t>Genetic risk stratification and cascade screening</w:t>
            </w:r>
          </w:p>
        </w:tc>
        <w:tc>
          <w:tcPr>
            <w:tcW w:type="dxa" w:w="1036"/>
            <w:vAlign w:val="top"/>
          </w:tcPr>
          <w:p>
            <w:pPr>
              <w:spacing w:after="40" w:before="0" w:line="259" w:lineRule="auto"/>
            </w:pPr>
            <w:r>
              <w:rPr>
                <w:rFonts w:ascii="Calibri" w:hAnsi="Calibri"/>
                <w:b w:val="0"/>
                <w:i w:val="0"/>
                <w:color w:val="212121"/>
                <w:sz w:val="16"/>
              </w:rPr>
              <w:t>First-degree relatives, carrier parents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testing of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Reproductive &amp; partner status</w:t>
            </w:r>
          </w:p>
        </w:tc>
        <w:tc>
          <w:tcPr>
            <w:tcW w:type="dxa" w:w="979"/>
            <w:vAlign w:val="top"/>
          </w:tcPr>
          <w:p>
            <w:pPr>
              <w:spacing w:after="40" w:before="0" w:line="259" w:lineRule="auto"/>
            </w:pPr>
            <w:r>
              <w:rPr>
                <w:rFonts w:ascii="Calibri" w:hAnsi="Calibri"/>
                <w:b w:val="0"/>
                <w:i w:val="0"/>
                <w:color w:val="212121"/>
                <w:sz w:val="16"/>
              </w:rPr>
              <w:t>Partner carrier status; pregnancy plans</w:t>
            </w:r>
          </w:p>
        </w:tc>
        <w:tc>
          <w:tcPr>
            <w:tcW w:type="dxa" w:w="950"/>
            <w:vAlign w:val="top"/>
          </w:tcPr>
          <w:p>
            <w:pPr>
              <w:spacing w:after="40" w:before="0" w:line="259" w:lineRule="auto"/>
            </w:pPr>
            <w:r>
              <w:rPr>
                <w:rFonts w:ascii="Calibri" w:hAnsi="Calibri"/>
                <w:b w:val="0"/>
                <w:i w:val="0"/>
                <w:color w:val="212121"/>
                <w:sz w:val="16"/>
              </w:rPr>
              <w:t>Partner HbAA / not planning children</w:t>
            </w:r>
          </w:p>
        </w:tc>
        <w:tc>
          <w:tcPr>
            <w:tcW w:type="dxa" w:w="950"/>
            <w:vAlign w:val="top"/>
          </w:tcPr>
          <w:p>
            <w:pPr>
              <w:spacing w:after="40" w:before="0" w:line="259" w:lineRule="auto"/>
            </w:pPr>
            <w:r>
              <w:rPr>
                <w:rFonts w:ascii="Calibri" w:hAnsi="Calibri"/>
                <w:b w:val="0"/>
                <w:i w:val="0"/>
                <w:color w:val="212121"/>
                <w:sz w:val="16"/>
              </w:rPr>
              <w:t>Both partners carriers</w:t>
            </w:r>
          </w:p>
        </w:tc>
        <w:tc>
          <w:tcPr>
            <w:tcW w:type="dxa" w:w="1036"/>
            <w:vAlign w:val="top"/>
          </w:tcPr>
          <w:p>
            <w:pPr>
              <w:spacing w:after="40" w:before="0" w:line="259" w:lineRule="auto"/>
            </w:pPr>
            <w:r>
              <w:rPr>
                <w:rFonts w:ascii="Calibri" w:hAnsi="Calibri"/>
                <w:b w:val="0"/>
                <w:i w:val="0"/>
                <w:color w:val="212121"/>
                <w:sz w:val="16"/>
              </w:rPr>
              <w:t>Two carriers = 25% risk of an affected child per pregnancy</w:t>
            </w:r>
          </w:p>
        </w:tc>
        <w:tc>
          <w:tcPr>
            <w:tcW w:type="dxa" w:w="1036"/>
            <w:vAlign w:val="top"/>
          </w:tcPr>
          <w:p>
            <w:pPr>
              <w:spacing w:after="40" w:before="0" w:line="259" w:lineRule="auto"/>
            </w:pPr>
            <w:r>
              <w:rPr>
                <w:rFonts w:ascii="Calibri" w:hAnsi="Calibri"/>
                <w:b w:val="0"/>
                <w:i w:val="0"/>
                <w:color w:val="212121"/>
                <w:sz w:val="16"/>
              </w:rPr>
              <w:t>Couples for premarital/antenatal counselling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Core of reproductive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exertional history</w:t>
            </w:r>
          </w:p>
        </w:tc>
        <w:tc>
          <w:tcPr>
            <w:tcW w:type="dxa" w:w="979"/>
            <w:vAlign w:val="top"/>
          </w:tcPr>
          <w:p>
            <w:pPr>
              <w:spacing w:after="40" w:before="0" w:line="259" w:lineRule="auto"/>
            </w:pPr>
            <w:r>
              <w:rPr>
                <w:rFonts w:ascii="Calibri" w:hAnsi="Calibri"/>
                <w:b w:val="0"/>
                <w:i w:val="0"/>
                <w:color w:val="212121"/>
                <w:sz w:val="16"/>
              </w:rPr>
              <w:t>Intense exertion, heat, altitude, prior collapse or haematuria</w:t>
            </w:r>
          </w:p>
        </w:tc>
        <w:tc>
          <w:tcPr>
            <w:tcW w:type="dxa" w:w="950"/>
            <w:vAlign w:val="top"/>
          </w:tcPr>
          <w:p>
            <w:pPr>
              <w:spacing w:after="40" w:before="0" w:line="259" w:lineRule="auto"/>
            </w:pPr>
            <w:r>
              <w:rPr>
                <w:rFonts w:ascii="Calibri" w:hAnsi="Calibri"/>
                <w:b w:val="0"/>
                <w:i w:val="0"/>
                <w:color w:val="212121"/>
                <w:sz w:val="16"/>
              </w:rPr>
              <w:t>No provoking exposures/events</w:t>
            </w:r>
          </w:p>
        </w:tc>
        <w:tc>
          <w:tcPr>
            <w:tcW w:type="dxa" w:w="950"/>
            <w:vAlign w:val="top"/>
          </w:tcPr>
          <w:p>
            <w:pPr>
              <w:spacing w:after="40" w:before="0" w:line="259" w:lineRule="auto"/>
            </w:pPr>
            <w:r>
              <w:rPr>
                <w:rFonts w:ascii="Calibri" w:hAnsi="Calibri"/>
                <w:b w:val="0"/>
                <w:i w:val="0"/>
                <w:color w:val="212121"/>
                <w:sz w:val="16"/>
              </w:rPr>
              <w:t>Extreme exertion, altitude, dehydration or prior event</w:t>
            </w:r>
          </w:p>
        </w:tc>
        <w:tc>
          <w:tcPr>
            <w:tcW w:type="dxa" w:w="1036"/>
            <w:vAlign w:val="top"/>
          </w:tcPr>
          <w:p>
            <w:pPr>
              <w:spacing w:after="40" w:before="0" w:line="259" w:lineRule="auto"/>
            </w:pPr>
            <w:r>
              <w:rPr>
                <w:rFonts w:ascii="Calibri" w:hAnsi="Calibri"/>
                <w:b w:val="0"/>
                <w:i w:val="0"/>
                <w:color w:val="212121"/>
                <w:sz w:val="16"/>
              </w:rPr>
              <w:t>Identifies carriers at risk of rare exertional/altitude complications</w:t>
            </w:r>
          </w:p>
        </w:tc>
        <w:tc>
          <w:tcPr>
            <w:tcW w:type="dxa" w:w="1036"/>
            <w:vAlign w:val="top"/>
          </w:tcPr>
          <w:p>
            <w:pPr>
              <w:spacing w:after="40" w:before="0" w:line="259" w:lineRule="auto"/>
            </w:pPr>
            <w:r>
              <w:rPr>
                <w:rFonts w:ascii="Calibri" w:hAnsi="Calibri"/>
                <w:b w:val="0"/>
                <w:i w:val="0"/>
                <w:color w:val="212121"/>
                <w:sz w:val="16"/>
              </w:rPr>
              <w:t>Athletes, recruits, aviators, labourers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Informs activity and acclimatization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General &amp; abdominal examination</w:t>
            </w:r>
          </w:p>
        </w:tc>
        <w:tc>
          <w:tcPr>
            <w:tcW w:type="dxa" w:w="979"/>
            <w:vAlign w:val="top"/>
          </w:tcPr>
          <w:p>
            <w:pPr>
              <w:spacing w:after="40" w:before="0" w:line="259" w:lineRule="auto"/>
            </w:pPr>
            <w:r>
              <w:rPr>
                <w:rFonts w:ascii="Calibri" w:hAnsi="Calibri"/>
                <w:b w:val="0"/>
                <w:i w:val="0"/>
                <w:color w:val="212121"/>
                <w:sz w:val="16"/>
              </w:rPr>
              <w:t>Pallor, splenic tenderness/enlargement, volume status</w:t>
            </w:r>
          </w:p>
        </w:tc>
        <w:tc>
          <w:tcPr>
            <w:tcW w:type="dxa" w:w="950"/>
            <w:vAlign w:val="top"/>
          </w:tcPr>
          <w:p>
            <w:pPr>
              <w:spacing w:after="40" w:before="0" w:line="259" w:lineRule="auto"/>
            </w:pPr>
            <w:r>
              <w:rPr>
                <w:rFonts w:ascii="Calibri" w:hAnsi="Calibri"/>
                <w:b w:val="0"/>
                <w:i w:val="0"/>
                <w:color w:val="212121"/>
                <w:sz w:val="16"/>
              </w:rPr>
              <w:t>Normal exam, no pallor, no splenomegaly</w:t>
            </w:r>
          </w:p>
        </w:tc>
        <w:tc>
          <w:tcPr>
            <w:tcW w:type="dxa" w:w="950"/>
            <w:vAlign w:val="top"/>
          </w:tcPr>
          <w:p>
            <w:pPr>
              <w:spacing w:after="40" w:before="0" w:line="259" w:lineRule="auto"/>
            </w:pPr>
            <w:r>
              <w:rPr>
                <w:rFonts w:ascii="Calibri" w:hAnsi="Calibri"/>
                <w:b w:val="0"/>
                <w:i w:val="0"/>
                <w:color w:val="212121"/>
                <w:sz w:val="16"/>
              </w:rPr>
              <w:t>Pallor (suggests other cause), splenic tenderness post-altitude</w:t>
            </w:r>
          </w:p>
        </w:tc>
        <w:tc>
          <w:tcPr>
            <w:tcW w:type="dxa" w:w="1036"/>
            <w:vAlign w:val="top"/>
          </w:tcPr>
          <w:p>
            <w:pPr>
              <w:spacing w:after="40" w:before="0" w:line="259" w:lineRule="auto"/>
            </w:pPr>
            <w:r>
              <w:rPr>
                <w:rFonts w:ascii="Calibri" w:hAnsi="Calibri"/>
                <w:b w:val="0"/>
                <w:i w:val="0"/>
                <w:color w:val="212121"/>
                <w:sz w:val="16"/>
              </w:rPr>
              <w:t>Usually normal; abnormal findings suggest disease or a complication</w:t>
            </w:r>
          </w:p>
        </w:tc>
        <w:tc>
          <w:tcPr>
            <w:tcW w:type="dxa" w:w="1036"/>
            <w:vAlign w:val="top"/>
          </w:tcPr>
          <w:p>
            <w:pPr>
              <w:spacing w:after="40" w:before="0" w:line="259" w:lineRule="auto"/>
            </w:pPr>
            <w:r>
              <w:rPr>
                <w:rFonts w:ascii="Calibri" w:hAnsi="Calibri"/>
                <w:b w:val="0"/>
                <w:i w:val="0"/>
                <w:color w:val="212121"/>
                <w:sz w:val="16"/>
              </w:rPr>
              <w:t>All carriers; post-altitude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normal exam is the rule in trait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Blood pressure &amp; urine dipstick</w:t>
            </w:r>
          </w:p>
        </w:tc>
        <w:tc>
          <w:tcPr>
            <w:tcW w:type="dxa" w:w="979"/>
            <w:vAlign w:val="top"/>
          </w:tcPr>
          <w:p>
            <w:pPr>
              <w:spacing w:after="40" w:before="0" w:line="259" w:lineRule="auto"/>
            </w:pPr>
            <w:r>
              <w:rPr>
                <w:rFonts w:ascii="Calibri" w:hAnsi="Calibri"/>
                <w:b w:val="0"/>
                <w:i w:val="0"/>
                <w:color w:val="212121"/>
                <w:sz w:val="16"/>
              </w:rPr>
              <w:t>BP, dipstick haematuria/proteinuria</w:t>
            </w:r>
          </w:p>
        </w:tc>
        <w:tc>
          <w:tcPr>
            <w:tcW w:type="dxa" w:w="950"/>
            <w:vAlign w:val="top"/>
          </w:tcPr>
          <w:p>
            <w:pPr>
              <w:spacing w:after="40" w:before="0" w:line="259" w:lineRule="auto"/>
            </w:pPr>
            <w:r>
              <w:rPr>
                <w:rFonts w:ascii="Calibri" w:hAnsi="Calibri"/>
                <w:b w:val="0"/>
                <w:i w:val="0"/>
                <w:color w:val="212121"/>
                <w:sz w:val="16"/>
              </w:rPr>
              <w:t>Normal BP, negative dipstick</w:t>
            </w:r>
          </w:p>
        </w:tc>
        <w:tc>
          <w:tcPr>
            <w:tcW w:type="dxa" w:w="950"/>
            <w:vAlign w:val="top"/>
          </w:tcPr>
          <w:p>
            <w:pPr>
              <w:spacing w:after="40" w:before="0" w:line="259" w:lineRule="auto"/>
            </w:pPr>
            <w:r>
              <w:rPr>
                <w:rFonts w:ascii="Calibri" w:hAnsi="Calibri"/>
                <w:b w:val="0"/>
                <w:i w:val="0"/>
                <w:color w:val="212121"/>
                <w:sz w:val="16"/>
              </w:rPr>
              <w:t>Hypertension, haematuria or proteinuria</w:t>
            </w:r>
          </w:p>
        </w:tc>
        <w:tc>
          <w:tcPr>
            <w:tcW w:type="dxa" w:w="1036"/>
            <w:vAlign w:val="top"/>
          </w:tcPr>
          <w:p>
            <w:pPr>
              <w:spacing w:after="40" w:before="0" w:line="259" w:lineRule="auto"/>
            </w:pPr>
            <w:r>
              <w:rPr>
                <w:rFonts w:ascii="Calibri" w:hAnsi="Calibri"/>
                <w:b w:val="0"/>
                <w:i w:val="0"/>
                <w:color w:val="212121"/>
                <w:sz w:val="16"/>
              </w:rPr>
              <w:t>Bedside screen for early sickle nephropathy</w:t>
            </w:r>
          </w:p>
        </w:tc>
        <w:tc>
          <w:tcPr>
            <w:tcW w:type="dxa" w:w="1036"/>
            <w:vAlign w:val="top"/>
          </w:tcPr>
          <w:p>
            <w:pPr>
              <w:spacing w:after="40" w:before="0" w:line="259" w:lineRule="auto"/>
            </w:pPr>
            <w:r>
              <w:rPr>
                <w:rFonts w:ascii="Calibri" w:hAnsi="Calibri"/>
                <w:b w:val="0"/>
                <w:i w:val="0"/>
                <w:color w:val="212121"/>
                <w:sz w:val="16"/>
              </w:rPr>
              <w:t>Adult and older carriers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Cheap, repeatable renal screen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context</w:t>
            </w:r>
          </w:p>
        </w:tc>
        <w:tc>
          <w:tcPr>
            <w:tcW w:type="dxa" w:w="950"/>
            <w:vAlign w:val="top"/>
          </w:tcPr>
          <w:p>
            <w:pPr>
              <w:spacing w:after="40" w:before="0" w:line="259" w:lineRule="auto"/>
            </w:pPr>
            <w:r>
              <w:rPr>
                <w:rFonts w:ascii="Calibri" w:hAnsi="Calibri"/>
                <w:b w:val="0"/>
                <w:i w:val="0"/>
                <w:color w:val="212121"/>
                <w:sz w:val="16"/>
              </w:rPr>
              <w:t>Premarital &amp; antenatal screening</w:t>
            </w:r>
          </w:p>
        </w:tc>
        <w:tc>
          <w:tcPr>
            <w:tcW w:type="dxa" w:w="979"/>
            <w:vAlign w:val="top"/>
          </w:tcPr>
          <w:p>
            <w:pPr>
              <w:spacing w:after="40" w:before="0" w:line="259" w:lineRule="auto"/>
            </w:pPr>
            <w:r>
              <w:rPr>
                <w:rFonts w:ascii="Calibri" w:hAnsi="Calibri"/>
                <w:b w:val="0"/>
                <w:i w:val="0"/>
                <w:color w:val="212121"/>
                <w:sz w:val="16"/>
              </w:rPr>
              <w:t>Universal screening in endemic districts</w:t>
            </w:r>
          </w:p>
        </w:tc>
        <w:tc>
          <w:tcPr>
            <w:tcW w:type="dxa" w:w="950"/>
            <w:vAlign w:val="top"/>
          </w:tcPr>
          <w:p>
            <w:pPr>
              <w:spacing w:after="40" w:before="0" w:line="259" w:lineRule="auto"/>
            </w:pPr>
            <w:r>
              <w:rPr>
                <w:rFonts w:ascii="Calibri" w:hAnsi="Calibri"/>
                <w:b w:val="0"/>
                <w:i w:val="0"/>
                <w:color w:val="212121"/>
                <w:sz w:val="16"/>
              </w:rPr>
              <w:t>Screened, counselled</w:t>
            </w:r>
          </w:p>
        </w:tc>
        <w:tc>
          <w:tcPr>
            <w:tcW w:type="dxa" w:w="950"/>
            <w:vAlign w:val="top"/>
          </w:tcPr>
          <w:p>
            <w:pPr>
              <w:spacing w:after="40" w:before="0" w:line="259" w:lineRule="auto"/>
            </w:pPr>
            <w:r>
              <w:rPr>
                <w:rFonts w:ascii="Calibri" w:hAnsi="Calibri"/>
                <w:b w:val="0"/>
                <w:i w:val="0"/>
                <w:color w:val="212121"/>
                <w:sz w:val="16"/>
              </w:rPr>
              <w:t>Unscreened at-risk couple</w:t>
            </w:r>
          </w:p>
        </w:tc>
        <w:tc>
          <w:tcPr>
            <w:tcW w:type="dxa" w:w="1036"/>
            <w:vAlign w:val="top"/>
          </w:tcPr>
          <w:p>
            <w:pPr>
              <w:spacing w:after="40" w:before="0" w:line="259" w:lineRule="auto"/>
            </w:pPr>
            <w:r>
              <w:rPr>
                <w:rFonts w:ascii="Calibri" w:hAnsi="Calibri"/>
                <w:b w:val="0"/>
                <w:i w:val="0"/>
                <w:color w:val="212121"/>
                <w:sz w:val="16"/>
              </w:rPr>
              <w:t>Population-level prevention of affected births</w:t>
            </w:r>
          </w:p>
        </w:tc>
        <w:tc>
          <w:tcPr>
            <w:tcW w:type="dxa" w:w="1036"/>
            <w:vAlign w:val="top"/>
          </w:tcPr>
          <w:p>
            <w:pPr>
              <w:spacing w:after="40" w:before="0" w:line="259" w:lineRule="auto"/>
            </w:pPr>
            <w:r>
              <w:rPr>
                <w:rFonts w:ascii="Calibri" w:hAnsi="Calibri"/>
                <w:b w:val="0"/>
                <w:i w:val="0"/>
                <w:color w:val="212121"/>
                <w:sz w:val="16"/>
              </w:rPr>
              <w:t>Couples &amp; pregnant women in endemic districts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Aligned with the National Elimination Mission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(no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great majority of carriers have no symptoms and a normal lifespan; the trait is often found only on screening.</w:t>
            </w:r>
          </w:p>
        </w:tc>
      </w:tr>
      <w:tr>
        <w:trPr>
          <w:cantSplit/>
        </w:trPr>
        <w:tc>
          <w:tcPr>
            <w:tcW w:type="dxa" w:w="2304"/>
            <w:vAlign w:val="top"/>
          </w:tcPr>
          <w:p>
            <w:pPr>
              <w:spacing w:after="40" w:before="0" w:line="259" w:lineRule="auto"/>
            </w:pPr>
            <w:r>
              <w:rPr>
                <w:rFonts w:ascii="Calibri" w:hAnsi="Calibri"/>
                <w:b/>
                <w:i w:val="0"/>
                <w:color w:val="212121"/>
                <w:sz w:val="19"/>
              </w:rPr>
              <w:t>Painless gross haematuria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The commonest symptomatic manifestation, from renal medullary ischaemia and papillary necrosis; usually self-limiting.</w:t>
            </w:r>
          </w:p>
        </w:tc>
      </w:tr>
      <w:tr>
        <w:trPr>
          <w:cantSplit/>
        </w:trPr>
        <w:tc>
          <w:tcPr>
            <w:tcW w:type="dxa" w:w="2304"/>
            <w:vAlign w:val="top"/>
          </w:tcPr>
          <w:p>
            <w:pPr>
              <w:spacing w:after="40" w:before="0" w:line="259" w:lineRule="auto"/>
            </w:pPr>
            <w:r>
              <w:rPr>
                <w:rFonts w:ascii="Calibri" w:hAnsi="Calibri"/>
                <w:b/>
                <w:i w:val="0"/>
                <w:color w:val="212121"/>
                <w:sz w:val="19"/>
              </w:rPr>
              <w:t>Dysuria / urinary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the increased frequency of asymptomatic bacteriuria and UTI, especially during pregnancy.</w:t>
            </w:r>
          </w:p>
        </w:tc>
      </w:tr>
      <w:tr>
        <w:trPr>
          <w:cantSplit/>
        </w:trPr>
        <w:tc>
          <w:tcPr>
            <w:tcW w:type="dxa" w:w="2304"/>
            <w:vAlign w:val="top"/>
          </w:tcPr>
          <w:p>
            <w:pPr>
              <w:spacing w:after="40" w:before="0" w:line="259" w:lineRule="auto"/>
            </w:pPr>
            <w:r>
              <w:rPr>
                <w:rFonts w:ascii="Calibri" w:hAnsi="Calibri"/>
                <w:b/>
                <w:i w:val="0"/>
                <w:color w:val="212121"/>
                <w:sz w:val="19"/>
              </w:rPr>
              <w:t>Exertional muscle pain / cramps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 under extreme or unconditioned exertion, particularly in heat; a warning to stop and rehydrate.</w:t>
            </w:r>
          </w:p>
        </w:tc>
      </w:tr>
      <w:tr>
        <w:trPr>
          <w:cantSplit/>
        </w:trPr>
        <w:tc>
          <w:tcPr>
            <w:tcW w:type="dxa" w:w="2304"/>
            <w:vAlign w:val="top"/>
          </w:tcPr>
          <w:p>
            <w:pPr>
              <w:spacing w:after="40" w:before="0" w:line="259" w:lineRule="auto"/>
            </w:pPr>
            <w:r>
              <w:rPr>
                <w:rFonts w:ascii="Calibri" w:hAnsi="Calibri"/>
                <w:b/>
                <w:i w:val="0"/>
                <w:color w:val="212121"/>
                <w:sz w:val="19"/>
              </w:rPr>
              <w:t>Flank / loin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accompany renal papillary necrosis, sometimes with passage of clots or tissue.</w:t>
            </w:r>
          </w:p>
        </w:tc>
      </w:tr>
      <w:tr>
        <w:trPr>
          <w:cantSplit/>
        </w:trPr>
        <w:tc>
          <w:tcPr>
            <w:tcW w:type="dxa" w:w="2304"/>
            <w:vAlign w:val="top"/>
          </w:tcPr>
          <w:p>
            <w:pPr>
              <w:spacing w:after="40" w:before="0" w:line="259" w:lineRule="auto"/>
            </w:pPr>
            <w:r>
              <w:rPr>
                <w:rFonts w:ascii="Calibri" w:hAnsi="Calibri"/>
                <w:b/>
                <w:i w:val="0"/>
                <w:color w:val="212121"/>
                <w:sz w:val="19"/>
              </w:rPr>
              <w:t>Left upper quadrant / abdominal pain at altitude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splenic infarction provoked by high-altitude hypoxia.</w:t>
            </w:r>
          </w:p>
        </w:tc>
      </w:tr>
      <w:tr>
        <w:trPr>
          <w:cantSplit/>
        </w:trPr>
        <w:tc>
          <w:tcPr>
            <w:tcW w:type="dxa" w:w="2304"/>
            <w:vAlign w:val="top"/>
          </w:tcPr>
          <w:p>
            <w:pPr>
              <w:spacing w:after="40" w:before="0" w:line="259" w:lineRule="auto"/>
            </w:pPr>
            <w:r>
              <w:rPr>
                <w:rFonts w:ascii="Calibri" w:hAnsi="Calibri"/>
                <w:b/>
                <w:i w:val="0"/>
                <w:color w:val="212121"/>
                <w:sz w:val="19"/>
              </w:rPr>
              <w:t>Dark urine after intense exertion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indicate exertional rhabdomyolysis with myoglobinuria — a medical emergency.</w:t>
            </w:r>
          </w:p>
        </w:tc>
      </w:tr>
      <w:tr>
        <w:trPr>
          <w:cantSplit/>
        </w:trPr>
        <w:tc>
          <w:tcPr>
            <w:tcW w:type="dxa" w:w="2304"/>
            <w:vAlign w:val="top"/>
          </w:tcPr>
          <w:p>
            <w:pPr>
              <w:spacing w:after="40" w:before="0" w:line="259" w:lineRule="auto"/>
            </w:pPr>
            <w:r>
              <w:rPr>
                <w:rFonts w:ascii="Calibri" w:hAnsi="Calibri"/>
                <w:b/>
                <w:i w:val="0"/>
                <w:color w:val="212121"/>
                <w:sz w:val="19"/>
              </w:rPr>
              <w:t>Exercise intolerance / collapse during maximal exertion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Rare exertional sickling/heat illness in unconditioned individuals during near-maximal effort.</w:t>
            </w:r>
          </w:p>
        </w:tc>
      </w:tr>
      <w:tr>
        <w:trPr>
          <w:cantSplit/>
        </w:trPr>
        <w:tc>
          <w:tcPr>
            <w:tcW w:type="dxa" w:w="2304"/>
            <w:vAlign w:val="top"/>
          </w:tcPr>
          <w:p>
            <w:pPr>
              <w:spacing w:after="40" w:before="0" w:line="259" w:lineRule="auto"/>
            </w:pPr>
            <w:r>
              <w:rPr>
                <w:rFonts w:ascii="Calibri" w:hAnsi="Calibri"/>
                <w:b/>
                <w:i w:val="0"/>
                <w:color w:val="212121"/>
                <w:sz w:val="19"/>
              </w:rPr>
              <w:t>Heat exhaustion / heat stroke on exertion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Impaired thermoregulation during strenuous activity in hot conditions can escalate rapidly.</w:t>
            </w:r>
          </w:p>
        </w:tc>
      </w:tr>
      <w:tr>
        <w:trPr>
          <w:cantSplit/>
        </w:trPr>
        <w:tc>
          <w:tcPr>
            <w:tcW w:type="dxa" w:w="2304"/>
            <w:vAlign w:val="top"/>
          </w:tcPr>
          <w:p>
            <w:pPr>
              <w:spacing w:after="40" w:before="0" w:line="259" w:lineRule="auto"/>
            </w:pPr>
            <w:r>
              <w:rPr>
                <w:rFonts w:ascii="Calibri" w:hAnsi="Calibri"/>
                <w:b/>
                <w:i w:val="0"/>
                <w:color w:val="212121"/>
                <w:sz w:val="19"/>
              </w:rPr>
              <w:t>Fatigue or pallor (symptoms of anaemia)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NOT caused by the trait itself; if present, prompt a search for coexisting sickle cell disease, HbS/β-thalassaemia or iron deficiency.</w:t>
            </w:r>
          </w:p>
        </w:tc>
      </w:tr>
      <w:tr>
        <w:trPr>
          <w:cantSplit/>
        </w:trPr>
        <w:tc>
          <w:tcPr>
            <w:tcW w:type="dxa" w:w="2304"/>
            <w:vAlign w:val="top"/>
          </w:tcPr>
          <w:p>
            <w:pPr>
              <w:spacing w:after="40" w:before="0" w:line="259" w:lineRule="auto"/>
            </w:pPr>
            <w:r>
              <w:rPr>
                <w:rFonts w:ascii="Calibri" w:hAnsi="Calibri"/>
                <w:b/>
                <w:i w:val="0"/>
                <w:color w:val="212121"/>
                <w:sz w:val="19"/>
              </w:rPr>
              <w:t>Priapism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Occasionally reported; far less frequent than in sickle cell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Normal physical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Carriers typically have an entirely normal examination with no pallor, jaundice or organomegaly.</w:t>
            </w:r>
          </w:p>
        </w:tc>
      </w:tr>
      <w:tr>
        <w:trPr>
          <w:cantSplit/>
        </w:trPr>
        <w:tc>
          <w:tcPr>
            <w:tcW w:type="dxa" w:w="3456"/>
            <w:vAlign w:val="top"/>
          </w:tcPr>
          <w:p>
            <w:pPr>
              <w:spacing w:after="40" w:before="0" w:line="259" w:lineRule="auto"/>
            </w:pPr>
            <w:r>
              <w:rPr>
                <w:rFonts w:ascii="Calibri" w:hAnsi="Calibri"/>
                <w:b/>
                <w:i w:val="0"/>
                <w:color w:val="212121"/>
                <w:sz w:val="19"/>
              </w:rPr>
              <w:t>Absence of anaemia / normal Hb</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distinguishing feature from sickle cell disease; normal haemoglobin and red-cell indices.</w:t>
            </w:r>
          </w:p>
        </w:tc>
      </w:tr>
      <w:tr>
        <w:trPr>
          <w:cantSplit/>
        </w:trPr>
        <w:tc>
          <w:tcPr>
            <w:tcW w:type="dxa" w:w="3456"/>
            <w:vAlign w:val="top"/>
          </w:tcPr>
          <w:p>
            <w:pPr>
              <w:spacing w:after="40" w:before="0" w:line="259" w:lineRule="auto"/>
            </w:pPr>
            <w:r>
              <w:rPr>
                <w:rFonts w:ascii="Calibri" w:hAnsi="Calibri"/>
                <w:b/>
                <w:i w:val="0"/>
                <w:color w:val="212121"/>
                <w:sz w:val="19"/>
              </w:rPr>
              <w:t>Hyposthenuria / isosthenuria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Impaired urine-concentrating ability (low first-morning specific gravity) — a frequent subclinical finding.</w:t>
            </w:r>
          </w:p>
        </w:tc>
      </w:tr>
      <w:tr>
        <w:trPr>
          <w:cantSplit/>
        </w:trPr>
        <w:tc>
          <w:tcPr>
            <w:tcW w:type="dxa" w:w="3456"/>
            <w:vAlign w:val="top"/>
          </w:tcPr>
          <w:p>
            <w:pPr>
              <w:spacing w:after="40" w:before="0" w:line="259" w:lineRule="auto"/>
            </w:pPr>
            <w:r>
              <w:rPr>
                <w:rFonts w:ascii="Calibri" w:hAnsi="Calibri"/>
                <w:b/>
                <w:i w:val="0"/>
                <w:color w:val="212121"/>
                <w:sz w:val="19"/>
              </w:rPr>
              <w:t>Microscopic or gross haematuria on dipstick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medullary ischaemia/papillary necrosis; unexplained painless haematuria warrants imaging.</w:t>
            </w:r>
          </w:p>
        </w:tc>
      </w:tr>
      <w:tr>
        <w:trPr>
          <w:cantSplit/>
        </w:trPr>
        <w:tc>
          <w:tcPr>
            <w:tcW w:type="dxa" w:w="3456"/>
            <w:vAlign w:val="top"/>
          </w:tcPr>
          <w:p>
            <w:pPr>
              <w:spacing w:after="40" w:before="0" w:line="259" w:lineRule="auto"/>
            </w:pPr>
            <w:r>
              <w:rPr>
                <w:rFonts w:ascii="Calibri" w:hAnsi="Calibri"/>
                <w:b/>
                <w:i w:val="0"/>
                <w:color w:val="212121"/>
                <w:sz w:val="19"/>
              </w:rPr>
              <w:t>Proteinuria / albuminuria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 early marker of sickle nephropathy in long-standing carriers.</w:t>
            </w:r>
          </w:p>
        </w:tc>
      </w:tr>
      <w:tr>
        <w:trPr>
          <w:cantSplit/>
        </w:trPr>
        <w:tc>
          <w:tcPr>
            <w:tcW w:type="dxa" w:w="3456"/>
            <w:vAlign w:val="top"/>
          </w:tcPr>
          <w:p>
            <w:pPr>
              <w:spacing w:after="40" w:before="0" w:line="259" w:lineRule="auto"/>
            </w:pPr>
            <w:r>
              <w:rPr>
                <w:rFonts w:ascii="Calibri" w:hAnsi="Calibri"/>
                <w:b/>
                <w:i w:val="0"/>
                <w:color w:val="212121"/>
                <w:sz w:val="19"/>
              </w:rPr>
              <w:t>Reduced eGFR on testing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Older carriers may show accelerated decline in renal function.</w:t>
            </w:r>
          </w:p>
        </w:tc>
      </w:tr>
      <w:tr>
        <w:trPr>
          <w:cantSplit/>
        </w:trPr>
        <w:tc>
          <w:tcPr>
            <w:tcW w:type="dxa" w:w="3456"/>
            <w:vAlign w:val="top"/>
          </w:tcPr>
          <w:p>
            <w:pPr>
              <w:spacing w:after="40" w:before="0" w:line="259" w:lineRule="auto"/>
            </w:pPr>
            <w:r>
              <w:rPr>
                <w:rFonts w:ascii="Calibri" w:hAnsi="Calibri"/>
                <w:b/>
                <w:i w:val="0"/>
                <w:color w:val="212121"/>
                <w:sz w:val="19"/>
              </w:rPr>
              <w:t>Splenic tenderness / splenomegaly after altitude exposure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Points to altitude-related splenic infarction.</w:t>
            </w:r>
          </w:p>
        </w:tc>
      </w:tr>
      <w:tr>
        <w:trPr>
          <w:cantSplit/>
        </w:trPr>
        <w:tc>
          <w:tcPr>
            <w:tcW w:type="dxa" w:w="3456"/>
            <w:vAlign w:val="top"/>
          </w:tcPr>
          <w:p>
            <w:pPr>
              <w:spacing w:after="40" w:before="0" w:line="259" w:lineRule="auto"/>
            </w:pPr>
            <w:r>
              <w:rPr>
                <w:rFonts w:ascii="Calibri" w:hAnsi="Calibri"/>
                <w:b/>
                <w:i w:val="0"/>
                <w:color w:val="212121"/>
                <w:sz w:val="19"/>
              </w:rPr>
              <w:t>Features of rhabdomyolysis (muscle swelling, tenderness, dark urine)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Post-exertional; associated with acute kidney injury if severe.</w:t>
            </w:r>
          </w:p>
        </w:tc>
      </w:tr>
      <w:tr>
        <w:trPr>
          <w:cantSplit/>
        </w:trPr>
        <w:tc>
          <w:tcPr>
            <w:tcW w:type="dxa" w:w="3456"/>
            <w:vAlign w:val="top"/>
          </w:tcPr>
          <w:p>
            <w:pPr>
              <w:spacing w:after="40" w:before="0" w:line="259" w:lineRule="auto"/>
            </w:pPr>
            <w:r>
              <w:rPr>
                <w:rFonts w:ascii="Calibri" w:hAnsi="Calibri"/>
                <w:b/>
                <w:i w:val="0"/>
                <w:color w:val="212121"/>
                <w:sz w:val="19"/>
              </w:rPr>
              <w:t>Hyphema / raised intra-ocular pressure after eye trauma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Sickling in the anterior chamber can impair drainage and cause secondary glaucoma after hyphema.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Painless haematuria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Hyposthenuria / isosthenuria (impaired urine concentration)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Renal papillary necrosis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Asymptomatic bacteriuria and urinary tract infection in pregnancy</w:t>
            </w:r>
          </w:p>
        </w:tc>
        <w:tc>
          <w:tcPr>
            <w:tcW w:type="dxa" w:w="2980"/>
            <w:vAlign w:val="top"/>
          </w:tcPr>
          <w:p>
            <w:pPr>
              <w:spacing w:after="40" w:before="0" w:line="259" w:lineRule="auto"/>
            </w:pPr>
            <w:r>
              <w:rPr>
                <w:rFonts w:ascii="Calibri" w:hAnsi="Calibri"/>
                <w:b w:val="0"/>
                <w:i w:val="0"/>
                <w:color w:val="212121"/>
                <w:sz w:val="19"/>
              </w:rPr>
              <w:t>Direct renal-medullary effects of intermittent sickling in the hypoxic, hypertonic, acidotic renal medulla — the most consistent target organ of the trait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with albuminuria and accelerated eGFR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Exertional rhabdomyolysis and exertional heat illness/collapse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Splenic infarction / sequestration at high altitude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particularly pulmonary 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Hyphema-related secondary glaucoma; occasional priapism</w:t>
            </w:r>
          </w:p>
        </w:tc>
        <w:tc>
          <w:tcPr>
            <w:tcW w:type="dxa" w:w="2980"/>
            <w:vAlign w:val="top"/>
          </w:tcPr>
          <w:p>
            <w:pPr>
              <w:spacing w:after="40" w:before="0" w:line="259" w:lineRule="auto"/>
            </w:pPr>
            <w:r>
              <w:rPr>
                <w:rFonts w:ascii="Calibri" w:hAnsi="Calibri"/>
                <w:b w:val="0"/>
                <w:i w:val="0"/>
                <w:color w:val="212121"/>
                <w:sz w:val="19"/>
              </w:rPr>
              <w:t>Uncommon events precipitated by extreme physiological stress (hypoxia, dehydration, extreme exertion, altitude) or by cumulative renal/vascular effects over time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Renal medullary carcinoma (rare but highly aggressive, typically in young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requiring dialysis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Exertional sudden death (rare, in unconditioned maximal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Birth of a child with sickle cell disease when both partners are carriers</w:t>
            </w:r>
          </w:p>
        </w:tc>
        <w:tc>
          <w:tcPr>
            <w:tcW w:type="dxa" w:w="2980"/>
            <w:vAlign w:val="top"/>
          </w:tcPr>
          <w:p>
            <w:pPr>
              <w:spacing w:after="40" w:before="0" w:line="259" w:lineRule="auto"/>
            </w:pPr>
            <w:r>
              <w:rPr>
                <w:rFonts w:ascii="Calibri" w:hAnsi="Calibri"/>
                <w:b w:val="0"/>
                <w:i w:val="0"/>
                <w:color w:val="212121"/>
                <w:sz w:val="19"/>
              </w:rPr>
              <w:t>Rare, severe or irreversible outcomes, including the major reproductive/genetic consequence that drives population screening and counselling</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Renal medullary 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rare, highly aggressive kidney cancer that occurs almost exclusively in people with sickle cell trait or disease, usually young; chronic medullary sickling and hypoxia are implicated.</w:t>
            </w:r>
          </w:p>
        </w:tc>
      </w:tr>
      <w:tr>
        <w:trPr>
          <w:cantSplit/>
        </w:trPr>
        <w:tc>
          <w:tcPr>
            <w:tcW w:type="dxa" w:w="2232"/>
            <w:vAlign w:val="top"/>
          </w:tcPr>
          <w:p>
            <w:pPr>
              <w:spacing w:after="40" w:before="0" w:line="259" w:lineRule="auto"/>
            </w:pPr>
            <w:r>
              <w:rPr>
                <w:rFonts w:ascii="Calibri" w:hAnsi="Calibri"/>
                <w:b/>
                <w:i w:val="0"/>
                <w:color w:val="212121"/>
                <w:sz w:val="19"/>
              </w:rPr>
              <w:t>Chronic kidney disease / sickle nephropathy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Carriers show albuminuria and accelerated eGFR decline (~0.254 mL/min/1.73m² per year), and the trait is a recognized independent CKD risk factor.</w:t>
            </w:r>
          </w:p>
        </w:tc>
      </w:tr>
      <w:tr>
        <w:trPr>
          <w:cantSplit/>
        </w:trPr>
        <w:tc>
          <w:tcPr>
            <w:tcW w:type="dxa" w:w="2232"/>
            <w:vAlign w:val="top"/>
          </w:tcPr>
          <w:p>
            <w:pPr>
              <w:spacing w:after="40" w:before="0" w:line="259" w:lineRule="auto"/>
            </w:pPr>
            <w:r>
              <w:rPr>
                <w:rFonts w:ascii="Calibri" w:hAnsi="Calibri"/>
                <w:b/>
                <w:i w:val="0"/>
                <w:color w:val="212121"/>
                <w:sz w:val="19"/>
              </w:rPr>
              <w:t>Renal papillary necrosis &amp; gross haematuria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Sickling in the vasa recta of the hypertonic, hypoxic medulla causes ischaemic papillary necrosis and painless haematuria — the commonest clinical manifestation.</w:t>
            </w:r>
          </w:p>
        </w:tc>
      </w:tr>
      <w:tr>
        <w:trPr>
          <w:cantSplit/>
        </w:trPr>
        <w:tc>
          <w:tcPr>
            <w:tcW w:type="dxa" w:w="2232"/>
            <w:vAlign w:val="top"/>
          </w:tcPr>
          <w:p>
            <w:pPr>
              <w:spacing w:after="40" w:before="0" w:line="259" w:lineRule="auto"/>
            </w:pPr>
            <w:r>
              <w:rPr>
                <w:rFonts w:ascii="Calibri" w:hAnsi="Calibri"/>
                <w:b/>
                <w:i w:val="0"/>
                <w:color w:val="212121"/>
                <w:sz w:val="19"/>
              </w:rPr>
              <w:t>Venous thromboembolism / pulmonary embolism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trait is associated with a higher risk of venous thromboembolism, with pulmonary embolism affected more than deep-vein thrombosis.</w:t>
            </w:r>
          </w:p>
        </w:tc>
      </w:tr>
      <w:tr>
        <w:trPr>
          <w:cantSplit/>
        </w:trPr>
        <w:tc>
          <w:tcPr>
            <w:tcW w:type="dxa" w:w="2232"/>
            <w:vAlign w:val="top"/>
          </w:tcPr>
          <w:p>
            <w:pPr>
              <w:spacing w:after="40" w:before="0" w:line="259" w:lineRule="auto"/>
            </w:pPr>
            <w:r>
              <w:rPr>
                <w:rFonts w:ascii="Calibri" w:hAnsi="Calibri"/>
                <w:b/>
                <w:i w:val="0"/>
                <w:color w:val="212121"/>
                <w:sz w:val="19"/>
              </w:rPr>
              <w:t>Exertional rhabdomyolysis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Extreme or unconditioned exertion can trigger muscle breakdown; a large US Army cohort found about a 54% higher rate in carriers.</w:t>
            </w:r>
          </w:p>
          <w:p>
            <w:pPr>
              <w:spacing w:after="40" w:before="0" w:line="259" w:lineRule="auto"/>
            </w:pPr>
            <w:r>
              <w:rPr>
                <w:rFonts w:ascii="Calibri" w:hAnsi="Calibri"/>
                <w:b/>
                <w:i w:val="0"/>
                <w:color w:val="212121"/>
                <w:sz w:val="19"/>
              </w:rPr>
              <w:t>~54% higher rate</w:t>
            </w:r>
          </w:p>
        </w:tc>
      </w:tr>
      <w:tr>
        <w:trPr>
          <w:cantSplit/>
        </w:trPr>
        <w:tc>
          <w:tcPr>
            <w:tcW w:type="dxa" w:w="2232"/>
            <w:vAlign w:val="top"/>
          </w:tcPr>
          <w:p>
            <w:pPr>
              <w:spacing w:after="40" w:before="0" w:line="259" w:lineRule="auto"/>
            </w:pPr>
            <w:r>
              <w:rPr>
                <w:rFonts w:ascii="Calibri" w:hAnsi="Calibri"/>
                <w:b/>
                <w:i w:val="0"/>
                <w:color w:val="212121"/>
                <w:sz w:val="19"/>
              </w:rPr>
              <w:t>Sickle cell disease in offspring</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When both partners carry the trait, each pregnancy has a 25% chance of a child with sickle cell disease — the central reason for premarital and antenatal screening.</w:t>
            </w:r>
          </w:p>
          <w:p>
            <w:pPr>
              <w:spacing w:after="40" w:before="0" w:line="259" w:lineRule="auto"/>
            </w:pPr>
            <w:r>
              <w:rPr>
                <w:rFonts w:ascii="Calibri" w:hAnsi="Calibri"/>
                <w:b/>
                <w:i w:val="0"/>
                <w:color w:val="212121"/>
                <w:sz w:val="19"/>
              </w:rPr>
              <w:t>25% per pregnancy (both carriers)</w:t>
            </w:r>
          </w:p>
        </w:tc>
      </w:tr>
      <w:tr>
        <w:trPr>
          <w:cantSplit/>
        </w:trPr>
        <w:tc>
          <w:tcPr>
            <w:tcW w:type="dxa" w:w="2232"/>
            <w:vAlign w:val="top"/>
          </w:tcPr>
          <w:p>
            <w:pPr>
              <w:spacing w:after="40" w:before="0" w:line="259" w:lineRule="auto"/>
            </w:pPr>
            <w:r>
              <w:rPr>
                <w:rFonts w:ascii="Calibri" w:hAnsi="Calibri"/>
                <w:b/>
                <w:i w:val="0"/>
                <w:color w:val="212121"/>
                <w:sz w:val="19"/>
              </w:rPr>
              <w:t>Pregnancy complications (bacteriuria, UTI, VTE)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Pregnant carriers have more asymptomatic bacteriuria, UTI and venous thromboembolism, requiring trimester urine cultures and vigilance.</w:t>
            </w:r>
          </w:p>
        </w:tc>
      </w:tr>
      <w:tr>
        <w:trPr>
          <w:cantSplit/>
        </w:trPr>
        <w:tc>
          <w:tcPr>
            <w:tcW w:type="dxa" w:w="2232"/>
            <w:vAlign w:val="top"/>
          </w:tcPr>
          <w:p>
            <w:pPr>
              <w:spacing w:after="40" w:before="0" w:line="259" w:lineRule="auto"/>
            </w:pPr>
            <w:r>
              <w:rPr>
                <w:rFonts w:ascii="Calibri" w:hAnsi="Calibri"/>
                <w:b/>
                <w:i w:val="0"/>
                <w:color w:val="212121"/>
                <w:sz w:val="19"/>
              </w:rPr>
              <w:t>Beta-thalassaemia (compound HbS/β-thalassaemia)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Co-inheritance of HbS with β-thalassaemia produces true sickling disease, not benign trait; a low MCV in an AS report must be investigated.</w:t>
            </w:r>
          </w:p>
        </w:tc>
      </w:tr>
      <w:tr>
        <w:trPr>
          <w:cantSplit/>
        </w:trPr>
        <w:tc>
          <w:tcPr>
            <w:tcW w:type="dxa" w:w="2232"/>
            <w:vAlign w:val="top"/>
          </w:tcPr>
          <w:p>
            <w:pPr>
              <w:spacing w:after="40" w:before="0" w:line="259" w:lineRule="auto"/>
            </w:pPr>
            <w:r>
              <w:rPr>
                <w:rFonts w:ascii="Calibri" w:hAnsi="Calibri"/>
                <w:b/>
                <w:i w:val="0"/>
                <w:color w:val="212121"/>
                <w:sz w:val="19"/>
              </w:rPr>
              <w:t>G6PD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co-inherited in the same tribal populations and can compound oxidative/haemolytic stress, complicating the clinical picture.</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Indian tribal diets and coexists with the trait, altering red-cell indices; anaemia is not caused by the trait itself and needs separate evaluation.</w:t>
            </w:r>
          </w:p>
        </w:tc>
      </w:tr>
      <w:tr>
        <w:trPr>
          <w:cantSplit/>
        </w:trPr>
        <w:tc>
          <w:tcPr>
            <w:tcW w:type="dxa" w:w="2232"/>
            <w:vAlign w:val="top"/>
          </w:tcPr>
          <w:p>
            <w:pPr>
              <w:spacing w:after="40" w:before="0" w:line="259" w:lineRule="auto"/>
            </w:pPr>
            <w:r>
              <w:rPr>
                <w:rFonts w:ascii="Calibri" w:hAnsi="Calibri"/>
                <w:b/>
                <w:i w:val="0"/>
                <w:color w:val="212121"/>
                <w:sz w:val="19"/>
              </w:rPr>
              <w:t>Diabetes mellitus (HbA1c monitoring)</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HbS can interfere with certain HbA1c assay methods, potentially giving misleading glycaemic results in diabetic carriers.</w:t>
            </w:r>
          </w:p>
        </w:tc>
      </w:tr>
      <w:tr>
        <w:trPr>
          <w:cantSplit/>
        </w:trPr>
        <w:tc>
          <w:tcPr>
            <w:tcW w:type="dxa" w:w="2232"/>
            <w:vAlign w:val="top"/>
          </w:tcPr>
          <w:p>
            <w:pPr>
              <w:spacing w:after="40" w:before="0" w:line="259" w:lineRule="auto"/>
            </w:pPr>
            <w:r>
              <w:rPr>
                <w:rFonts w:ascii="Calibri" w:hAnsi="Calibri"/>
                <w:b/>
                <w:i w:val="0"/>
                <w:color w:val="212121"/>
                <w:sz w:val="19"/>
              </w:rPr>
              <w:t>Falciparum malaria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trait confers partial protection against severe Plasmodium falciparum malaria — the heterozygote advantage that explains its high frequency in endemic India.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sickle cell trait is a carrier state, not a disease, and can never turn into sickle cell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premarital and antenatal screening in endemic districts, and have the partner tested when planning a family.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reproductive risk: two carriers have a 25% chance of a child with sickle cell disease in each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Carry a sickle-status card and inform doctors, anaesthetists, and employers in aviation, diving or the armed forces.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red-flag situations (painless haematuria, exertional collapse, severe LUQ pain after altitude) and seek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during exercise, heat, travel, fasting and illness because dehydration is a key trigger.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identified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planning marriage/pregnancy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Tribal &amp; sickle-belt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recruits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 the trait is compatible with normal and competitive sport — but build up conditioning gradually.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Acclimatize to heat and altitude before intense exertion and take regular rest and fluid 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sudden all-out, unconditioned exertion, especially in hot, humid conditions or when unwell.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immediately and rehydrate if cramps, undue fatigue, or muscle pain develop during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athlete/recruit acclimatization protocols and ensure event medical cover for endurance activities.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Military &amp; police recruits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Endurance/adventure participants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an exertional event, rest, rehydrate and seek evaluation for rhabdomyolysis and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Reintroduce activity gradually under supervision once recovered, with attention to hydration and heat.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return-to-play programmes and avoid maximal testing during acute illness or dehydration.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Carriers after exertional rhabdomyolysis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returning to sport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generous fluid intake (about 2.5–3.5 L/day, more with heat or exercise) because of the renal concentrating defect.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iron- and folate-adequate balanced diet to prevent coexisting nutritional anaemia that can confuse the picture.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fasting or dehydration during festivals, travel and hot weather; pre-hydrate before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self-diagnose anaemia to the trait — have any anaemia investigated for a separate cause.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Tribal populations with nutritional anaemia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adequate rest and avoid exhaustion before strenuous physical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snoring or suspected obstructive sleep apnoea evaluated, since nocturnal hypoxia is best avoided.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Carriers with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before competition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and second-hand smoke, which cause relative hypoxia and add vascular and thrombotic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tobacco-cessation support; avoid smoking especially before exertion or air travel.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Carriers with renal or vascular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always hydrate, since alcohol-related diuresis promotes dehydration and sickling.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particularly around exertion, heat exposure or high-altitude travel.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Carriers travelling to altitude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non-judgemental counselling to relieve anxiety and stigma around carrier status.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reproductive decision support to carrier couples, including prenatal-diagnosis options.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that the trait is benign and compatible with a normal life, while explaining the reproductive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family and community support in tribal populations to reduce misconceptions and stigma.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 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in screening programmes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ckle.nhm.gov.in/home/about" TargetMode="External"/><Relationship Id="rId10" Type="http://schemas.openxmlformats.org/officeDocument/2006/relationships/hyperlink" Target="https://www.hematology.org/education/patients/anemia/sickle-cell-trait" TargetMode="External"/><Relationship Id="rId11" Type="http://schemas.openxmlformats.org/officeDocument/2006/relationships/hyperlink" Target="https://www.ncbi.nlm.nih.gov/books/NBK537130/" TargetMode="External"/><Relationship Id="rId12" Type="http://schemas.openxmlformats.org/officeDocument/2006/relationships/hyperlink" Target="https://ijmr.org.in/sickle-cell-disease-in-tribal-populations-in-india/" TargetMode="External"/><Relationship Id="rId13" Type="http://schemas.openxmlformats.org/officeDocument/2006/relationships/hyperlink" Target="https://www.outlookindia.com/healthcare-spotlight/national-sickle-cell-anemia-elimination-mission-over-1885-lakh-identified-highlighting-urgent-health-challenge" TargetMode="External"/><Relationship Id="rId14" Type="http://schemas.openxmlformats.org/officeDocument/2006/relationships/hyperlink" Target="https://www.nejm.org/doi/full/10.1056/NEJMoa1516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