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Leptospirosis</w:t>
      </w:r>
    </w:p>
    <w:p>
      <w:pPr>
        <w:spacing w:before="0" w:after="160"/>
      </w:pPr>
      <w:r>
        <w:rPr>
          <w:rFonts w:ascii="Calibri" w:hAnsi="Calibri"/>
          <w:b/>
          <w:i w:val="0"/>
          <w:color w:val="212121"/>
          <w:sz w:val="22"/>
        </w:rPr>
        <w:t xml:space="preserve">AKA </w:t>
      </w:r>
      <w:r>
        <w:rPr>
          <w:rFonts w:ascii="Calibri" w:hAnsi="Calibri"/>
          <w:b w:val="0"/>
          <w:i w:val="0"/>
          <w:color w:val="212121"/>
          <w:sz w:val="22"/>
        </w:rPr>
        <w:t>i.e., Weil's disease, Weil's syndrome, Icterohaemorrhagic fever, Rat-catcher's yellows, Mud fever, Rice-field fever, Cane-cutter's fever, Swamp fever, Field fever, Seven-day fever</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Leptospirosis is a zoonotic bacterial infection caused by pathogenic spirochaetes of the genus Leptospira (e.g., Leptospira interrogans), transmitted to humans through direct or indirect contact with the urine of infected animals—chiefly rodents—or with water, mud or soil contaminated by it. The organism enters through cuts, abraded or water-softened skin and mucous membranes (conjunctiva, mouth, nose). Clinical illness ranges from a self-limiting, flu-like biphasic febrile illness to severe, potentially fatal multi-organ disease (Weil's disease) with jaundice, acute kidney injury and haemorrhage. In India it is strongly monsoon-associated and is a leading treatable cause of acute undifferentiated febrile illness.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Leptospirosis is endemic across India, with a pooled human seroprevalence of about 9.5% that rises sharply during and after the monsoon. It is hyperendemic in Kerala, Tamil Nadu, Gujarat, Maharashtra, Andhra Pradesh, Karnataka, Odisha and the Andaman &amp; Nicobar Islands; seropositivity among febrile patients is roughly 25% in southern India and exceeds 45–60% in the worst-affected districts. Kerala alone recorded over 21,000 cases between 2005 and 2021. Globally an estimated 1.03 million cases and about 58,900 deaths occur each year, with tropical countries such as India carrying the greatest share of the burden.</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Leptospirosis is diagnosed by combining a compatible clinical illness and exposure history with laboratory confirmation; because early symptoms are non-specific, a high index of suspicion during the monsoon is essential. Confirmation rests on one or more of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Microscopic agglutination test (MAT) — the reference (gold-standard) serological test: a single titre ≥ 1:400 in a patient with compatible illness, OR a four-fold or greater rise / seroconversion (to ≥ 1:100) between paired acute and convalescent sera;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IgM ELISA positive — antibodies become detectable from about day 3–5 of illness; sensitivity ≈ 86% makes it the preferred test for early laboratory diagnosis;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Positive rapid IgM immunochromatographic/lateral-flow test (e.g., Leptocheck-WB) — for bedside screening in resource-limited and field settings;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Detection of Leptospira DNA by PCR — from blood or CSF in the first ≈ 5–7 days of illness, or from urine after about day 7;</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Isolation of Leptospira by culture (blood, urine or CSF in EMJH medium) — definitive but slow (weeks) and low-yield, so mainly of reference/epidemiological value;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Supportive clinical criteria — acute fever with severe myalgia (especially calf), conjunctival suffusion, jaundice and/or acute kidney injury following occupational or floodwater exposure.</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Leptospirosis is classified by clinical severity, by the phase of illness and by the infecting serogroup/serovar:</w:t>
      </w:r>
    </w:p>
    <w:p>
      <w:pPr>
        <w:spacing w:before="0" w:after="80"/>
      </w:pPr>
      <w:r>
        <w:rPr>
          <w:rFonts w:ascii="Calibri" w:hAnsi="Calibri"/>
          <w:b w:val="0"/>
          <w:i w:val="0"/>
          <w:color w:val="212121"/>
          <w:sz w:val="21"/>
        </w:rPr>
        <w:t>(1) Anicteric leptospirosis — the mild, self-limiting form accounting for roughly 90% of symptomatic cases, presenting as a biphasic febrile illness without jaundice and usually recovering fully;</w:t>
      </w:r>
    </w:p>
    <w:p>
      <w:pPr>
        <w:spacing w:before="0" w:after="80"/>
      </w:pPr>
      <w:r>
        <w:rPr>
          <w:rFonts w:ascii="Calibri" w:hAnsi="Calibri"/>
          <w:b w:val="0"/>
          <w:i w:val="0"/>
          <w:color w:val="212121"/>
          <w:sz w:val="21"/>
        </w:rPr>
        <w:t>(2) Icteric leptospirosis (Weil's disease) — the severe form (about 5–10% of cases) defined by the triad of jaundice, acute kidney injury and haemorrhage, often with multi-organ dysfunction; case-fatality is 5–15% and can exceed 50% in the most severe presentations, with higher mortality in those over 60 years;</w:t>
      </w:r>
    </w:p>
    <w:p>
      <w:pPr>
        <w:spacing w:before="0" w:after="80"/>
      </w:pPr>
      <w:r>
        <w:rPr>
          <w:rFonts w:ascii="Calibri" w:hAnsi="Calibri"/>
          <w:b w:val="0"/>
          <w:i w:val="0"/>
          <w:color w:val="212121"/>
          <w:sz w:val="21"/>
        </w:rPr>
        <w:t>(3) Clinical phases — the illness is classically biphasic: a leptospiraemic (septicaemic) phase over days 1–9 with abrupt fever, myalgia and organisms detectable in blood/CSF, followed after a brief defervescence by an immune phase (from ≈ day 6–12) driven by antibody, in which aseptic meningitis, uveitis and end-organ damage may appear;</w:t>
      </w:r>
    </w:p>
    <w:p>
      <w:pPr>
        <w:spacing w:before="0" w:after="80"/>
      </w:pPr>
      <w:r>
        <w:rPr>
          <w:rFonts w:ascii="Calibri" w:hAnsi="Calibri"/>
          <w:b w:val="0"/>
          <w:i w:val="0"/>
          <w:color w:val="212121"/>
          <w:sz w:val="21"/>
        </w:rPr>
        <w:t>(4) Severe organ-specific syndromes — severe pulmonary haemorrhage syndrome (SPHS) with ARDS (mortality up to 60%), leptospiral acute kidney injury (characteristically non-oliguric and hypokalaemic), myocarditis and haemorrhagic diathesis;</w:t>
      </w:r>
    </w:p>
    <w:p>
      <w:pPr>
        <w:spacing w:before="0" w:after="80"/>
      </w:pPr>
      <w:r>
        <w:rPr>
          <w:rFonts w:ascii="Calibri" w:hAnsi="Calibri"/>
          <w:b w:val="0"/>
          <w:i w:val="0"/>
          <w:color w:val="212121"/>
          <w:sz w:val="21"/>
        </w:rPr>
        <w:t>(5) Serogroup/serovar classification — more than 250 pathogenic serovars in over 24 serogroups; serogroup Icterohaemorrhagiae (rat-borne) is most associated with severe disease, while others (Canicola, Grippotyphosa, Australis, Autumnalis, Pomona, Hardjo) reflect the local animal reservoir.</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Causative organism: pathogenic Leptospira species (notably L. interrogans) — thin, motile, tightly coiled spirochaetes with characteristic hooked ends that invade through skin and mucosa.</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Animal reservoirs: rodents (especially rats) are the principal maintenance hosts; cattle, buffalo, dogs, pigs and goats are secondary reservoirs that shed leptospires in their urine.</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Route of entry: penetration through cuts, abrasions, water-macerated skin or mucous membranes (conjunctiva, nasopharynx) on contact with contaminated water, wet soil, mud or animal urine.</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Environmental amplification: monsoon rainfall, flooding, waterlogging and warm ambient temperatures let leptospires survive for weeks to months in surface water and moist soil.</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Occupational and behavioural exposure: paddy/agricultural work, sewage and sanitation work, animal husbandry, abattoir work, barefoot walking and wading through floodwater.</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Host susceptibility to severe disease: age over 40, diabetes mellitus, alcoholic/chronic liver disease and chronic kidney disease predispose to icteric disease and death.</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High infecting dose and virulent serovar: large inoculum and serogroup Icterohaemorrhagiae are associated with more severe, life-threatening illness.</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Working-age adults (20–40 years)</w:t>
            </w:r>
          </w:p>
        </w:tc>
        <w:tc>
          <w:tcPr>
            <w:tcW w:type="dxa" w:w="4276"/>
            <w:vAlign w:val="top"/>
          </w:tcPr>
          <w:p>
            <w:pPr>
              <w:spacing w:after="60" w:line="259" w:lineRule="auto"/>
            </w:pPr>
            <w:r>
              <w:rPr>
                <w:rFonts w:ascii="Calibri" w:hAnsi="Calibri"/>
                <w:b w:val="0"/>
                <w:i w:val="0"/>
                <w:color w:val="212121"/>
                <w:sz w:val="19"/>
              </w:rPr>
              <w:t>Peak incidence is in economically active adults because occupational and recreational contact with contaminated water, mud and animals is greatest in this group. Leptospires penetrate skin and mucosa during such exposure to cause bacteraemia.</w:t>
            </w:r>
          </w:p>
          <w:p>
            <w:pPr>
              <w:spacing w:after="40" w:before="60" w:line="259" w:lineRule="auto"/>
            </w:pPr>
            <w:r>
              <w:rPr>
                <w:rFonts w:ascii="Calibri" w:hAnsi="Calibri"/>
                <w:b w:val="0"/>
                <w:i w:val="0"/>
                <w:color w:val="212121"/>
                <w:sz w:val="19"/>
              </w:rPr>
              <w:t>In a Tamil Nadu series 40.2% of cases occurred in the 20–40-year group (mean age ≈ 35 years), the occupationally active population.</w:t>
            </w:r>
          </w:p>
          <w:p>
            <w:pPr>
              <w:spacing w:after="40" w:line="252" w:lineRule="auto"/>
            </w:pPr>
            <w:hyperlink r:id="rId9">
              <w:r>
                <w:rPr>
                  <w:rFonts w:ascii="Calibri" w:hAnsi="Calibri" w:cs="Calibri"/>
                  <w:sz w:val="18"/>
                  <w:color w:val="1155CC"/>
                  <w:u w:val="single"/>
                </w:rPr>
                <w:t xml:space="preserve">tnjphmr.com — epidemiological profile of leptospirosis (Tamil Nadu)</w:t>
              </w:r>
            </w:hyperlink>
          </w:p>
          <w:p>
            <w:pPr>
              <w:spacing w:before="60" w:after="40"/>
            </w:pPr>
            <w:r>
              <w:rPr>
                <w:rFonts w:ascii="Calibri" w:hAnsi="Calibri"/>
                <w:b w:val="0"/>
                <w:i w:val="0"/>
                <w:color w:val="5A5A5A"/>
                <w:sz w:val="18"/>
              </w:rPr>
              <w:t>#leptospirosis  #workingage  #occupational  #monsoon  #zoonosis</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(&gt; 60 years)</w:t>
            </w:r>
          </w:p>
        </w:tc>
        <w:tc>
          <w:tcPr>
            <w:tcW w:type="dxa" w:w="4276"/>
            <w:vAlign w:val="top"/>
          </w:tcPr>
          <w:p>
            <w:pPr>
              <w:spacing w:after="60" w:line="259" w:lineRule="auto"/>
            </w:pPr>
            <w:r>
              <w:rPr>
                <w:rFonts w:ascii="Calibri" w:hAnsi="Calibri"/>
                <w:b w:val="0"/>
                <w:i w:val="0"/>
                <w:color w:val="212121"/>
                <w:sz w:val="19"/>
              </w:rPr>
              <w:t>Older adults tolerate severe leptospirosis poorly because of reduced renal and cardiopulmonary reserve and frequent comorbidities, so they progress to icteric Weil's disease and multi-organ failure more often.</w:t>
            </w:r>
          </w:p>
          <w:p>
            <w:pPr>
              <w:spacing w:after="40" w:before="60" w:line="259" w:lineRule="auto"/>
            </w:pPr>
            <w:r>
              <w:rPr>
                <w:rFonts w:ascii="Calibri" w:hAnsi="Calibri"/>
                <w:b w:val="0"/>
                <w:i w:val="0"/>
                <w:color w:val="212121"/>
                <w:sz w:val="19"/>
              </w:rPr>
              <w:t>Icteric leptospirosis carries a case-fatality of 5–15%, exceeding 50% in the most severe cases, with the highest mortality in patients over 60 years.</w:t>
            </w:r>
          </w:p>
          <w:p>
            <w:pPr>
              <w:spacing w:after="40" w:line="252" w:lineRule="auto"/>
            </w:pPr>
            <w:hyperlink r:id="rId10">
              <w:r>
                <w:rPr>
                  <w:rFonts w:ascii="Calibri" w:hAnsi="Calibri" w:cs="Calibri"/>
                  <w:sz w:val="18"/>
                  <w:color w:val="1155CC"/>
                  <w:u w:val="single"/>
                </w:rPr>
                <w:t xml:space="preserve">msdmanuals.com — leptospirosis (professional)</w:t>
              </w:r>
            </w:hyperlink>
          </w:p>
          <w:p>
            <w:pPr>
              <w:spacing w:before="60" w:after="40"/>
            </w:pPr>
            <w:r>
              <w:rPr>
                <w:rFonts w:ascii="Calibri" w:hAnsi="Calibri"/>
                <w:b w:val="0"/>
                <w:i w:val="0"/>
                <w:color w:val="5A5A5A"/>
                <w:sz w:val="18"/>
              </w:rPr>
              <w:t>#elderly  #Weilsdisease  #severe  #mortality  #comorbidity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Men predominate in most Indian series because they do the bulk of paddy farming, sewage, abattoir and animal-handling work that involves contact with contaminated water and urine.</w:t>
            </w:r>
          </w:p>
          <w:p>
            <w:pPr>
              <w:spacing w:after="40" w:before="60" w:line="259" w:lineRule="auto"/>
            </w:pPr>
            <w:r>
              <w:rPr>
                <w:rFonts w:ascii="Calibri" w:hAnsi="Calibri"/>
                <w:b w:val="0"/>
                <w:i w:val="0"/>
                <w:color w:val="212121"/>
                <w:sz w:val="19"/>
              </w:rPr>
              <w:t>In a Gujarat occupational cohort about 85% of those screened (104/123) were male, reflecting the male-dominated high-risk workforce.</w:t>
            </w:r>
          </w:p>
          <w:p>
            <w:pPr>
              <w:spacing w:after="40" w:line="252" w:lineRule="auto"/>
            </w:pPr>
            <w:hyperlink r:id="rId11">
              <w:r>
                <w:rPr>
                  <w:rFonts w:ascii="Calibri" w:hAnsi="Calibri" w:cs="Calibri"/>
                  <w:sz w:val="18"/>
                  <w:color w:val="1155CC"/>
                  <w:u w:val="single"/>
                </w:rPr>
                <w:t xml:space="preserve">pubmed.ncbi.nlm.nih.gov/39114107</w:t>
              </w:r>
            </w:hyperlink>
          </w:p>
          <w:p>
            <w:pPr>
              <w:spacing w:before="60" w:after="40"/>
            </w:pPr>
            <w:r>
              <w:rPr>
                <w:rFonts w:ascii="Calibri" w:hAnsi="Calibri"/>
                <w:b w:val="0"/>
                <w:i w:val="0"/>
                <w:color w:val="5A5A5A"/>
                <w:sz w:val="18"/>
              </w:rPr>
              <w:t>#male  #occupationalrisk  #fieldwork  #animalhandling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Urban slum dwellers and low-income households</w:t>
            </w:r>
          </w:p>
        </w:tc>
        <w:tc>
          <w:tcPr>
            <w:tcW w:type="dxa" w:w="4276"/>
            <w:vAlign w:val="top"/>
          </w:tcPr>
          <w:p>
            <w:pPr>
              <w:spacing w:after="60" w:line="259" w:lineRule="auto"/>
            </w:pPr>
            <w:r>
              <w:rPr>
                <w:rFonts w:ascii="Calibri" w:hAnsi="Calibri"/>
                <w:b w:val="0"/>
                <w:i w:val="0"/>
                <w:color w:val="212121"/>
                <w:sz w:val="19"/>
              </w:rPr>
              <w:t>Overcrowding, open drains, poor solid-waste management and rodent infestation in low-income and slum settlements create intense environmental contamination, and monsoon waterlogging repeatedly exposes residents to leptospires.</w:t>
            </w:r>
          </w:p>
          <w:p>
            <w:pPr>
              <w:spacing w:after="40" w:before="60" w:line="259" w:lineRule="auto"/>
            </w:pPr>
            <w:r>
              <w:rPr>
                <w:rFonts w:ascii="Calibri" w:hAnsi="Calibri"/>
                <w:b w:val="0"/>
                <w:i w:val="0"/>
                <w:color w:val="212121"/>
                <w:sz w:val="19"/>
              </w:rPr>
              <w:t>Rodents are the principal reservoir and Icterohaemorrhagiae the dominant rat-borne serovar; peri-domestic rodent contact is a key driver of urban transmission.</w:t>
            </w:r>
          </w:p>
          <w:p>
            <w:pPr>
              <w:spacing w:after="40" w:line="252" w:lineRule="auto"/>
            </w:pPr>
            <w:hyperlink r:id="rId12">
              <w:r>
                <w:rPr>
                  <w:rFonts w:ascii="Calibri" w:hAnsi="Calibri" w:cs="Calibri"/>
                  <w:sz w:val="18"/>
                  <w:color w:val="1155CC"/>
                  <w:u w:val="single"/>
                </w:rPr>
                <w:t xml:space="preserve">microbiologyjournal.org — epidemiological status of leptospirosis in India</w:t>
              </w:r>
            </w:hyperlink>
          </w:p>
          <w:p>
            <w:pPr>
              <w:spacing w:before="60" w:after="40"/>
            </w:pPr>
            <w:r>
              <w:rPr>
                <w:rFonts w:ascii="Calibri" w:hAnsi="Calibri"/>
                <w:b w:val="0"/>
                <w:i w:val="0"/>
                <w:color w:val="5A5A5A"/>
                <w:sz w:val="18"/>
              </w:rPr>
              <w:t>#slum  #rodents  #sanitation  #urbanflooding  #poverty</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Ethnicity/region</w:t>
            </w:r>
          </w:p>
        </w:tc>
        <w:tc>
          <w:tcPr>
            <w:tcW w:type="dxa" w:w="2160"/>
            <w:vAlign w:val="top"/>
          </w:tcPr>
          <w:p>
            <w:pPr>
              <w:spacing w:after="40" w:before="0" w:line="259" w:lineRule="auto"/>
            </w:pPr>
            <w:r>
              <w:rPr>
                <w:rFonts w:ascii="Calibri" w:hAnsi="Calibri"/>
                <w:b w:val="0"/>
                <w:i w:val="0"/>
                <w:color w:val="212121"/>
                <w:sz w:val="19"/>
              </w:rPr>
              <w:t>Coastal &amp; southern India (Kerala, Tamil Nadu, coastal Karnataka, Andhra)</w:t>
            </w:r>
          </w:p>
        </w:tc>
        <w:tc>
          <w:tcPr>
            <w:tcW w:type="dxa" w:w="4276"/>
            <w:vAlign w:val="top"/>
          </w:tcPr>
          <w:p>
            <w:pPr>
              <w:spacing w:after="60" w:line="259" w:lineRule="auto"/>
            </w:pPr>
            <w:r>
              <w:rPr>
                <w:rFonts w:ascii="Calibri" w:hAnsi="Calibri"/>
                <w:b w:val="0"/>
                <w:i w:val="0"/>
                <w:color w:val="212121"/>
                <w:sz w:val="19"/>
              </w:rPr>
              <w:t>High rainfall, humid climate, extensive paddy cultivation and repeated flooding in coastal and southern states sustain year-round transmission that surges with the monsoon.</w:t>
            </w:r>
          </w:p>
          <w:p>
            <w:pPr>
              <w:spacing w:after="40" w:before="60" w:line="259" w:lineRule="auto"/>
            </w:pPr>
            <w:r>
              <w:rPr>
                <w:rFonts w:ascii="Calibri" w:hAnsi="Calibri"/>
                <w:b w:val="0"/>
                <w:i w:val="0"/>
                <w:color w:val="212121"/>
                <w:sz w:val="19"/>
              </w:rPr>
              <w:t>Seropositivity among febrile patients is about 25.6% in southern India—the highest of any Indian region—reflecting intense monsoon-linked transmission.</w:t>
            </w:r>
          </w:p>
          <w:p>
            <w:pPr>
              <w:spacing w:after="40" w:line="252" w:lineRule="auto"/>
            </w:pPr>
            <w:hyperlink r:id="rId13">
              <w:r>
                <w:rPr>
                  <w:rFonts w:ascii="Calibri" w:hAnsi="Calibri" w:cs="Calibri"/>
                  <w:sz w:val="18"/>
                  <w:color w:val="1155CC"/>
                  <w:u w:val="single"/>
                </w:rPr>
                <w:t xml:space="preserve">nature.com — modeling the dynamics of leptospirosis in India</w:t>
              </w:r>
            </w:hyperlink>
          </w:p>
          <w:p>
            <w:pPr>
              <w:spacing w:before="60" w:after="40"/>
            </w:pPr>
            <w:r>
              <w:rPr>
                <w:rFonts w:ascii="Calibri" w:hAnsi="Calibri"/>
                <w:b w:val="0"/>
                <w:i w:val="0"/>
                <w:color w:val="5A5A5A"/>
                <w:sz w:val="18"/>
              </w:rPr>
              <w:t>#Kerala  #TamilNadu  #coastal  #paddyfields  #endemic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Flood-prone terrain</w:t>
            </w:r>
          </w:p>
        </w:tc>
        <w:tc>
          <w:tcPr>
            <w:tcW w:type="dxa" w:w="2160"/>
            <w:vAlign w:val="top"/>
          </w:tcPr>
          <w:p>
            <w:pPr>
              <w:spacing w:after="40" w:before="0" w:line="259" w:lineRule="auto"/>
            </w:pPr>
            <w:r>
              <w:rPr>
                <w:rFonts w:ascii="Calibri" w:hAnsi="Calibri"/>
                <w:b w:val="0"/>
                <w:i w:val="0"/>
                <w:color w:val="212121"/>
                <w:sz w:val="19"/>
              </w:rPr>
              <w:t>Residents of flood-prone / waterlogged districts and the Andaman &amp; Nicobar Islands</w:t>
            </w:r>
          </w:p>
        </w:tc>
        <w:tc>
          <w:tcPr>
            <w:tcW w:type="dxa" w:w="4276"/>
            <w:vAlign w:val="top"/>
          </w:tcPr>
          <w:p>
            <w:pPr>
              <w:spacing w:after="60" w:line="259" w:lineRule="auto"/>
            </w:pPr>
            <w:r>
              <w:rPr>
                <w:rFonts w:ascii="Calibri" w:hAnsi="Calibri"/>
                <w:b w:val="0"/>
                <w:i w:val="0"/>
                <w:color w:val="212121"/>
                <w:sz w:val="19"/>
              </w:rPr>
              <w:t>Flooding disperses animal urine across large areas of standing water and mud, producing explosive post-flood outbreaks; the Andaman &amp; Nicobar Islands are historically the most hyperendemic region in India.</w:t>
            </w:r>
          </w:p>
          <w:p>
            <w:pPr>
              <w:spacing w:after="40" w:before="60" w:line="259" w:lineRule="auto"/>
            </w:pPr>
            <w:r>
              <w:rPr>
                <w:rFonts w:ascii="Calibri" w:hAnsi="Calibri"/>
                <w:b w:val="0"/>
                <w:i w:val="0"/>
                <w:color w:val="212121"/>
                <w:sz w:val="19"/>
              </w:rPr>
              <w:t>After the 2018 Kerala floods leptospirosis outbreaks caused about 70 deaths; the Andaman &amp; Nicobar Islands recorded 544 cases with 93 deaths in 2000–2004.</w:t>
            </w:r>
          </w:p>
          <w:p>
            <w:pPr>
              <w:spacing w:after="40" w:line="252" w:lineRule="auto"/>
            </w:pPr>
            <w:hyperlink r:id="rId12">
              <w:r>
                <w:rPr>
                  <w:rFonts w:ascii="Calibri" w:hAnsi="Calibri" w:cs="Calibri"/>
                  <w:sz w:val="18"/>
                  <w:color w:val="1155CC"/>
                  <w:u w:val="single"/>
                </w:rPr>
                <w:t xml:space="preserve">microbiologyjournal.org — epidemiological status of leptospirosis in India</w:t>
              </w:r>
            </w:hyperlink>
          </w:p>
          <w:p>
            <w:pPr>
              <w:spacing w:before="60" w:after="40"/>
            </w:pPr>
            <w:r>
              <w:rPr>
                <w:rFonts w:ascii="Calibri" w:hAnsi="Calibri"/>
                <w:b w:val="0"/>
                <w:i w:val="0"/>
                <w:color w:val="5A5A5A"/>
                <w:sz w:val="18"/>
              </w:rPr>
              <w:t>#floods  #Andaman  #postflood  #outbreak  #waterlogging</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Occupation — agriculture</w:t>
            </w:r>
          </w:p>
        </w:tc>
        <w:tc>
          <w:tcPr>
            <w:tcW w:type="dxa" w:w="2160"/>
            <w:vAlign w:val="top"/>
          </w:tcPr>
          <w:p>
            <w:pPr>
              <w:spacing w:after="40" w:before="0" w:line="259" w:lineRule="auto"/>
            </w:pPr>
            <w:r>
              <w:rPr>
                <w:rFonts w:ascii="Calibri" w:hAnsi="Calibri"/>
                <w:b w:val="0"/>
                <w:i w:val="0"/>
                <w:color w:val="212121"/>
                <w:sz w:val="19"/>
              </w:rPr>
              <w:t>Paddy/rice-field and agricultural workers</w:t>
            </w:r>
          </w:p>
        </w:tc>
        <w:tc>
          <w:tcPr>
            <w:tcW w:type="dxa" w:w="4276"/>
            <w:vAlign w:val="top"/>
          </w:tcPr>
          <w:p>
            <w:pPr>
              <w:spacing w:after="60" w:line="259" w:lineRule="auto"/>
            </w:pPr>
            <w:r>
              <w:rPr>
                <w:rFonts w:ascii="Calibri" w:hAnsi="Calibri"/>
                <w:b w:val="0"/>
                <w:i w:val="0"/>
                <w:color w:val="212121"/>
                <w:sz w:val="19"/>
              </w:rPr>
              <w:t>Prolonged barefoot standing in flooded fields softens the skin and maximises contact with water contaminated by rodent and cattle urine, the classic route for 'rice-field fever'.</w:t>
            </w:r>
          </w:p>
          <w:p>
            <w:pPr>
              <w:spacing w:after="40" w:before="60" w:line="259" w:lineRule="auto"/>
            </w:pPr>
            <w:r>
              <w:rPr>
                <w:rFonts w:ascii="Calibri" w:hAnsi="Calibri"/>
                <w:b w:val="0"/>
                <w:i w:val="0"/>
                <w:color w:val="212121"/>
                <w:sz w:val="19"/>
              </w:rPr>
              <w:t>Farmers, sewage workers, butchers, veterinarians, abattoir and rice-field workers are the consistently identified high-risk occupational groups in India.</w:t>
            </w:r>
          </w:p>
          <w:p>
            <w:pPr>
              <w:spacing w:after="40" w:line="252" w:lineRule="auto"/>
            </w:pPr>
            <w:hyperlink r:id="rId12">
              <w:r>
                <w:rPr>
                  <w:rFonts w:ascii="Calibri" w:hAnsi="Calibri" w:cs="Calibri"/>
                  <w:sz w:val="18"/>
                  <w:color w:val="1155CC"/>
                  <w:u w:val="single"/>
                </w:rPr>
                <w:t xml:space="preserve">microbiologyjournal.org — epidemiological status of leptospirosis in India</w:t>
              </w:r>
            </w:hyperlink>
          </w:p>
          <w:p>
            <w:pPr>
              <w:spacing w:before="60" w:after="40"/>
            </w:pPr>
            <w:r>
              <w:rPr>
                <w:rFonts w:ascii="Calibri" w:hAnsi="Calibri"/>
                <w:b w:val="0"/>
                <w:i w:val="0"/>
                <w:color w:val="5A5A5A"/>
                <w:sz w:val="18"/>
              </w:rPr>
              <w:t>#paddyfarmer  #ricefieldfever  #barefoot  #agriculture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Occupation — animal &amp; sanitation work</w:t>
            </w:r>
          </w:p>
        </w:tc>
        <w:tc>
          <w:tcPr>
            <w:tcW w:type="dxa" w:w="2160"/>
            <w:vAlign w:val="top"/>
          </w:tcPr>
          <w:p>
            <w:pPr>
              <w:spacing w:after="40" w:before="0" w:line="259" w:lineRule="auto"/>
            </w:pPr>
            <w:r>
              <w:rPr>
                <w:rFonts w:ascii="Calibri" w:hAnsi="Calibri"/>
                <w:b w:val="0"/>
                <w:i w:val="0"/>
                <w:color w:val="212121"/>
                <w:sz w:val="19"/>
              </w:rPr>
              <w:t>Sewage/sanitation workers, cattle &amp; poultry handlers, abattoir workers, veterinarians</w:t>
            </w:r>
          </w:p>
        </w:tc>
        <w:tc>
          <w:tcPr>
            <w:tcW w:type="dxa" w:w="4276"/>
            <w:vAlign w:val="top"/>
          </w:tcPr>
          <w:p>
            <w:pPr>
              <w:spacing w:after="60" w:line="259" w:lineRule="auto"/>
            </w:pPr>
            <w:r>
              <w:rPr>
                <w:rFonts w:ascii="Calibri" w:hAnsi="Calibri"/>
                <w:b w:val="0"/>
                <w:i w:val="0"/>
                <w:color w:val="212121"/>
                <w:sz w:val="19"/>
              </w:rPr>
              <w:t>Direct, often unprotected contact with animal urine, carcasses and sewage gives these workers repeated high-dose exposure to leptospires.</w:t>
            </w:r>
          </w:p>
          <w:p>
            <w:pPr>
              <w:spacing w:after="40" w:before="60" w:line="259" w:lineRule="auto"/>
            </w:pPr>
            <w:r>
              <w:rPr>
                <w:rFonts w:ascii="Calibri" w:hAnsi="Calibri"/>
                <w:b w:val="0"/>
                <w:i w:val="0"/>
                <w:color w:val="212121"/>
                <w:sz w:val="19"/>
              </w:rPr>
              <w:t>In a Gujarat study overall seroprevalence in high-risk workers was 46.3%, highest in poultry (56.6%) and cattle (54.5%) farm workers.</w:t>
            </w:r>
          </w:p>
          <w:p>
            <w:pPr>
              <w:spacing w:after="40" w:line="252" w:lineRule="auto"/>
            </w:pPr>
            <w:hyperlink r:id="rId11">
              <w:r>
                <w:rPr>
                  <w:rFonts w:ascii="Calibri" w:hAnsi="Calibri" w:cs="Calibri"/>
                  <w:sz w:val="18"/>
                  <w:color w:val="1155CC"/>
                  <w:u w:val="single"/>
                </w:rPr>
                <w:t xml:space="preserve">pubmed.ncbi.nlm.nih.gov/39114107</w:t>
              </w:r>
            </w:hyperlink>
          </w:p>
          <w:p>
            <w:pPr>
              <w:spacing w:before="60" w:after="40"/>
            </w:pPr>
            <w:r>
              <w:rPr>
                <w:rFonts w:ascii="Calibri" w:hAnsi="Calibri"/>
                <w:b w:val="0"/>
                <w:i w:val="0"/>
                <w:color w:val="5A5A5A"/>
                <w:sz w:val="18"/>
              </w:rPr>
              <w:t>#sewageworker  #abattoir  #animalhandler  #veterinary  #PPE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Behaviour — water exposure</w:t>
            </w:r>
          </w:p>
        </w:tc>
        <w:tc>
          <w:tcPr>
            <w:tcW w:type="dxa" w:w="2160"/>
            <w:vAlign w:val="top"/>
          </w:tcPr>
          <w:p>
            <w:pPr>
              <w:spacing w:after="40" w:before="0" w:line="259" w:lineRule="auto"/>
            </w:pPr>
            <w:r>
              <w:rPr>
                <w:rFonts w:ascii="Calibri" w:hAnsi="Calibri"/>
                <w:b w:val="0"/>
                <w:i w:val="0"/>
                <w:color w:val="212121"/>
                <w:sz w:val="19"/>
              </w:rPr>
              <w:t>People wading barefoot through floodwater or bathing in ponds/canals</w:t>
            </w:r>
          </w:p>
        </w:tc>
        <w:tc>
          <w:tcPr>
            <w:tcW w:type="dxa" w:w="4276"/>
            <w:vAlign w:val="top"/>
          </w:tcPr>
          <w:p>
            <w:pPr>
              <w:spacing w:after="60" w:line="259" w:lineRule="auto"/>
            </w:pPr>
            <w:r>
              <w:rPr>
                <w:rFonts w:ascii="Calibri" w:hAnsi="Calibri"/>
                <w:b w:val="0"/>
                <w:i w:val="0"/>
                <w:color w:val="212121"/>
                <w:sz w:val="19"/>
              </w:rPr>
              <w:t>Wading or bathing in contaminated surface water allows skin and mucosal entry, and occupational or recreational wounds greatly increase the risk of infection.</w:t>
            </w:r>
          </w:p>
          <w:p>
            <w:pPr>
              <w:spacing w:after="40" w:before="60" w:line="259" w:lineRule="auto"/>
            </w:pPr>
            <w:r>
              <w:rPr>
                <w:rFonts w:ascii="Calibri" w:hAnsi="Calibri"/>
                <w:b w:val="0"/>
                <w:i w:val="0"/>
                <w:color w:val="212121"/>
                <w:sz w:val="19"/>
              </w:rPr>
              <w:t>Living in field areas, contact with livestock, drinking natural surface water and occupational wounds were statistically significant risk factors (p &lt; 0.05) in Gujarat.</w:t>
            </w:r>
          </w:p>
          <w:p>
            <w:pPr>
              <w:spacing w:after="40" w:line="252" w:lineRule="auto"/>
            </w:pPr>
            <w:hyperlink r:id="rId11">
              <w:r>
                <w:rPr>
                  <w:rFonts w:ascii="Calibri" w:hAnsi="Calibri" w:cs="Calibri"/>
                  <w:sz w:val="18"/>
                  <w:color w:val="1155CC"/>
                  <w:u w:val="single"/>
                </w:rPr>
                <w:t xml:space="preserve">pubmed.ncbi.nlm.nih.gov/39114107</w:t>
              </w:r>
            </w:hyperlink>
          </w:p>
          <w:p>
            <w:pPr>
              <w:spacing w:before="60" w:after="40"/>
            </w:pPr>
            <w:r>
              <w:rPr>
                <w:rFonts w:ascii="Calibri" w:hAnsi="Calibri"/>
                <w:b w:val="0"/>
                <w:i w:val="0"/>
                <w:color w:val="5A5A5A"/>
                <w:sz w:val="18"/>
              </w:rPr>
              <w:t>#floodwater  #wading  #bathing  #skinbreach  #wounds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 drinkers / individuals with alcoholic liver disease</w:t>
            </w:r>
          </w:p>
        </w:tc>
        <w:tc>
          <w:tcPr>
            <w:tcW w:type="dxa" w:w="4276"/>
            <w:vAlign w:val="top"/>
          </w:tcPr>
          <w:p>
            <w:pPr>
              <w:spacing w:after="60" w:line="259" w:lineRule="auto"/>
            </w:pPr>
            <w:r>
              <w:rPr>
                <w:rFonts w:ascii="Calibri" w:hAnsi="Calibri"/>
                <w:b w:val="0"/>
                <w:i w:val="0"/>
                <w:color w:val="212121"/>
                <w:sz w:val="19"/>
              </w:rPr>
              <w:t>Alcohol misuse impairs hepatic and immune function, predisposing to more severe icteric disease, deeper jaundice and coagulopathy, and to higher mortality.</w:t>
            </w:r>
          </w:p>
          <w:p>
            <w:pPr>
              <w:spacing w:after="40" w:before="60" w:line="259" w:lineRule="auto"/>
            </w:pPr>
            <w:r>
              <w:rPr>
                <w:rFonts w:ascii="Calibri" w:hAnsi="Calibri"/>
                <w:b w:val="0"/>
                <w:i w:val="0"/>
                <w:color w:val="212121"/>
                <w:sz w:val="19"/>
              </w:rPr>
              <w:t>Diabetes, hypertension and chronic organ disease clustered in fatal leptospirosis, and heavy alcohol use is a recognised contributor to severe icteric disease.</w:t>
            </w:r>
          </w:p>
          <w:p>
            <w:pPr>
              <w:spacing w:after="40" w:line="252" w:lineRule="auto"/>
            </w:pPr>
            <w:hyperlink r:id="rId14">
              <w:r>
                <w:rPr>
                  <w:rFonts w:ascii="Calibri" w:hAnsi="Calibri" w:cs="Calibri"/>
                  <w:sz w:val="18"/>
                  <w:color w:val="1155CC"/>
                  <w:u w:val="single"/>
                </w:rPr>
                <w:t xml:space="preserve">frontiersin.org — determinants of mortality in leptospirosis</w:t>
              </w:r>
            </w:hyperlink>
          </w:p>
          <w:p>
            <w:pPr>
              <w:spacing w:before="60" w:after="40"/>
            </w:pPr>
            <w:r>
              <w:rPr>
                <w:rFonts w:ascii="Calibri" w:hAnsi="Calibri"/>
                <w:b w:val="0"/>
                <w:i w:val="0"/>
                <w:color w:val="5A5A5A"/>
                <w:sz w:val="18"/>
              </w:rPr>
              <w:t>#alcohol  #liverdisease  #severe  #jaundice</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Contaminated water/food</w:t>
            </w:r>
          </w:p>
        </w:tc>
        <w:tc>
          <w:tcPr>
            <w:tcW w:type="dxa" w:w="2160"/>
            <w:vAlign w:val="top"/>
          </w:tcPr>
          <w:p>
            <w:pPr>
              <w:spacing w:after="40" w:before="0" w:line="259" w:lineRule="auto"/>
            </w:pPr>
            <w:r>
              <w:rPr>
                <w:rFonts w:ascii="Calibri" w:hAnsi="Calibri"/>
                <w:b w:val="0"/>
                <w:i w:val="0"/>
                <w:color w:val="212121"/>
                <w:sz w:val="19"/>
              </w:rPr>
              <w:t>People drinking untreated natural or surface water</w:t>
            </w:r>
          </w:p>
        </w:tc>
        <w:tc>
          <w:tcPr>
            <w:tcW w:type="dxa" w:w="4276"/>
            <w:vAlign w:val="top"/>
          </w:tcPr>
          <w:p>
            <w:pPr>
              <w:spacing w:after="60" w:line="259" w:lineRule="auto"/>
            </w:pPr>
            <w:r>
              <w:rPr>
                <w:rFonts w:ascii="Calibri" w:hAnsi="Calibri"/>
                <w:b w:val="0"/>
                <w:i w:val="0"/>
                <w:color w:val="212121"/>
                <w:sz w:val="19"/>
              </w:rPr>
              <w:t>Ingestion of, or mucosal contact with, water and food contaminated by rodent urine provides an additional route of entry, particularly where rodent-proof storage is lacking.</w:t>
            </w:r>
          </w:p>
          <w:p>
            <w:pPr>
              <w:spacing w:after="40" w:before="60" w:line="259" w:lineRule="auto"/>
            </w:pPr>
            <w:r>
              <w:rPr>
                <w:rFonts w:ascii="Calibri" w:hAnsi="Calibri"/>
                <w:b w:val="0"/>
                <w:i w:val="0"/>
                <w:color w:val="212121"/>
                <w:sz w:val="19"/>
              </w:rPr>
              <w:t>Drinking water from natural water resources was an independently significant risk factor for seropositivity among high-risk workers in Gujarat.</w:t>
            </w:r>
          </w:p>
          <w:p>
            <w:pPr>
              <w:spacing w:after="40" w:line="252" w:lineRule="auto"/>
            </w:pPr>
            <w:hyperlink r:id="rId11">
              <w:r>
                <w:rPr>
                  <w:rFonts w:ascii="Calibri" w:hAnsi="Calibri" w:cs="Calibri"/>
                  <w:sz w:val="18"/>
                  <w:color w:val="1155CC"/>
                  <w:u w:val="single"/>
                </w:rPr>
                <w:t xml:space="preserve">pubmed.ncbi.nlm.nih.gov/39114107</w:t>
              </w:r>
            </w:hyperlink>
          </w:p>
          <w:p>
            <w:pPr>
              <w:spacing w:before="60" w:after="40"/>
            </w:pPr>
            <w:r>
              <w:rPr>
                <w:rFonts w:ascii="Calibri" w:hAnsi="Calibri"/>
                <w:b w:val="0"/>
                <w:i w:val="0"/>
                <w:color w:val="5A5A5A"/>
                <w:sz w:val="18"/>
              </w:rPr>
              <w:t>#untreatedwater  #rodenturine  #foodstorage  #waterborne</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Host immunogenetics</w:t>
            </w:r>
          </w:p>
        </w:tc>
        <w:tc>
          <w:tcPr>
            <w:tcW w:type="dxa" w:w="2160"/>
            <w:vAlign w:val="top"/>
          </w:tcPr>
          <w:p>
            <w:pPr>
              <w:spacing w:after="40" w:before="0" w:line="259" w:lineRule="auto"/>
            </w:pPr>
            <w:r>
              <w:rPr>
                <w:rFonts w:ascii="Calibri" w:hAnsi="Calibri"/>
                <w:b w:val="0"/>
                <w:i w:val="0"/>
                <w:color w:val="212121"/>
                <w:sz w:val="19"/>
              </w:rPr>
              <w:t>Individuals with susceptible HLA class II / innate-immune variants</w:t>
            </w:r>
          </w:p>
        </w:tc>
        <w:tc>
          <w:tcPr>
            <w:tcW w:type="dxa" w:w="4276"/>
            <w:vAlign w:val="top"/>
          </w:tcPr>
          <w:p>
            <w:pPr>
              <w:spacing w:after="60" w:line="259" w:lineRule="auto"/>
            </w:pPr>
            <w:r>
              <w:rPr>
                <w:rFonts w:ascii="Calibri" w:hAnsi="Calibri"/>
                <w:b w:val="0"/>
                <w:i w:val="0"/>
                <w:color w:val="212121"/>
                <w:sz w:val="19"/>
              </w:rPr>
              <w:t>Host immune-response genes appear to modulate the severity of leptospirosis: particular HLA class II alleles and innate immune (e.g., Toll-like receptor) variants have been linked to a stronger inflammatory response and severe disease, though data remain preliminary.</w:t>
            </w:r>
          </w:p>
          <w:p>
            <w:pPr>
              <w:spacing w:after="40" w:before="60" w:line="259" w:lineRule="auto"/>
            </w:pPr>
            <w:r>
              <w:rPr>
                <w:rFonts w:ascii="Calibri" w:hAnsi="Calibri"/>
                <w:b w:val="0"/>
                <w:i w:val="0"/>
                <w:color w:val="212121"/>
                <w:sz w:val="19"/>
              </w:rPr>
              <w:t>Host genetic variation is thought to help explain why, with similar exposure, some patients recover uneventfully while others develop fulminant Weil's disease.</w:t>
            </w:r>
          </w:p>
          <w:p>
            <w:pPr>
              <w:spacing w:before="60" w:after="40"/>
            </w:pPr>
            <w:r>
              <w:rPr>
                <w:rFonts w:ascii="Calibri" w:hAnsi="Calibri"/>
                <w:b w:val="0"/>
                <w:i w:val="0"/>
                <w:color w:val="5A5A5A"/>
                <w:sz w:val="18"/>
              </w:rPr>
              <w:t>#immunogenetics  #HLA  #innateimmunity  #hostsusceptibility</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Diabetes mellitus</w:t>
            </w:r>
          </w:p>
        </w:tc>
        <w:tc>
          <w:tcPr>
            <w:tcW w:type="dxa" w:w="2160"/>
            <w:vAlign w:val="top"/>
          </w:tcPr>
          <w:p>
            <w:pPr>
              <w:spacing w:after="40" w:before="0" w:line="259" w:lineRule="auto"/>
            </w:pPr>
            <w:r>
              <w:rPr>
                <w:rFonts w:ascii="Calibri" w:hAnsi="Calibri"/>
                <w:b w:val="0"/>
                <w:i w:val="0"/>
                <w:color w:val="212121"/>
                <w:sz w:val="19"/>
              </w:rPr>
              <w:t>Patients with diabetes</w:t>
            </w:r>
          </w:p>
        </w:tc>
        <w:tc>
          <w:tcPr>
            <w:tcW w:type="dxa" w:w="4276"/>
            <w:vAlign w:val="top"/>
          </w:tcPr>
          <w:p>
            <w:pPr>
              <w:spacing w:after="60" w:line="259" w:lineRule="auto"/>
            </w:pPr>
            <w:r>
              <w:rPr>
                <w:rFonts w:ascii="Calibri" w:hAnsi="Calibri"/>
                <w:b w:val="0"/>
                <w:i w:val="0"/>
                <w:color w:val="212121"/>
                <w:sz w:val="19"/>
              </w:rPr>
              <w:t>Impaired neutrophil function and microvascular disease in diabetes blunt bacterial clearance, so diabetics are more likely to develop severe, complicated leptospirosis.</w:t>
            </w:r>
          </w:p>
          <w:p>
            <w:pPr>
              <w:spacing w:after="40" w:before="60" w:line="259" w:lineRule="auto"/>
            </w:pPr>
            <w:r>
              <w:rPr>
                <w:rFonts w:ascii="Calibri" w:hAnsi="Calibri"/>
                <w:b w:val="0"/>
                <w:i w:val="0"/>
                <w:color w:val="212121"/>
                <w:sz w:val="19"/>
              </w:rPr>
              <w:t>Diabetes mellitus was present in about 11.8% of fatal leptospirosis cases in a multivariate analysis of mortality determinants.</w:t>
            </w:r>
          </w:p>
          <w:p>
            <w:pPr>
              <w:spacing w:after="40" w:line="252" w:lineRule="auto"/>
            </w:pPr>
            <w:hyperlink r:id="rId14">
              <w:r>
                <w:rPr>
                  <w:rFonts w:ascii="Calibri" w:hAnsi="Calibri" w:cs="Calibri"/>
                  <w:sz w:val="18"/>
                  <w:color w:val="1155CC"/>
                  <w:u w:val="single"/>
                </w:rPr>
                <w:t xml:space="preserve">frontiersin.org — determinants of mortality in leptospirosis</w:t>
              </w:r>
            </w:hyperlink>
          </w:p>
          <w:p>
            <w:pPr>
              <w:spacing w:before="60" w:after="40"/>
            </w:pPr>
            <w:r>
              <w:rPr>
                <w:rFonts w:ascii="Calibri" w:hAnsi="Calibri"/>
                <w:b w:val="0"/>
                <w:i w:val="0"/>
                <w:color w:val="5A5A5A"/>
                <w:sz w:val="18"/>
              </w:rPr>
              <w:t>#diabetes  #immunecompromise  #severe  #comorbidity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Chronic kidney disease</w:t>
            </w:r>
          </w:p>
        </w:tc>
        <w:tc>
          <w:tcPr>
            <w:tcW w:type="dxa" w:w="2160"/>
            <w:vAlign w:val="top"/>
          </w:tcPr>
          <w:p>
            <w:pPr>
              <w:spacing w:after="40" w:before="0" w:line="259" w:lineRule="auto"/>
            </w:pPr>
            <w:r>
              <w:rPr>
                <w:rFonts w:ascii="Calibri" w:hAnsi="Calibri"/>
                <w:b w:val="0"/>
                <w:i w:val="0"/>
                <w:color w:val="212121"/>
                <w:sz w:val="19"/>
              </w:rPr>
              <w:t>Patients with pre-existing CKD</w:t>
            </w:r>
          </w:p>
        </w:tc>
        <w:tc>
          <w:tcPr>
            <w:tcW w:type="dxa" w:w="4276"/>
            <w:vAlign w:val="top"/>
          </w:tcPr>
          <w:p>
            <w:pPr>
              <w:spacing w:after="60" w:line="259" w:lineRule="auto"/>
            </w:pPr>
            <w:r>
              <w:rPr>
                <w:rFonts w:ascii="Calibri" w:hAnsi="Calibri"/>
                <w:b w:val="0"/>
                <w:i w:val="0"/>
                <w:color w:val="212121"/>
                <w:sz w:val="19"/>
              </w:rPr>
              <w:t>Reduced renal reserve makes patients highly vulnerable to leptospiral acute kidney injury and dialysis-requiring renal failure, and leptospirosis can in turn accelerate chronic kidney damage.</w:t>
            </w:r>
          </w:p>
          <w:p>
            <w:pPr>
              <w:spacing w:after="40" w:before="60" w:line="259" w:lineRule="auto"/>
            </w:pPr>
            <w:r>
              <w:rPr>
                <w:rFonts w:ascii="Calibri" w:hAnsi="Calibri"/>
                <w:b w:val="0"/>
                <w:i w:val="0"/>
                <w:color w:val="212121"/>
                <w:sz w:val="19"/>
              </w:rPr>
              <w:t>CKD was the commonest comorbidity in fatal cases (20.6%); leptospiral seropositivity is associated with a higher CKD prevalence (14.4% vs 8.5% in seronegatives).</w:t>
            </w:r>
          </w:p>
          <w:p>
            <w:pPr>
              <w:spacing w:after="40" w:line="252" w:lineRule="auto"/>
            </w:pPr>
            <w:hyperlink r:id="rId15">
              <w:r>
                <w:rPr>
                  <w:rFonts w:ascii="Calibri" w:hAnsi="Calibri" w:cs="Calibri"/>
                  <w:sz w:val="18"/>
                  <w:color w:val="1155CC"/>
                  <w:u w:val="single"/>
                </w:rPr>
                <w:t xml:space="preserve">journals.plos.org — leptospiral infection and chronic kidney disease</w:t>
              </w:r>
            </w:hyperlink>
          </w:p>
          <w:p>
            <w:pPr>
              <w:spacing w:before="60" w:after="40"/>
            </w:pPr>
            <w:r>
              <w:rPr>
                <w:rFonts w:ascii="Calibri" w:hAnsi="Calibri"/>
                <w:b w:val="0"/>
                <w:i w:val="0"/>
                <w:color w:val="5A5A5A"/>
                <w:sz w:val="18"/>
              </w:rPr>
              <w:t>#CKD  #AKI  #renalreserve  #dialysis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Chronic/alcoholic liver disease</w:t>
            </w:r>
          </w:p>
        </w:tc>
        <w:tc>
          <w:tcPr>
            <w:tcW w:type="dxa" w:w="2160"/>
            <w:vAlign w:val="top"/>
          </w:tcPr>
          <w:p>
            <w:pPr>
              <w:spacing w:after="40" w:before="0" w:line="259" w:lineRule="auto"/>
            </w:pPr>
            <w:r>
              <w:rPr>
                <w:rFonts w:ascii="Calibri" w:hAnsi="Calibri"/>
                <w:b w:val="0"/>
                <w:i w:val="0"/>
                <w:color w:val="212121"/>
                <w:sz w:val="19"/>
              </w:rPr>
              <w:t>Patients with cirrhosis or alcoholic liver disease</w:t>
            </w:r>
          </w:p>
        </w:tc>
        <w:tc>
          <w:tcPr>
            <w:tcW w:type="dxa" w:w="4276"/>
            <w:vAlign w:val="top"/>
          </w:tcPr>
          <w:p>
            <w:pPr>
              <w:spacing w:after="60" w:line="259" w:lineRule="auto"/>
            </w:pPr>
            <w:r>
              <w:rPr>
                <w:rFonts w:ascii="Calibri" w:hAnsi="Calibri"/>
                <w:b w:val="0"/>
                <w:i w:val="0"/>
                <w:color w:val="212121"/>
                <w:sz w:val="19"/>
              </w:rPr>
              <w:t>Baseline hepatic dysfunction compounds the cholestatic jaundice and coagulopathy of leptospirosis, worsening bleeding risk and prognosis.</w:t>
            </w:r>
          </w:p>
          <w:p>
            <w:pPr>
              <w:spacing w:after="40" w:before="60" w:line="259" w:lineRule="auto"/>
            </w:pPr>
            <w:r>
              <w:rPr>
                <w:rFonts w:ascii="Calibri" w:hAnsi="Calibri"/>
                <w:b w:val="0"/>
                <w:i w:val="0"/>
                <w:color w:val="212121"/>
                <w:sz w:val="19"/>
              </w:rPr>
              <w:t>Hepatic involvement with jaundice occurs in roughly a third of hospitalised leptospirosis patients and is a hallmark of the severe icteric form.</w:t>
            </w:r>
          </w:p>
          <w:p>
            <w:pPr>
              <w:spacing w:after="40" w:line="252" w:lineRule="auto"/>
            </w:pPr>
            <w:hyperlink r:id="rId12">
              <w:r>
                <w:rPr>
                  <w:rFonts w:ascii="Calibri" w:hAnsi="Calibri" w:cs="Calibri"/>
                  <w:sz w:val="18"/>
                  <w:color w:val="1155CC"/>
                  <w:u w:val="single"/>
                </w:rPr>
                <w:t xml:space="preserve">microbiologyjournal.org — epidemiological status of leptospirosis in India</w:t>
              </w:r>
            </w:hyperlink>
          </w:p>
          <w:p>
            <w:pPr>
              <w:spacing w:before="60" w:after="40"/>
            </w:pPr>
            <w:r>
              <w:rPr>
                <w:rFonts w:ascii="Calibri" w:hAnsi="Calibri"/>
                <w:b w:val="0"/>
                <w:i w:val="0"/>
                <w:color w:val="5A5A5A"/>
                <w:sz w:val="18"/>
              </w:rPr>
              <w:t>#liverdisease  #jaundice  #coagulopathy  #cirrhosis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Hypertension</w:t>
            </w:r>
          </w:p>
        </w:tc>
        <w:tc>
          <w:tcPr>
            <w:tcW w:type="dxa" w:w="2160"/>
            <w:vAlign w:val="top"/>
          </w:tcPr>
          <w:p>
            <w:pPr>
              <w:spacing w:after="40" w:before="0" w:line="259" w:lineRule="auto"/>
            </w:pPr>
            <w:r>
              <w:rPr>
                <w:rFonts w:ascii="Calibri" w:hAnsi="Calibri"/>
                <w:b w:val="0"/>
                <w:i w:val="0"/>
                <w:color w:val="212121"/>
                <w:sz w:val="19"/>
              </w:rPr>
              <w:t>Patients with hypertension</w:t>
            </w:r>
          </w:p>
        </w:tc>
        <w:tc>
          <w:tcPr>
            <w:tcW w:type="dxa" w:w="4276"/>
            <w:vAlign w:val="top"/>
          </w:tcPr>
          <w:p>
            <w:pPr>
              <w:spacing w:after="60" w:line="259" w:lineRule="auto"/>
            </w:pPr>
            <w:r>
              <w:rPr>
                <w:rFonts w:ascii="Calibri" w:hAnsi="Calibri"/>
                <w:b w:val="0"/>
                <w:i w:val="0"/>
                <w:color w:val="212121"/>
                <w:sz w:val="19"/>
              </w:rPr>
              <w:t>Hypertension frequently accompanies the older, comorbid patients who fare worst, and its presence complicates fluid and haemodynamic management during acute kidney injury.</w:t>
            </w:r>
          </w:p>
          <w:p>
            <w:pPr>
              <w:spacing w:after="40" w:before="60" w:line="259" w:lineRule="auto"/>
            </w:pPr>
            <w:r>
              <w:rPr>
                <w:rFonts w:ascii="Calibri" w:hAnsi="Calibri"/>
                <w:b w:val="0"/>
                <w:i w:val="0"/>
                <w:color w:val="212121"/>
                <w:sz w:val="19"/>
              </w:rPr>
              <w:t>Hypertension was recorded in about 14.7% of fatal leptospirosis cases.</w:t>
            </w:r>
          </w:p>
          <w:p>
            <w:pPr>
              <w:spacing w:after="40" w:line="252" w:lineRule="auto"/>
            </w:pPr>
            <w:hyperlink r:id="rId14">
              <w:r>
                <w:rPr>
                  <w:rFonts w:ascii="Calibri" w:hAnsi="Calibri" w:cs="Calibri"/>
                  <w:sz w:val="18"/>
                  <w:color w:val="1155CC"/>
                  <w:u w:val="single"/>
                </w:rPr>
                <w:t xml:space="preserve">frontiersin.org — determinants of mortality in leptospirosis</w:t>
              </w:r>
            </w:hyperlink>
          </w:p>
          <w:p>
            <w:pPr>
              <w:spacing w:before="60" w:after="40"/>
            </w:pPr>
            <w:r>
              <w:rPr>
                <w:rFonts w:ascii="Calibri" w:hAnsi="Calibri"/>
                <w:b w:val="0"/>
                <w:i w:val="0"/>
                <w:color w:val="5A5A5A"/>
                <w:sz w:val="18"/>
              </w:rPr>
              <w:t>#hypertension  #comorbidity  #fluidbalance  #prognosis</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Physical fitness is not directly protective; rather, outdoor and occupational physical work in flooded fields, drains and animal sheds is the activity that drives exposure, so risk tracks the setting of activity more than its intensity.</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Food-borne transmission is uncommon; risk arises mainly when food or stored grain is contaminated by rodent urine, an indirect and minor route compared with water and soil contact.</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Sleep has no established causal role in acquiring leptospirosis; sleeping in rodent-infested or floor-level dwellings can indirectly raise exposure, and adequate rest supports recovery during the acute illness.</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Smoking is not a recognised risk factor for infection, but by reducing pulmonary reserve it may worsen outcomes in severe pulmonary haemorrhage syndrome.</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Heavy alcohol use and alcoholic liver disease are recognised predisposers to severe icteric leptospirosis, with deeper jaundice, coagulopathy and higher mortality.</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There is no established link between mental health and susceptibility to leptospirosis; however, severe infection can cause delirium and a prolonged post-illness fatigue and low mood during convalescence.</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Contact with contaminated fresh water—floodwater, ponds, canals and waterlogged paddy soil—is the dominant transmission route, and outbreaks follow heavy rain and flooding.</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No plausible or established relationship between caffeine intake and leptospirosis risk or severity.</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Rodent control, sanitation, protective footwear/gloves and prompt wound cleaning and covering substantially reduce transmission; poor sanitation and waterlogging increase it.</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Monsoon flooding, wading barefoot through contaminated water and direct occupational contact with animal urine are the provoking exposures that precipitate infection.</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Contact with floodwater / waterlogged soil (days in monsoon)</w:t>
            </w:r>
          </w:p>
        </w:tc>
        <w:tc>
          <w:tcPr>
            <w:tcW w:type="dxa" w:w="1655"/>
            <w:vAlign w:val="top"/>
          </w:tcPr>
          <w:p>
            <w:pPr>
              <w:spacing w:after="40" w:before="0" w:line="259" w:lineRule="auto"/>
            </w:pPr>
            <w:r>
              <w:rPr>
                <w:rFonts w:ascii="Calibri" w:hAnsi="Calibri"/>
                <w:b w:val="0"/>
                <w:i w:val="0"/>
                <w:color w:val="212121"/>
                <w:sz w:val="19"/>
              </w:rPr>
              <w:t>Paddy farmers, flood-exposed residents</w:t>
            </w:r>
          </w:p>
        </w:tc>
        <w:tc>
          <w:tcPr>
            <w:tcW w:type="dxa" w:w="1512"/>
            <w:vAlign w:val="top"/>
          </w:tcPr>
          <w:p>
            <w:pPr>
              <w:spacing w:after="40" w:before="0" w:line="259" w:lineRule="auto"/>
            </w:pPr>
            <w:r>
              <w:rPr>
                <w:rFonts w:ascii="Calibri" w:hAnsi="Calibri"/>
                <w:b w:val="0"/>
                <w:i w:val="0"/>
                <w:color w:val="212121"/>
                <w:sz w:val="19"/>
              </w:rPr>
              <w:t>No skin contact with contaminated water</w:t>
            </w:r>
          </w:p>
        </w:tc>
        <w:tc>
          <w:tcPr>
            <w:tcW w:type="dxa" w:w="1512"/>
            <w:vAlign w:val="top"/>
          </w:tcPr>
          <w:p>
            <w:pPr>
              <w:spacing w:after="40" w:before="0" w:line="259" w:lineRule="auto"/>
            </w:pPr>
            <w:r>
              <w:rPr>
                <w:rFonts w:ascii="Calibri" w:hAnsi="Calibri"/>
                <w:b w:val="0"/>
                <w:i w:val="0"/>
                <w:color w:val="212121"/>
                <w:sz w:val="19"/>
              </w:rPr>
              <w:t>Any repeated wading/immersion during or after rain</w:t>
            </w:r>
          </w:p>
        </w:tc>
        <w:tc>
          <w:tcPr>
            <w:tcW w:type="dxa" w:w="1468"/>
            <w:vAlign w:val="top"/>
          </w:tcPr>
          <w:p>
            <w:pPr>
              <w:spacing w:after="60" w:line="259" w:lineRule="auto"/>
            </w:pPr>
            <w:r>
              <w:rPr>
                <w:rFonts w:ascii="Calibri" w:hAnsi="Calibri"/>
                <w:b w:val="0"/>
                <w:i w:val="0"/>
                <w:color w:val="212121"/>
                <w:sz w:val="19"/>
              </w:rPr>
              <w:t>Fresh-water contact is the dominant transmission route; leptospires survive weeks in water</w:t>
            </w:r>
          </w:p>
          <w:p>
            <w:pPr>
              <w:spacing w:after="40" w:line="252" w:lineRule="auto"/>
            </w:pPr>
            <w:hyperlink r:id="rId12">
              <w:r>
                <w:rPr>
                  <w:rFonts w:ascii="Calibri" w:hAnsi="Calibri" w:cs="Calibri"/>
                  <w:sz w:val="18"/>
                  <w:color w:val="1155CC"/>
                  <w:u w:val="single"/>
                </w:rPr>
                <w:t xml:space="preserve">https://microbiologyjournal.org/epidemiological-status-of-leptospirosis-in-india/</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Source of drinking water</w:t>
            </w:r>
          </w:p>
        </w:tc>
        <w:tc>
          <w:tcPr>
            <w:tcW w:type="dxa" w:w="1655"/>
            <w:vAlign w:val="top"/>
          </w:tcPr>
          <w:p>
            <w:pPr>
              <w:spacing w:after="40" w:before="0" w:line="259" w:lineRule="auto"/>
            </w:pPr>
            <w:r>
              <w:rPr>
                <w:rFonts w:ascii="Calibri" w:hAnsi="Calibri"/>
                <w:b w:val="0"/>
                <w:i w:val="0"/>
                <w:color w:val="212121"/>
                <w:sz w:val="19"/>
              </w:rPr>
              <w:t>Rural &amp; occupational groups</w:t>
            </w:r>
          </w:p>
        </w:tc>
        <w:tc>
          <w:tcPr>
            <w:tcW w:type="dxa" w:w="1512"/>
            <w:vAlign w:val="top"/>
          </w:tcPr>
          <w:p>
            <w:pPr>
              <w:spacing w:after="40" w:before="0" w:line="259" w:lineRule="auto"/>
            </w:pPr>
            <w:r>
              <w:rPr>
                <w:rFonts w:ascii="Calibri" w:hAnsi="Calibri"/>
                <w:b w:val="0"/>
                <w:i w:val="0"/>
                <w:color w:val="212121"/>
                <w:sz w:val="19"/>
              </w:rPr>
              <w:t>Treated/piped or boiled water</w:t>
            </w:r>
          </w:p>
        </w:tc>
        <w:tc>
          <w:tcPr>
            <w:tcW w:type="dxa" w:w="1512"/>
            <w:vAlign w:val="top"/>
          </w:tcPr>
          <w:p>
            <w:pPr>
              <w:spacing w:after="40" w:before="0" w:line="259" w:lineRule="auto"/>
            </w:pPr>
            <w:r>
              <w:rPr>
                <w:rFonts w:ascii="Calibri" w:hAnsi="Calibri"/>
                <w:b w:val="0"/>
                <w:i w:val="0"/>
                <w:color w:val="212121"/>
                <w:sz w:val="19"/>
              </w:rPr>
              <w:t>Untreated natural/surface water</w:t>
            </w:r>
          </w:p>
        </w:tc>
        <w:tc>
          <w:tcPr>
            <w:tcW w:type="dxa" w:w="1468"/>
            <w:vAlign w:val="top"/>
          </w:tcPr>
          <w:p>
            <w:pPr>
              <w:spacing w:after="60" w:line="259" w:lineRule="auto"/>
            </w:pPr>
            <w:r>
              <w:rPr>
                <w:rFonts w:ascii="Calibri" w:hAnsi="Calibri"/>
                <w:b w:val="0"/>
                <w:i w:val="0"/>
                <w:color w:val="212121"/>
                <w:sz w:val="19"/>
              </w:rPr>
              <w:t>Drinking natural surface water was an independent risk factor in Gujarat</w:t>
            </w:r>
          </w:p>
          <w:p>
            <w:pPr>
              <w:spacing w:after="40" w:line="252" w:lineRule="auto"/>
            </w:pPr>
            <w:hyperlink r:id="rId11">
              <w:r>
                <w:rPr>
                  <w:rFonts w:ascii="Calibri" w:hAnsi="Calibri" w:cs="Calibri"/>
                  <w:sz w:val="18"/>
                  <w:color w:val="1155CC"/>
                  <w:u w:val="single"/>
                </w:rPr>
                <w:t xml:space="preserve">https://pubmed.ncbi.nlm.nih.gov/39114107/</w:t>
              </w:r>
            </w:hyperlink>
          </w:p>
        </w:tc>
      </w:tr>
      <w:tr>
        <w:trPr>
          <w:cantSplit/>
        </w:trPr>
        <w:tc>
          <w:tcPr>
            <w:tcW w:type="dxa" w:w="1512"/>
            <w:vMerge w:val="restart"/>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Protective footwear/gloves (PPE) during field or sewage work</w:t>
            </w:r>
          </w:p>
        </w:tc>
        <w:tc>
          <w:tcPr>
            <w:tcW w:type="dxa" w:w="1655"/>
            <w:vAlign w:val="top"/>
          </w:tcPr>
          <w:p>
            <w:pPr>
              <w:spacing w:after="40" w:before="0" w:line="259" w:lineRule="auto"/>
            </w:pPr>
            <w:r>
              <w:rPr>
                <w:rFonts w:ascii="Calibri" w:hAnsi="Calibri"/>
                <w:b w:val="0"/>
                <w:i w:val="0"/>
                <w:color w:val="212121"/>
                <w:sz w:val="19"/>
              </w:rPr>
              <w:t>Paddy, sewage, abattoir &amp; animal workers</w:t>
            </w:r>
          </w:p>
        </w:tc>
        <w:tc>
          <w:tcPr>
            <w:tcW w:type="dxa" w:w="1512"/>
            <w:vAlign w:val="top"/>
          </w:tcPr>
          <w:p>
            <w:pPr>
              <w:spacing w:after="40" w:before="0" w:line="259" w:lineRule="auto"/>
            </w:pPr>
            <w:r>
              <w:rPr>
                <w:rFonts w:ascii="Calibri" w:hAnsi="Calibri"/>
                <w:b w:val="0"/>
                <w:i w:val="0"/>
                <w:color w:val="212121"/>
                <w:sz w:val="19"/>
              </w:rPr>
              <w:t>Gumboots and gloves always worn</w:t>
            </w:r>
          </w:p>
        </w:tc>
        <w:tc>
          <w:tcPr>
            <w:tcW w:type="dxa" w:w="1512"/>
            <w:vAlign w:val="top"/>
          </w:tcPr>
          <w:p>
            <w:pPr>
              <w:spacing w:after="40" w:before="0" w:line="259" w:lineRule="auto"/>
            </w:pPr>
            <w:r>
              <w:rPr>
                <w:rFonts w:ascii="Calibri" w:hAnsi="Calibri"/>
                <w:b w:val="0"/>
                <w:i w:val="0"/>
                <w:color w:val="212121"/>
                <w:sz w:val="19"/>
              </w:rPr>
              <w:t>Barefoot / ungloved contact with mud, water or urine</w:t>
            </w:r>
          </w:p>
        </w:tc>
        <w:tc>
          <w:tcPr>
            <w:tcW w:type="dxa" w:w="1468"/>
            <w:vAlign w:val="top"/>
          </w:tcPr>
          <w:p>
            <w:pPr>
              <w:spacing w:after="60" w:line="259" w:lineRule="auto"/>
            </w:pPr>
            <w:r>
              <w:rPr>
                <w:rFonts w:ascii="Calibri" w:hAnsi="Calibri"/>
                <w:b w:val="0"/>
                <w:i w:val="0"/>
                <w:color w:val="212121"/>
                <w:sz w:val="19"/>
              </w:rPr>
              <w:t>Barrier protection blocks percutaneous entry and is highly effective</w:t>
            </w:r>
          </w:p>
          <w:p>
            <w:pPr>
              <w:spacing w:after="40" w:line="252" w:lineRule="auto"/>
            </w:pPr>
            <w:hyperlink r:id="rId11">
              <w:r>
                <w:rPr>
                  <w:rFonts w:ascii="Calibri" w:hAnsi="Calibri" w:cs="Calibri"/>
                  <w:sz w:val="18"/>
                  <w:color w:val="1155CC"/>
                  <w:u w:val="single"/>
                </w:rPr>
                <w:t xml:space="preserve">https://pubmed.ncbi.nlm.nih.gov/39114107/</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Wound care — cuts and abrasions covered</w:t>
            </w:r>
          </w:p>
        </w:tc>
        <w:tc>
          <w:tcPr>
            <w:tcW w:type="dxa" w:w="1655"/>
            <w:vAlign w:val="top"/>
          </w:tcPr>
          <w:p>
            <w:pPr>
              <w:spacing w:after="40" w:before="0" w:line="259" w:lineRule="auto"/>
            </w:pPr>
            <w:r>
              <w:rPr>
                <w:rFonts w:ascii="Calibri" w:hAnsi="Calibri"/>
                <w:b w:val="0"/>
                <w:i w:val="0"/>
                <w:color w:val="212121"/>
                <w:sz w:val="19"/>
              </w:rPr>
              <w:t>All exposed workers</w:t>
            </w:r>
          </w:p>
        </w:tc>
        <w:tc>
          <w:tcPr>
            <w:tcW w:type="dxa" w:w="1512"/>
            <w:vAlign w:val="top"/>
          </w:tcPr>
          <w:p>
            <w:pPr>
              <w:spacing w:after="40" w:before="0" w:line="259" w:lineRule="auto"/>
            </w:pPr>
            <w:r>
              <w:rPr>
                <w:rFonts w:ascii="Calibri" w:hAnsi="Calibri"/>
                <w:b w:val="0"/>
                <w:i w:val="0"/>
                <w:color w:val="212121"/>
                <w:sz w:val="19"/>
              </w:rPr>
              <w:t>Cuts cleaned and covered with occlusive dressing</w:t>
            </w:r>
          </w:p>
        </w:tc>
        <w:tc>
          <w:tcPr>
            <w:tcW w:type="dxa" w:w="1512"/>
            <w:vAlign w:val="top"/>
          </w:tcPr>
          <w:p>
            <w:pPr>
              <w:spacing w:after="40" w:before="0" w:line="259" w:lineRule="auto"/>
            </w:pPr>
            <w:r>
              <w:rPr>
                <w:rFonts w:ascii="Calibri" w:hAnsi="Calibri"/>
                <w:b w:val="0"/>
                <w:i w:val="0"/>
                <w:color w:val="212121"/>
                <w:sz w:val="19"/>
              </w:rPr>
              <w:t>Open, uncovered wounds during water/soil contact</w:t>
            </w:r>
          </w:p>
        </w:tc>
        <w:tc>
          <w:tcPr>
            <w:tcW w:type="dxa" w:w="1468"/>
            <w:vAlign w:val="top"/>
          </w:tcPr>
          <w:p>
            <w:pPr>
              <w:spacing w:after="60" w:line="259" w:lineRule="auto"/>
            </w:pPr>
            <w:r>
              <w:rPr>
                <w:rFonts w:ascii="Calibri" w:hAnsi="Calibri"/>
                <w:b w:val="0"/>
                <w:i w:val="0"/>
                <w:color w:val="212121"/>
                <w:sz w:val="19"/>
              </w:rPr>
              <w:t>Broken skin is a principal portal of entry for leptospires</w:t>
            </w:r>
          </w:p>
          <w:p>
            <w:pPr>
              <w:spacing w:after="40" w:line="252" w:lineRule="auto"/>
            </w:pPr>
            <w:hyperlink r:id="rId16">
              <w:r>
                <w:rPr>
                  <w:rFonts w:ascii="Calibri" w:hAnsi="Calibri" w:cs="Calibri"/>
                  <w:sz w:val="18"/>
                  <w:color w:val="1155CC"/>
                  <w:u w:val="single"/>
                </w:rPr>
                <w:t xml:space="preserve">https://www.cdc.gov/yellow-book/hcp/travel-associated-infections-diseases/leptospirosis.html</w:t>
              </w:r>
            </w:hyperlink>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Rodent infestation at home/workplace</w:t>
            </w:r>
          </w:p>
        </w:tc>
        <w:tc>
          <w:tcPr>
            <w:tcW w:type="dxa" w:w="1655"/>
            <w:vAlign w:val="top"/>
          </w:tcPr>
          <w:p>
            <w:pPr>
              <w:spacing w:after="40" w:before="0" w:line="259" w:lineRule="auto"/>
            </w:pPr>
            <w:r>
              <w:rPr>
                <w:rFonts w:ascii="Calibri" w:hAnsi="Calibri"/>
                <w:b w:val="0"/>
                <w:i w:val="0"/>
                <w:color w:val="212121"/>
                <w:sz w:val="19"/>
              </w:rPr>
              <w:t>Slum &amp; rural households, godown workers</w:t>
            </w:r>
          </w:p>
        </w:tc>
        <w:tc>
          <w:tcPr>
            <w:tcW w:type="dxa" w:w="1512"/>
            <w:vAlign w:val="top"/>
          </w:tcPr>
          <w:p>
            <w:pPr>
              <w:spacing w:after="40" w:before="0" w:line="259" w:lineRule="auto"/>
            </w:pPr>
            <w:r>
              <w:rPr>
                <w:rFonts w:ascii="Calibri" w:hAnsi="Calibri"/>
                <w:b w:val="0"/>
                <w:i w:val="0"/>
                <w:color w:val="212121"/>
                <w:sz w:val="19"/>
              </w:rPr>
              <w:t>No visible rodent activity; rodent-proofed stores</w:t>
            </w:r>
          </w:p>
        </w:tc>
        <w:tc>
          <w:tcPr>
            <w:tcW w:type="dxa" w:w="1512"/>
            <w:vAlign w:val="top"/>
          </w:tcPr>
          <w:p>
            <w:pPr>
              <w:spacing w:after="40" w:before="0" w:line="259" w:lineRule="auto"/>
            </w:pPr>
            <w:r>
              <w:rPr>
                <w:rFonts w:ascii="Calibri" w:hAnsi="Calibri"/>
                <w:b w:val="0"/>
                <w:i w:val="0"/>
                <w:color w:val="212121"/>
                <w:sz w:val="19"/>
              </w:rPr>
              <w:t>Visible rodent infestation / droppings</w:t>
            </w:r>
          </w:p>
        </w:tc>
        <w:tc>
          <w:tcPr>
            <w:tcW w:type="dxa" w:w="1468"/>
            <w:vAlign w:val="top"/>
          </w:tcPr>
          <w:p>
            <w:pPr>
              <w:spacing w:after="60" w:line="259" w:lineRule="auto"/>
            </w:pPr>
            <w:r>
              <w:rPr>
                <w:rFonts w:ascii="Calibri" w:hAnsi="Calibri"/>
                <w:b w:val="0"/>
                <w:i w:val="0"/>
                <w:color w:val="212121"/>
                <w:sz w:val="19"/>
              </w:rPr>
              <w:t>Rats are the principal reservoir shedding Icterohaemorrhagiae in urine</w:t>
            </w:r>
          </w:p>
          <w:p>
            <w:pPr>
              <w:spacing w:after="40" w:line="252" w:lineRule="auto"/>
            </w:pPr>
            <w:hyperlink r:id="rId12">
              <w:r>
                <w:rPr>
                  <w:rFonts w:ascii="Calibri" w:hAnsi="Calibri" w:cs="Calibri"/>
                  <w:sz w:val="18"/>
                  <w:color w:val="1155CC"/>
                  <w:u w:val="single"/>
                </w:rPr>
                <w:t xml:space="preserve">https://microbiologyjournal.org/epidemiological-status-of-leptospirosis-in-india/</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Direct animal-urine / livestock contact (occupational)</w:t>
            </w:r>
          </w:p>
        </w:tc>
        <w:tc>
          <w:tcPr>
            <w:tcW w:type="dxa" w:w="1655"/>
            <w:vAlign w:val="top"/>
          </w:tcPr>
          <w:p>
            <w:pPr>
              <w:spacing w:after="40" w:before="0" w:line="259" w:lineRule="auto"/>
            </w:pPr>
            <w:r>
              <w:rPr>
                <w:rFonts w:ascii="Calibri" w:hAnsi="Calibri"/>
                <w:b w:val="0"/>
                <w:i w:val="0"/>
                <w:color w:val="212121"/>
                <w:sz w:val="19"/>
              </w:rPr>
              <w:t>Cattle, poultry, pig handlers, veterinarians</w:t>
            </w:r>
          </w:p>
        </w:tc>
        <w:tc>
          <w:tcPr>
            <w:tcW w:type="dxa" w:w="1512"/>
            <w:vAlign w:val="top"/>
          </w:tcPr>
          <w:p>
            <w:pPr>
              <w:spacing w:after="40" w:before="0" w:line="259" w:lineRule="auto"/>
            </w:pPr>
            <w:r>
              <w:rPr>
                <w:rFonts w:ascii="Calibri" w:hAnsi="Calibri"/>
                <w:b w:val="0"/>
                <w:i w:val="0"/>
                <w:color w:val="212121"/>
                <w:sz w:val="19"/>
              </w:rPr>
              <w:t>Handled only with PPE; sheds kept dry</w:t>
            </w:r>
          </w:p>
        </w:tc>
        <w:tc>
          <w:tcPr>
            <w:tcW w:type="dxa" w:w="1512"/>
            <w:vAlign w:val="top"/>
          </w:tcPr>
          <w:p>
            <w:pPr>
              <w:spacing w:after="40" w:before="0" w:line="259" w:lineRule="auto"/>
            </w:pPr>
            <w:r>
              <w:rPr>
                <w:rFonts w:ascii="Calibri" w:hAnsi="Calibri"/>
                <w:b w:val="0"/>
                <w:i w:val="0"/>
                <w:color w:val="212121"/>
                <w:sz w:val="19"/>
              </w:rPr>
              <w:t>Unprotected contact with livestock urine/tissue</w:t>
            </w:r>
          </w:p>
        </w:tc>
        <w:tc>
          <w:tcPr>
            <w:tcW w:type="dxa" w:w="1468"/>
            <w:vAlign w:val="top"/>
          </w:tcPr>
          <w:p>
            <w:pPr>
              <w:spacing w:after="60" w:line="259" w:lineRule="auto"/>
            </w:pPr>
            <w:r>
              <w:rPr>
                <w:rFonts w:ascii="Calibri" w:hAnsi="Calibri"/>
                <w:b w:val="0"/>
                <w:i w:val="0"/>
                <w:color w:val="212121"/>
                <w:sz w:val="19"/>
              </w:rPr>
              <w:t>Cattle- and poultry-farm workers had 54.5% and 56.6% seropositivity</w:t>
            </w:r>
          </w:p>
          <w:p>
            <w:pPr>
              <w:spacing w:after="40" w:line="252" w:lineRule="auto"/>
            </w:pPr>
            <w:hyperlink r:id="rId11">
              <w:r>
                <w:rPr>
                  <w:rFonts w:ascii="Calibri" w:hAnsi="Calibri" w:cs="Calibri"/>
                  <w:sz w:val="18"/>
                  <w:color w:val="1155CC"/>
                  <w:u w:val="single"/>
                </w:rPr>
                <w:t xml:space="preserve">https://pubmed.ncbi.nlm.nih.gov/39114107/</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Doxycycline chemoprophylaxis during high-risk exposure</w:t>
            </w:r>
          </w:p>
        </w:tc>
        <w:tc>
          <w:tcPr>
            <w:tcW w:type="dxa" w:w="1655"/>
            <w:vAlign w:val="top"/>
          </w:tcPr>
          <w:p>
            <w:pPr>
              <w:spacing w:after="40" w:before="0" w:line="259" w:lineRule="auto"/>
            </w:pPr>
            <w:r>
              <w:rPr>
                <w:rFonts w:ascii="Calibri" w:hAnsi="Calibri"/>
                <w:b w:val="0"/>
                <w:i w:val="0"/>
                <w:color w:val="212121"/>
                <w:sz w:val="19"/>
              </w:rPr>
              <w:t>High-risk workers, flood responders</w:t>
            </w:r>
          </w:p>
        </w:tc>
        <w:tc>
          <w:tcPr>
            <w:tcW w:type="dxa" w:w="1512"/>
            <w:vAlign w:val="top"/>
          </w:tcPr>
          <w:p>
            <w:pPr>
              <w:spacing w:after="40" w:before="0" w:line="259" w:lineRule="auto"/>
            </w:pPr>
            <w:r>
              <w:rPr>
                <w:rFonts w:ascii="Calibri" w:hAnsi="Calibri"/>
                <w:b w:val="0"/>
                <w:i w:val="0"/>
                <w:color w:val="212121"/>
                <w:sz w:val="19"/>
              </w:rPr>
              <w:t>200 mg orally once weekly through the exposure period</w:t>
            </w:r>
          </w:p>
        </w:tc>
        <w:tc>
          <w:tcPr>
            <w:tcW w:type="dxa" w:w="1512"/>
            <w:vAlign w:val="top"/>
          </w:tcPr>
          <w:p>
            <w:pPr>
              <w:spacing w:after="40" w:before="0" w:line="259" w:lineRule="auto"/>
            </w:pPr>
            <w:r>
              <w:rPr>
                <w:rFonts w:ascii="Calibri" w:hAnsi="Calibri"/>
                <w:b w:val="0"/>
                <w:i w:val="0"/>
                <w:color w:val="212121"/>
                <w:sz w:val="19"/>
              </w:rPr>
              <w:t>High-risk exposure without prophylaxis</w:t>
            </w:r>
          </w:p>
        </w:tc>
        <w:tc>
          <w:tcPr>
            <w:tcW w:type="dxa" w:w="1468"/>
            <w:vAlign w:val="top"/>
          </w:tcPr>
          <w:p>
            <w:pPr>
              <w:spacing w:after="60" w:line="259" w:lineRule="auto"/>
            </w:pPr>
            <w:r>
              <w:rPr>
                <w:rFonts w:ascii="Calibri" w:hAnsi="Calibri"/>
                <w:b w:val="0"/>
                <w:i w:val="0"/>
                <w:color w:val="212121"/>
                <w:sz w:val="19"/>
              </w:rPr>
              <w:t>Weekly doxycycline can prevent clinical disease during defined high-risk exposures</w:t>
            </w:r>
          </w:p>
          <w:p>
            <w:pPr>
              <w:spacing w:after="40" w:line="252" w:lineRule="auto"/>
            </w:pPr>
            <w:hyperlink r:id="rId16">
              <w:r>
                <w:rPr>
                  <w:rFonts w:ascii="Calibri" w:hAnsi="Calibri" w:cs="Calibri"/>
                  <w:sz w:val="18"/>
                  <w:color w:val="1155CC"/>
                  <w:u w:val="single"/>
                </w:rPr>
                <w:t xml:space="preserve">https://www.cdc.gov/yellow-book/hcp/travel-associated-infections-diseases/leptospirosis.html</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Weekly alcohol intake</w:t>
            </w:r>
          </w:p>
        </w:tc>
        <w:tc>
          <w:tcPr>
            <w:tcW w:type="dxa" w:w="1655"/>
            <w:vAlign w:val="top"/>
          </w:tcPr>
          <w:p>
            <w:pPr>
              <w:spacing w:after="40" w:before="0" w:line="259" w:lineRule="auto"/>
            </w:pPr>
            <w:r>
              <w:rPr>
                <w:rFonts w:ascii="Calibri" w:hAnsi="Calibri"/>
                <w:b w:val="0"/>
                <w:i w:val="0"/>
                <w:color w:val="212121"/>
                <w:sz w:val="19"/>
              </w:rPr>
              <w:t>Adults, patients with liver disease</w:t>
            </w:r>
          </w:p>
        </w:tc>
        <w:tc>
          <w:tcPr>
            <w:tcW w:type="dxa" w:w="1512"/>
            <w:vAlign w:val="top"/>
          </w:tcPr>
          <w:p>
            <w:pPr>
              <w:spacing w:after="40" w:before="0" w:line="259" w:lineRule="auto"/>
            </w:pPr>
            <w:r>
              <w:rPr>
                <w:rFonts w:ascii="Calibri" w:hAnsi="Calibri"/>
                <w:b w:val="0"/>
                <w:i w:val="0"/>
                <w:color w:val="212121"/>
                <w:sz w:val="19"/>
              </w:rPr>
              <w:t>≤ 14 units/week; none if liver disease</w:t>
            </w:r>
          </w:p>
        </w:tc>
        <w:tc>
          <w:tcPr>
            <w:tcW w:type="dxa" w:w="1512"/>
            <w:vAlign w:val="top"/>
          </w:tcPr>
          <w:p>
            <w:pPr>
              <w:spacing w:after="40" w:before="0" w:line="259" w:lineRule="auto"/>
            </w:pPr>
            <w:r>
              <w:rPr>
                <w:rFonts w:ascii="Calibri" w:hAnsi="Calibri"/>
                <w:b w:val="0"/>
                <w:i w:val="0"/>
                <w:color w:val="212121"/>
                <w:sz w:val="19"/>
              </w:rPr>
              <w:t>Heavy use / alcoholic liver disease</w:t>
            </w:r>
          </w:p>
        </w:tc>
        <w:tc>
          <w:tcPr>
            <w:tcW w:type="dxa" w:w="1468"/>
            <w:vAlign w:val="top"/>
          </w:tcPr>
          <w:p>
            <w:pPr>
              <w:spacing w:after="60" w:line="259" w:lineRule="auto"/>
            </w:pPr>
            <w:r>
              <w:rPr>
                <w:rFonts w:ascii="Calibri" w:hAnsi="Calibri"/>
                <w:b w:val="0"/>
                <w:i w:val="0"/>
                <w:color w:val="212121"/>
                <w:sz w:val="19"/>
              </w:rPr>
              <w:t>Heavy drinking predisposes to severe icteric disease and higher mortality</w:t>
            </w:r>
          </w:p>
          <w:p>
            <w:pPr>
              <w:spacing w:after="40" w:line="252" w:lineRule="auto"/>
            </w:pPr>
            <w:hyperlink r:id="rId14">
              <w:r>
                <w:rPr>
                  <w:rFonts w:ascii="Calibri" w:hAnsi="Calibri" w:cs="Calibri"/>
                  <w:sz w:val="18"/>
                  <w:color w:val="1155CC"/>
                  <w:u w:val="single"/>
                </w:rPr>
                <w:t xml:space="preserve">https://www.frontiersin.org/journals/medicine/articles/10.3389/fmed.2022.887292/full</w:t>
              </w:r>
            </w:hyperlink>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Barefoot outdoor field-work exposure (hours/week)</w:t>
            </w:r>
          </w:p>
        </w:tc>
        <w:tc>
          <w:tcPr>
            <w:tcW w:type="dxa" w:w="1655"/>
            <w:vAlign w:val="top"/>
          </w:tcPr>
          <w:p>
            <w:pPr>
              <w:spacing w:after="40" w:before="0" w:line="259" w:lineRule="auto"/>
            </w:pPr>
            <w:r>
              <w:rPr>
                <w:rFonts w:ascii="Calibri" w:hAnsi="Calibri"/>
                <w:b w:val="0"/>
                <w:i w:val="0"/>
                <w:color w:val="212121"/>
                <w:sz w:val="19"/>
              </w:rPr>
              <w:t>Agricultural &amp; sanitation workers</w:t>
            </w:r>
          </w:p>
        </w:tc>
        <w:tc>
          <w:tcPr>
            <w:tcW w:type="dxa" w:w="1512"/>
            <w:vAlign w:val="top"/>
          </w:tcPr>
          <w:p>
            <w:pPr>
              <w:spacing w:after="40" w:before="0" w:line="259" w:lineRule="auto"/>
            </w:pPr>
            <w:r>
              <w:rPr>
                <w:rFonts w:ascii="Calibri" w:hAnsi="Calibri"/>
                <w:b w:val="0"/>
                <w:i w:val="0"/>
                <w:color w:val="212121"/>
                <w:sz w:val="19"/>
              </w:rPr>
              <w:t>Minimised; always with footwear</w:t>
            </w:r>
          </w:p>
        </w:tc>
        <w:tc>
          <w:tcPr>
            <w:tcW w:type="dxa" w:w="1512"/>
            <w:vAlign w:val="top"/>
          </w:tcPr>
          <w:p>
            <w:pPr>
              <w:spacing w:after="40" w:before="0" w:line="259" w:lineRule="auto"/>
            </w:pPr>
            <w:r>
              <w:rPr>
                <w:rFonts w:ascii="Calibri" w:hAnsi="Calibri"/>
                <w:b w:val="0"/>
                <w:i w:val="0"/>
                <w:color w:val="212121"/>
                <w:sz w:val="19"/>
              </w:rPr>
              <w:t>Prolonged barefoot work in wet fields/drains</w:t>
            </w:r>
          </w:p>
        </w:tc>
        <w:tc>
          <w:tcPr>
            <w:tcW w:type="dxa" w:w="1468"/>
            <w:vAlign w:val="top"/>
          </w:tcPr>
          <w:p>
            <w:pPr>
              <w:spacing w:after="60" w:line="259" w:lineRule="auto"/>
            </w:pPr>
            <w:r>
              <w:rPr>
                <w:rFonts w:ascii="Calibri" w:hAnsi="Calibri"/>
                <w:b w:val="0"/>
                <w:i w:val="0"/>
                <w:color w:val="212121"/>
                <w:sz w:val="19"/>
              </w:rPr>
              <w:t>Duration of skin contact with contaminated water scales infection risk</w:t>
            </w:r>
          </w:p>
          <w:p>
            <w:pPr>
              <w:spacing w:after="40" w:line="252" w:lineRule="auto"/>
            </w:pPr>
            <w:hyperlink r:id="rId12">
              <w:r>
                <w:rPr>
                  <w:rFonts w:ascii="Calibri" w:hAnsi="Calibri" w:cs="Calibri"/>
                  <w:sz w:val="18"/>
                  <w:color w:val="1155CC"/>
                  <w:u w:val="single"/>
                </w:rPr>
                <w:t xml:space="preserve">https://microbiologyjournal.org/epidemiological-status-of-leptospirosis-in-india/</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Serology</w:t>
            </w:r>
          </w:p>
        </w:tc>
        <w:tc>
          <w:tcPr>
            <w:tcW w:type="dxa" w:w="1036"/>
            <w:vAlign w:val="top"/>
          </w:tcPr>
          <w:p>
            <w:pPr>
              <w:spacing w:after="40" w:before="0" w:line="259" w:lineRule="auto"/>
            </w:pPr>
            <w:r>
              <w:rPr>
                <w:rFonts w:ascii="Calibri" w:hAnsi="Calibri"/>
                <w:b w:val="0"/>
                <w:i w:val="0"/>
                <w:color w:val="212121"/>
                <w:sz w:val="16"/>
              </w:rPr>
              <w:t>Anti-Leptospira IgM</w:t>
            </w:r>
          </w:p>
        </w:tc>
        <w:tc>
          <w:tcPr>
            <w:tcW w:type="dxa" w:w="892"/>
            <w:vAlign w:val="top"/>
          </w:tcPr>
          <w:p>
            <w:pPr>
              <w:spacing w:after="40" w:before="0" w:line="259" w:lineRule="auto"/>
            </w:pPr>
            <w:r>
              <w:rPr>
                <w:rFonts w:ascii="Calibri" w:hAnsi="Calibri"/>
                <w:b w:val="0"/>
                <w:i w:val="0"/>
                <w:color w:val="212121"/>
                <w:sz w:val="16"/>
              </w:rPr>
              <w:t>IgM ELISA</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 (from ≈ day 3–5)</w:t>
            </w:r>
          </w:p>
        </w:tc>
        <w:tc>
          <w:tcPr>
            <w:tcW w:type="dxa" w:w="1036"/>
            <w:vAlign w:val="top"/>
          </w:tcPr>
          <w:p>
            <w:pPr>
              <w:spacing w:after="40" w:before="0" w:line="259" w:lineRule="auto"/>
            </w:pPr>
            <w:r>
              <w:rPr>
                <w:rFonts w:ascii="Calibri" w:hAnsi="Calibri"/>
                <w:b w:val="0"/>
                <w:i w:val="0"/>
                <w:color w:val="212121"/>
                <w:sz w:val="16"/>
              </w:rPr>
              <w:t>Indicates recent/acute leptospiral infection; preferred test for early diagnosis</w:t>
            </w:r>
          </w:p>
        </w:tc>
        <w:tc>
          <w:tcPr>
            <w:tcW w:type="dxa" w:w="1036"/>
            <w:vAlign w:val="top"/>
          </w:tcPr>
          <w:p>
            <w:pPr>
              <w:spacing w:after="40" w:before="0" w:line="259" w:lineRule="auto"/>
            </w:pPr>
            <w:r>
              <w:rPr>
                <w:rFonts w:ascii="Calibri" w:hAnsi="Calibri"/>
                <w:b w:val="0"/>
                <w:i w:val="0"/>
                <w:color w:val="212121"/>
                <w:sz w:val="16"/>
              </w:rPr>
              <w:t>Acute febrile patients with monsoon/occupational exposure</w:t>
            </w:r>
          </w:p>
        </w:tc>
        <w:tc>
          <w:tcPr>
            <w:tcW w:type="dxa" w:w="720"/>
            <w:vAlign w:val="top"/>
          </w:tcPr>
          <w:p>
            <w:pPr>
              <w:spacing w:after="40" w:before="0" w:line="259" w:lineRule="auto"/>
            </w:pPr>
            <w:r>
              <w:rPr>
                <w:rFonts w:ascii="Calibri" w:hAnsi="Calibri"/>
                <w:b w:val="0"/>
                <w:i w:val="0"/>
                <w:color w:val="212121"/>
                <w:sz w:val="16"/>
              </w:rPr>
              <w:t>Water; Provoking factors</w:t>
            </w:r>
          </w:p>
        </w:tc>
        <w:tc>
          <w:tcPr>
            <w:tcW w:type="dxa" w:w="720"/>
            <w:vAlign w:val="top"/>
          </w:tcPr>
          <w:p>
            <w:pPr>
              <w:spacing w:after="40" w:before="0" w:line="259" w:lineRule="auto"/>
            </w:pPr>
            <w:r>
              <w:rPr>
                <w:rFonts w:ascii="Calibri" w:hAnsi="Calibri"/>
                <w:b w:val="0"/>
                <w:i w:val="0"/>
                <w:color w:val="212121"/>
                <w:sz w:val="16"/>
              </w:rPr>
              <w:t>Diagnostic (early)</w:t>
            </w:r>
          </w:p>
        </w:tc>
        <w:tc>
          <w:tcPr>
            <w:tcW w:type="dxa" w:w="720"/>
            <w:vAlign w:val="top"/>
          </w:tcPr>
          <w:p>
            <w:pPr>
              <w:spacing w:after="40" w:before="0" w:line="259" w:lineRule="auto"/>
            </w:pPr>
            <w:r>
              <w:rPr>
                <w:rFonts w:ascii="Calibri" w:hAnsi="Calibri"/>
                <w:b w:val="0"/>
                <w:i w:val="0"/>
                <w:color w:val="212121"/>
                <w:sz w:val="16"/>
              </w:rPr>
              <w:t>Sensitivity ≈ 86%, specificity ≈ 84%; may be negative in first 2–3 days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Serology</w:t>
            </w:r>
          </w:p>
        </w:tc>
        <w:tc>
          <w:tcPr>
            <w:tcW w:type="dxa" w:w="1036"/>
            <w:vAlign w:val="top"/>
          </w:tcPr>
          <w:p>
            <w:pPr>
              <w:spacing w:after="40" w:before="0" w:line="259" w:lineRule="auto"/>
            </w:pPr>
            <w:r>
              <w:rPr>
                <w:rFonts w:ascii="Calibri" w:hAnsi="Calibri"/>
                <w:b w:val="0"/>
                <w:i w:val="0"/>
                <w:color w:val="212121"/>
                <w:sz w:val="16"/>
              </w:rPr>
              <w:t>Agglutinating antibody titre</w:t>
            </w:r>
          </w:p>
        </w:tc>
        <w:tc>
          <w:tcPr>
            <w:tcW w:type="dxa" w:w="892"/>
            <w:vAlign w:val="top"/>
          </w:tcPr>
          <w:p>
            <w:pPr>
              <w:spacing w:after="40" w:before="0" w:line="259" w:lineRule="auto"/>
            </w:pPr>
            <w:r>
              <w:rPr>
                <w:rFonts w:ascii="Calibri" w:hAnsi="Calibri"/>
                <w:b w:val="0"/>
                <w:i w:val="0"/>
                <w:color w:val="212121"/>
                <w:sz w:val="16"/>
              </w:rPr>
              <w:t>Microscopic Agglutination Test (MAT)</w:t>
            </w:r>
          </w:p>
        </w:tc>
        <w:tc>
          <w:tcPr>
            <w:tcW w:type="dxa" w:w="950"/>
            <w:vAlign w:val="top"/>
          </w:tcPr>
          <w:p>
            <w:pPr>
              <w:spacing w:after="40" w:before="0" w:line="259" w:lineRule="auto"/>
            </w:pPr>
            <w:r>
              <w:rPr>
                <w:rFonts w:ascii="Calibri" w:hAnsi="Calibri"/>
                <w:b w:val="0"/>
                <w:i w:val="0"/>
                <w:color w:val="212121"/>
                <w:sz w:val="16"/>
              </w:rPr>
              <w:t>&lt; 1:100</w:t>
            </w:r>
          </w:p>
        </w:tc>
        <w:tc>
          <w:tcPr>
            <w:tcW w:type="dxa" w:w="950"/>
            <w:vAlign w:val="top"/>
          </w:tcPr>
          <w:p>
            <w:pPr>
              <w:spacing w:after="40" w:before="0" w:line="259" w:lineRule="auto"/>
            </w:pPr>
            <w:r>
              <w:rPr>
                <w:rFonts w:ascii="Calibri" w:hAnsi="Calibri"/>
                <w:b w:val="0"/>
                <w:i w:val="0"/>
                <w:color w:val="212121"/>
                <w:sz w:val="16"/>
              </w:rPr>
              <w:t>≥ 1:400 single, or 4-fold rise / seroconversion ≥ 1:100 in paired sera</w:t>
            </w:r>
          </w:p>
        </w:tc>
        <w:tc>
          <w:tcPr>
            <w:tcW w:type="dxa" w:w="1036"/>
            <w:vAlign w:val="top"/>
          </w:tcPr>
          <w:p>
            <w:pPr>
              <w:spacing w:after="40" w:before="0" w:line="259" w:lineRule="auto"/>
            </w:pPr>
            <w:r>
              <w:rPr>
                <w:rFonts w:ascii="Calibri" w:hAnsi="Calibri"/>
                <w:b w:val="0"/>
                <w:i w:val="0"/>
                <w:color w:val="212121"/>
                <w:sz w:val="16"/>
              </w:rPr>
              <w:t>Reference standard; confirms infection and identifies presumptive serogroup</w:t>
            </w:r>
          </w:p>
        </w:tc>
        <w:tc>
          <w:tcPr>
            <w:tcW w:type="dxa" w:w="1036"/>
            <w:vAlign w:val="top"/>
          </w:tcPr>
          <w:p>
            <w:pPr>
              <w:spacing w:after="40" w:before="0" w:line="259" w:lineRule="auto"/>
            </w:pPr>
            <w:r>
              <w:rPr>
                <w:rFonts w:ascii="Calibri" w:hAnsi="Calibri"/>
                <w:b w:val="0"/>
                <w:i w:val="0"/>
                <w:color w:val="212121"/>
                <w:sz w:val="16"/>
              </w:rPr>
              <w:t>Confirmed/serogrouping, outbreak investigation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Needs live antigen panel and paired sera; acute-phase sensitivity limited (~55–77%)</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Molecular</w:t>
            </w:r>
          </w:p>
        </w:tc>
        <w:tc>
          <w:tcPr>
            <w:tcW w:type="dxa" w:w="1036"/>
            <w:vAlign w:val="top"/>
          </w:tcPr>
          <w:p>
            <w:pPr>
              <w:spacing w:after="40" w:before="0" w:line="259" w:lineRule="auto"/>
            </w:pPr>
            <w:r>
              <w:rPr>
                <w:rFonts w:ascii="Calibri" w:hAnsi="Calibri"/>
                <w:b w:val="0"/>
                <w:i w:val="0"/>
                <w:color w:val="212121"/>
                <w:sz w:val="16"/>
              </w:rPr>
              <w:t>Leptospira DNA</w:t>
            </w:r>
          </w:p>
        </w:tc>
        <w:tc>
          <w:tcPr>
            <w:tcW w:type="dxa" w:w="892"/>
            <w:vAlign w:val="top"/>
          </w:tcPr>
          <w:p>
            <w:pPr>
              <w:spacing w:after="40" w:before="0" w:line="259" w:lineRule="auto"/>
            </w:pPr>
            <w:r>
              <w:rPr>
                <w:rFonts w:ascii="Calibri" w:hAnsi="Calibri"/>
                <w:b w:val="0"/>
                <w:i w:val="0"/>
                <w:color w:val="212121"/>
                <w:sz w:val="16"/>
              </w:rPr>
              <w:t>PCR (blood/urine/CSF)</w:t>
            </w:r>
          </w:p>
        </w:tc>
        <w:tc>
          <w:tcPr>
            <w:tcW w:type="dxa" w:w="950"/>
            <w:vAlign w:val="top"/>
          </w:tcPr>
          <w:p>
            <w:pPr>
              <w:spacing w:after="40" w:before="0" w:line="259" w:lineRule="auto"/>
            </w:pPr>
            <w:r>
              <w:rPr>
                <w:rFonts w:ascii="Calibri" w:hAnsi="Calibri"/>
                <w:b w:val="0"/>
                <w:i w:val="0"/>
                <w:color w:val="212121"/>
                <w:sz w:val="16"/>
              </w:rPr>
              <w:t>Not detected</w:t>
            </w:r>
          </w:p>
        </w:tc>
        <w:tc>
          <w:tcPr>
            <w:tcW w:type="dxa" w:w="950"/>
            <w:vAlign w:val="top"/>
          </w:tcPr>
          <w:p>
            <w:pPr>
              <w:spacing w:after="40" w:before="0" w:line="259" w:lineRule="auto"/>
            </w:pPr>
            <w:r>
              <w:rPr>
                <w:rFonts w:ascii="Calibri" w:hAnsi="Calibri"/>
                <w:b w:val="0"/>
                <w:i w:val="0"/>
                <w:color w:val="212121"/>
                <w:sz w:val="16"/>
              </w:rPr>
              <w:t>Detected</w:t>
            </w:r>
          </w:p>
        </w:tc>
        <w:tc>
          <w:tcPr>
            <w:tcW w:type="dxa" w:w="1036"/>
            <w:vAlign w:val="top"/>
          </w:tcPr>
          <w:p>
            <w:pPr>
              <w:spacing w:after="40" w:before="0" w:line="259" w:lineRule="auto"/>
            </w:pPr>
            <w:r>
              <w:rPr>
                <w:rFonts w:ascii="Calibri" w:hAnsi="Calibri"/>
                <w:b w:val="0"/>
                <w:i w:val="0"/>
                <w:color w:val="212121"/>
                <w:sz w:val="16"/>
              </w:rPr>
              <w:t>Confirms infection in the first week before antibodies rise (blood/CSF), or in urine after ~day 7</w:t>
            </w:r>
          </w:p>
        </w:tc>
        <w:tc>
          <w:tcPr>
            <w:tcW w:type="dxa" w:w="1036"/>
            <w:vAlign w:val="top"/>
          </w:tcPr>
          <w:p>
            <w:pPr>
              <w:spacing w:after="40" w:before="0" w:line="259" w:lineRule="auto"/>
            </w:pPr>
            <w:r>
              <w:rPr>
                <w:rFonts w:ascii="Calibri" w:hAnsi="Calibri"/>
                <w:b w:val="0"/>
                <w:i w:val="0"/>
                <w:color w:val="212121"/>
                <w:sz w:val="16"/>
              </w:rPr>
              <w:t>Early acute presentation, culture-negative severe cases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Confirmatory (early)</w:t>
            </w:r>
          </w:p>
        </w:tc>
        <w:tc>
          <w:tcPr>
            <w:tcW w:type="dxa" w:w="720"/>
            <w:vAlign w:val="top"/>
          </w:tcPr>
          <w:p>
            <w:pPr>
              <w:spacing w:after="40" w:before="0" w:line="259" w:lineRule="auto"/>
            </w:pPr>
            <w:r>
              <w:rPr>
                <w:rFonts w:ascii="Calibri" w:hAnsi="Calibri"/>
                <w:b w:val="0"/>
                <w:i w:val="0"/>
                <w:color w:val="212121"/>
                <w:sz w:val="16"/>
              </w:rPr>
              <w:t>Highly specific; sensitivity falls once antibiotics started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creatinine / urea</w:t>
            </w:r>
          </w:p>
        </w:tc>
        <w:tc>
          <w:tcPr>
            <w:tcW w:type="dxa" w:w="892"/>
            <w:vAlign w:val="top"/>
          </w:tcPr>
          <w:p>
            <w:pPr>
              <w:spacing w:after="40" w:before="0" w:line="259" w:lineRule="auto"/>
            </w:pPr>
            <w:r>
              <w:rPr>
                <w:rFonts w:ascii="Calibri" w:hAnsi="Calibri"/>
                <w:b w:val="0"/>
                <w:i w:val="0"/>
                <w:color w:val="212121"/>
                <w:sz w:val="16"/>
              </w:rPr>
              <w:t>Renal Function Test</w:t>
            </w:r>
          </w:p>
        </w:tc>
        <w:tc>
          <w:tcPr>
            <w:tcW w:type="dxa" w:w="950"/>
            <w:vAlign w:val="top"/>
          </w:tcPr>
          <w:p>
            <w:pPr>
              <w:spacing w:after="40" w:before="0" w:line="259" w:lineRule="auto"/>
            </w:pPr>
            <w:r>
              <w:rPr>
                <w:rFonts w:ascii="Calibri" w:hAnsi="Calibri"/>
                <w:b w:val="0"/>
                <w:i w:val="0"/>
                <w:color w:val="212121"/>
                <w:sz w:val="16"/>
              </w:rPr>
              <w:t>Creatinine 0.6–1.2 mg/dL</w:t>
            </w:r>
          </w:p>
        </w:tc>
        <w:tc>
          <w:tcPr>
            <w:tcW w:type="dxa" w:w="950"/>
            <w:vAlign w:val="top"/>
          </w:tcPr>
          <w:p>
            <w:pPr>
              <w:spacing w:after="40" w:before="0" w:line="259" w:lineRule="auto"/>
            </w:pPr>
            <w:r>
              <w:rPr>
                <w:rFonts w:ascii="Calibri" w:hAnsi="Calibri"/>
                <w:b w:val="0"/>
                <w:i w:val="0"/>
                <w:color w:val="212121"/>
                <w:sz w:val="16"/>
              </w:rPr>
              <w:t>Rising creatinine / ≥ 1.5 mg/dL, oliguria</w:t>
            </w:r>
          </w:p>
        </w:tc>
        <w:tc>
          <w:tcPr>
            <w:tcW w:type="dxa" w:w="1036"/>
            <w:vAlign w:val="top"/>
          </w:tcPr>
          <w:p>
            <w:pPr>
              <w:spacing w:after="40" w:before="0" w:line="259" w:lineRule="auto"/>
            </w:pPr>
            <w:r>
              <w:rPr>
                <w:rFonts w:ascii="Calibri" w:hAnsi="Calibri"/>
                <w:b w:val="0"/>
                <w:i w:val="0"/>
                <w:color w:val="212121"/>
                <w:sz w:val="16"/>
              </w:rPr>
              <w:t>Detects leptospiral acute kidney injury — characteristically non-oliguric and hypokalaemic</w:t>
            </w:r>
          </w:p>
        </w:tc>
        <w:tc>
          <w:tcPr>
            <w:tcW w:type="dxa" w:w="1036"/>
            <w:vAlign w:val="top"/>
          </w:tcPr>
          <w:p>
            <w:pPr>
              <w:spacing w:after="40" w:before="0" w:line="259" w:lineRule="auto"/>
            </w:pPr>
            <w:r>
              <w:rPr>
                <w:rFonts w:ascii="Calibri" w:hAnsi="Calibri"/>
                <w:b w:val="0"/>
                <w:i w:val="0"/>
                <w:color w:val="212121"/>
                <w:sz w:val="16"/>
              </w:rPr>
              <w:t>Severe/icteric disease, elderly, CKD</w:t>
            </w:r>
          </w:p>
        </w:tc>
        <w:tc>
          <w:tcPr>
            <w:tcW w:type="dxa" w:w="720"/>
            <w:vAlign w:val="top"/>
          </w:tcPr>
          <w:p>
            <w:pPr>
              <w:spacing w:after="40" w:before="0" w:line="259" w:lineRule="auto"/>
            </w:pPr>
            <w:r>
              <w:rPr>
                <w:rFonts w:ascii="Calibri" w:hAnsi="Calibri"/>
                <w:b w:val="0"/>
                <w:i w:val="0"/>
                <w:color w:val="212121"/>
                <w:sz w:val="16"/>
              </w:rPr>
              <w:t>Water</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AKI is a key severity and mortality marker; may need dialysis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bilirubin &amp; transaminases</w:t>
            </w:r>
          </w:p>
        </w:tc>
        <w:tc>
          <w:tcPr>
            <w:tcW w:type="dxa" w:w="892"/>
            <w:vAlign w:val="top"/>
          </w:tcPr>
          <w:p>
            <w:pPr>
              <w:spacing w:after="40" w:before="0" w:line="259" w:lineRule="auto"/>
            </w:pPr>
            <w:r>
              <w:rPr>
                <w:rFonts w:ascii="Calibri" w:hAnsi="Calibri"/>
                <w:b w:val="0"/>
                <w:i w:val="0"/>
                <w:color w:val="212121"/>
                <w:sz w:val="16"/>
              </w:rPr>
              <w:t>Liver Function Test</w:t>
            </w:r>
          </w:p>
        </w:tc>
        <w:tc>
          <w:tcPr>
            <w:tcW w:type="dxa" w:w="950"/>
            <w:vAlign w:val="top"/>
          </w:tcPr>
          <w:p>
            <w:pPr>
              <w:spacing w:after="40" w:before="0" w:line="259" w:lineRule="auto"/>
            </w:pPr>
            <w:r>
              <w:rPr>
                <w:rFonts w:ascii="Calibri" w:hAnsi="Calibri"/>
                <w:b w:val="0"/>
                <w:i w:val="0"/>
                <w:color w:val="212121"/>
                <w:sz w:val="16"/>
              </w:rPr>
              <w:t>Bilirubin &lt; 1.2 mg/dL; AST/ALT &lt; 40 U/L</w:t>
            </w:r>
          </w:p>
        </w:tc>
        <w:tc>
          <w:tcPr>
            <w:tcW w:type="dxa" w:w="950"/>
            <w:vAlign w:val="top"/>
          </w:tcPr>
          <w:p>
            <w:pPr>
              <w:spacing w:after="40" w:before="0" w:line="259" w:lineRule="auto"/>
            </w:pPr>
            <w:r>
              <w:rPr>
                <w:rFonts w:ascii="Calibri" w:hAnsi="Calibri"/>
                <w:b w:val="0"/>
                <w:i w:val="0"/>
                <w:color w:val="212121"/>
                <w:sz w:val="16"/>
              </w:rPr>
              <w:t>Marked conjugated hyperbilirubinaemia with only modestly raised AST/ALT</w:t>
            </w:r>
          </w:p>
        </w:tc>
        <w:tc>
          <w:tcPr>
            <w:tcW w:type="dxa" w:w="1036"/>
            <w:vAlign w:val="top"/>
          </w:tcPr>
          <w:p>
            <w:pPr>
              <w:spacing w:after="40" w:before="0" w:line="259" w:lineRule="auto"/>
            </w:pPr>
            <w:r>
              <w:rPr>
                <w:rFonts w:ascii="Calibri" w:hAnsi="Calibri"/>
                <w:b w:val="0"/>
                <w:i w:val="0"/>
                <w:color w:val="212121"/>
                <w:sz w:val="16"/>
              </w:rPr>
              <w:t>Disproportionate jaundice with mild transaminitis is characteristic of Weil's disease</w:t>
            </w:r>
          </w:p>
        </w:tc>
        <w:tc>
          <w:tcPr>
            <w:tcW w:type="dxa" w:w="1036"/>
            <w:vAlign w:val="top"/>
          </w:tcPr>
          <w:p>
            <w:pPr>
              <w:spacing w:after="40" w:before="0" w:line="259" w:lineRule="auto"/>
            </w:pPr>
            <w:r>
              <w:rPr>
                <w:rFonts w:ascii="Calibri" w:hAnsi="Calibri"/>
                <w:b w:val="0"/>
                <w:i w:val="0"/>
                <w:color w:val="212121"/>
                <w:sz w:val="16"/>
              </w:rPr>
              <w:t>Icteric leptospirosis, alcoholic liver disease</w:t>
            </w:r>
          </w:p>
        </w:tc>
        <w:tc>
          <w:tcPr>
            <w:tcW w:type="dxa" w:w="720"/>
            <w:vAlign w:val="top"/>
          </w:tcPr>
          <w:p>
            <w:pPr>
              <w:spacing w:after="40" w:before="0" w:line="259" w:lineRule="auto"/>
            </w:pPr>
            <w:r>
              <w:rPr>
                <w:rFonts w:ascii="Calibri" w:hAnsi="Calibri"/>
                <w:b w:val="0"/>
                <w:i w:val="0"/>
                <w:color w:val="212121"/>
                <w:sz w:val="16"/>
              </w:rPr>
              <w:t>Alcohol</w:t>
            </w:r>
          </w:p>
        </w:tc>
        <w:tc>
          <w:tcPr>
            <w:tcW w:type="dxa" w:w="720"/>
            <w:vAlign w:val="top"/>
          </w:tcPr>
          <w:p>
            <w:pPr>
              <w:spacing w:after="40" w:before="0" w:line="259" w:lineRule="auto"/>
            </w:pPr>
            <w:r>
              <w:rPr>
                <w:rFonts w:ascii="Calibri" w:hAnsi="Calibri"/>
                <w:b w:val="0"/>
                <w:i w:val="0"/>
                <w:color w:val="212121"/>
                <w:sz w:val="16"/>
              </w:rPr>
              <w:t>Diagnostic clue</w:t>
            </w:r>
          </w:p>
        </w:tc>
        <w:tc>
          <w:tcPr>
            <w:tcW w:type="dxa" w:w="720"/>
            <w:vAlign w:val="top"/>
          </w:tcPr>
          <w:p>
            <w:pPr>
              <w:spacing w:after="40" w:before="0" w:line="259" w:lineRule="auto"/>
            </w:pPr>
            <w:r>
              <w:rPr>
                <w:rFonts w:ascii="Calibri" w:hAnsi="Calibri"/>
                <w:b w:val="0"/>
                <w:i w:val="0"/>
                <w:color w:val="212121"/>
                <w:sz w:val="16"/>
              </w:rPr>
              <w:t>Helps distinguish from viral hepatitis, in which transaminases are far higher</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Platelet count</w:t>
            </w:r>
          </w:p>
        </w:tc>
        <w:tc>
          <w:tcPr>
            <w:tcW w:type="dxa" w:w="892"/>
            <w:vAlign w:val="top"/>
          </w:tcPr>
          <w:p>
            <w:pPr>
              <w:spacing w:after="40" w:before="0" w:line="259" w:lineRule="auto"/>
            </w:pPr>
            <w:r>
              <w:rPr>
                <w:rFonts w:ascii="Calibri" w:hAnsi="Calibri"/>
                <w:b w:val="0"/>
                <w:i w:val="0"/>
                <w:color w:val="212121"/>
                <w:sz w:val="16"/>
              </w:rPr>
              <w:t>Complete Blood Count</w:t>
            </w:r>
          </w:p>
        </w:tc>
        <w:tc>
          <w:tcPr>
            <w:tcW w:type="dxa" w:w="950"/>
            <w:vAlign w:val="top"/>
          </w:tcPr>
          <w:p>
            <w:pPr>
              <w:spacing w:after="40" w:before="0" w:line="259" w:lineRule="auto"/>
            </w:pPr>
            <w:r>
              <w:rPr>
                <w:rFonts w:ascii="Calibri" w:hAnsi="Calibri"/>
                <w:b w:val="0"/>
                <w:i w:val="0"/>
                <w:color w:val="212121"/>
                <w:sz w:val="16"/>
              </w:rPr>
              <w:t>1.5–4.5 lakh/µL</w:t>
            </w:r>
          </w:p>
        </w:tc>
        <w:tc>
          <w:tcPr>
            <w:tcW w:type="dxa" w:w="950"/>
            <w:vAlign w:val="top"/>
          </w:tcPr>
          <w:p>
            <w:pPr>
              <w:spacing w:after="40" w:before="0" w:line="259" w:lineRule="auto"/>
            </w:pPr>
            <w:r>
              <w:rPr>
                <w:rFonts w:ascii="Calibri" w:hAnsi="Calibri"/>
                <w:b w:val="0"/>
                <w:i w:val="0"/>
                <w:color w:val="212121"/>
                <w:sz w:val="16"/>
              </w:rPr>
              <w:t>Thrombocytopenia (&lt; 1.0 lakh/µL)</w:t>
            </w:r>
          </w:p>
        </w:tc>
        <w:tc>
          <w:tcPr>
            <w:tcW w:type="dxa" w:w="1036"/>
            <w:vAlign w:val="top"/>
          </w:tcPr>
          <w:p>
            <w:pPr>
              <w:spacing w:after="40" w:before="0" w:line="259" w:lineRule="auto"/>
            </w:pPr>
            <w:r>
              <w:rPr>
                <w:rFonts w:ascii="Calibri" w:hAnsi="Calibri"/>
                <w:b w:val="0"/>
                <w:i w:val="0"/>
                <w:color w:val="212121"/>
                <w:sz w:val="16"/>
              </w:rPr>
              <w:t>Thrombocytopenia correlates with disease severity, AKI and bleeding risk</w:t>
            </w:r>
          </w:p>
        </w:tc>
        <w:tc>
          <w:tcPr>
            <w:tcW w:type="dxa" w:w="1036"/>
            <w:vAlign w:val="top"/>
          </w:tcPr>
          <w:p>
            <w:pPr>
              <w:spacing w:after="40" w:before="0" w:line="259" w:lineRule="auto"/>
            </w:pPr>
            <w:r>
              <w:rPr>
                <w:rFonts w:ascii="Calibri" w:hAnsi="Calibri"/>
                <w:b w:val="0"/>
                <w:i w:val="0"/>
                <w:color w:val="212121"/>
                <w:sz w:val="16"/>
              </w:rPr>
              <w:t>Severe disease, bleeding, SPHS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Often with neutrophilic leucocytosis — unlike most viral fevers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Creatine kinase (CK)</w:t>
            </w:r>
          </w:p>
        </w:tc>
        <w:tc>
          <w:tcPr>
            <w:tcW w:type="dxa" w:w="892"/>
            <w:vAlign w:val="top"/>
          </w:tcPr>
          <w:p>
            <w:pPr>
              <w:spacing w:after="40" w:before="0" w:line="259" w:lineRule="auto"/>
            </w:pPr>
            <w:r>
              <w:rPr>
                <w:rFonts w:ascii="Calibri" w:hAnsi="Calibri"/>
                <w:b w:val="0"/>
                <w:i w:val="0"/>
                <w:color w:val="212121"/>
                <w:sz w:val="16"/>
              </w:rPr>
              <w:t>Serum CK</w:t>
            </w:r>
          </w:p>
        </w:tc>
        <w:tc>
          <w:tcPr>
            <w:tcW w:type="dxa" w:w="950"/>
            <w:vAlign w:val="top"/>
          </w:tcPr>
          <w:p>
            <w:pPr>
              <w:spacing w:after="40" w:before="0" w:line="259" w:lineRule="auto"/>
            </w:pPr>
            <w:r>
              <w:rPr>
                <w:rFonts w:ascii="Calibri" w:hAnsi="Calibri"/>
                <w:b w:val="0"/>
                <w:i w:val="0"/>
                <w:color w:val="212121"/>
                <w:sz w:val="16"/>
              </w:rPr>
              <w:t>&lt; 200 U/L</w:t>
            </w:r>
          </w:p>
        </w:tc>
        <w:tc>
          <w:tcPr>
            <w:tcW w:type="dxa" w:w="950"/>
            <w:vAlign w:val="top"/>
          </w:tcPr>
          <w:p>
            <w:pPr>
              <w:spacing w:after="40" w:before="0" w:line="259" w:lineRule="auto"/>
            </w:pPr>
            <w:r>
              <w:rPr>
                <w:rFonts w:ascii="Calibri" w:hAnsi="Calibri"/>
                <w:b w:val="0"/>
                <w:i w:val="0"/>
                <w:color w:val="212121"/>
                <w:sz w:val="16"/>
              </w:rPr>
              <w:t>Elevated (often &gt; 5–10×)</w:t>
            </w:r>
          </w:p>
        </w:tc>
        <w:tc>
          <w:tcPr>
            <w:tcW w:type="dxa" w:w="1036"/>
            <w:vAlign w:val="top"/>
          </w:tcPr>
          <w:p>
            <w:pPr>
              <w:spacing w:after="40" w:before="0" w:line="259" w:lineRule="auto"/>
            </w:pPr>
            <w:r>
              <w:rPr>
                <w:rFonts w:ascii="Calibri" w:hAnsi="Calibri"/>
                <w:b w:val="0"/>
                <w:i w:val="0"/>
                <w:color w:val="212121"/>
                <w:sz w:val="16"/>
              </w:rPr>
              <w:t>Raised CK reflects the intense myositis/rhabdomyolysis of leptospirosis</w:t>
            </w:r>
          </w:p>
        </w:tc>
        <w:tc>
          <w:tcPr>
            <w:tcW w:type="dxa" w:w="1036"/>
            <w:vAlign w:val="top"/>
          </w:tcPr>
          <w:p>
            <w:pPr>
              <w:spacing w:after="40" w:before="0" w:line="259" w:lineRule="auto"/>
            </w:pPr>
            <w:r>
              <w:rPr>
                <w:rFonts w:ascii="Calibri" w:hAnsi="Calibri"/>
                <w:b w:val="0"/>
                <w:i w:val="0"/>
                <w:color w:val="212121"/>
                <w:sz w:val="16"/>
              </w:rPr>
              <w:t>Patients with severe myalgia</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A useful early clue distinguishing leptospirosis from viral hepatitis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Urine</w:t>
            </w:r>
          </w:p>
        </w:tc>
        <w:tc>
          <w:tcPr>
            <w:tcW w:type="dxa" w:w="1036"/>
            <w:vAlign w:val="top"/>
          </w:tcPr>
          <w:p>
            <w:pPr>
              <w:spacing w:after="40" w:before="0" w:line="259" w:lineRule="auto"/>
            </w:pPr>
            <w:r>
              <w:rPr>
                <w:rFonts w:ascii="Calibri" w:hAnsi="Calibri"/>
                <w:b w:val="0"/>
                <w:i w:val="0"/>
                <w:color w:val="212121"/>
                <w:sz w:val="16"/>
              </w:rPr>
              <w:t>Protein, cells, casts</w:t>
            </w:r>
          </w:p>
        </w:tc>
        <w:tc>
          <w:tcPr>
            <w:tcW w:type="dxa" w:w="892"/>
            <w:vAlign w:val="top"/>
          </w:tcPr>
          <w:p>
            <w:pPr>
              <w:spacing w:after="40" w:before="0" w:line="259" w:lineRule="auto"/>
            </w:pPr>
            <w:r>
              <w:rPr>
                <w:rFonts w:ascii="Calibri" w:hAnsi="Calibri"/>
                <w:b w:val="0"/>
                <w:i w:val="0"/>
                <w:color w:val="212121"/>
                <w:sz w:val="16"/>
              </w:rPr>
              <w:t>Urinalysis</w:t>
            </w:r>
          </w:p>
        </w:tc>
        <w:tc>
          <w:tcPr>
            <w:tcW w:type="dxa" w:w="950"/>
            <w:vAlign w:val="top"/>
          </w:tcPr>
          <w:p>
            <w:pPr>
              <w:spacing w:after="40" w:before="0" w:line="259" w:lineRule="auto"/>
            </w:pPr>
            <w:r>
              <w:rPr>
                <w:rFonts w:ascii="Calibri" w:hAnsi="Calibri"/>
                <w:b w:val="0"/>
                <w:i w:val="0"/>
                <w:color w:val="212121"/>
                <w:sz w:val="16"/>
              </w:rPr>
              <w:t>No protein/cells</w:t>
            </w:r>
          </w:p>
        </w:tc>
        <w:tc>
          <w:tcPr>
            <w:tcW w:type="dxa" w:w="950"/>
            <w:vAlign w:val="top"/>
          </w:tcPr>
          <w:p>
            <w:pPr>
              <w:spacing w:after="40" w:before="0" w:line="259" w:lineRule="auto"/>
            </w:pPr>
            <w:r>
              <w:rPr>
                <w:rFonts w:ascii="Calibri" w:hAnsi="Calibri"/>
                <w:b w:val="0"/>
                <w:i w:val="0"/>
                <w:color w:val="212121"/>
                <w:sz w:val="16"/>
              </w:rPr>
              <w:t>Proteinuria, pyuria, haematuria, granular casts</w:t>
            </w:r>
          </w:p>
        </w:tc>
        <w:tc>
          <w:tcPr>
            <w:tcW w:type="dxa" w:w="1036"/>
            <w:vAlign w:val="top"/>
          </w:tcPr>
          <w:p>
            <w:pPr>
              <w:spacing w:after="40" w:before="0" w:line="259" w:lineRule="auto"/>
            </w:pPr>
            <w:r>
              <w:rPr>
                <w:rFonts w:ascii="Calibri" w:hAnsi="Calibri"/>
                <w:b w:val="0"/>
                <w:i w:val="0"/>
                <w:color w:val="212121"/>
                <w:sz w:val="16"/>
              </w:rPr>
              <w:t>Reflects interstitial nephritis / tubular injury</w:t>
            </w:r>
          </w:p>
        </w:tc>
        <w:tc>
          <w:tcPr>
            <w:tcW w:type="dxa" w:w="1036"/>
            <w:vAlign w:val="top"/>
          </w:tcPr>
          <w:p>
            <w:pPr>
              <w:spacing w:after="40" w:before="0" w:line="259" w:lineRule="auto"/>
            </w:pPr>
            <w:r>
              <w:rPr>
                <w:rFonts w:ascii="Calibri" w:hAnsi="Calibri"/>
                <w:b w:val="0"/>
                <w:i w:val="0"/>
                <w:color w:val="212121"/>
                <w:sz w:val="16"/>
              </w:rPr>
              <w:t>Patients with renal involvement</w:t>
            </w:r>
          </w:p>
        </w:tc>
        <w:tc>
          <w:tcPr>
            <w:tcW w:type="dxa" w:w="720"/>
            <w:vAlign w:val="top"/>
          </w:tcPr>
          <w:p>
            <w:pPr>
              <w:spacing w:after="40" w:before="0" w:line="259" w:lineRule="auto"/>
            </w:pPr>
            <w:r>
              <w:rPr>
                <w:rFonts w:ascii="Calibri" w:hAnsi="Calibri"/>
                <w:b w:val="0"/>
                <w:i w:val="0"/>
                <w:color w:val="212121"/>
                <w:sz w:val="16"/>
              </w:rPr>
              <w:t>Water</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Common early even before creatinine rises</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Exposure history</w:t>
            </w:r>
          </w:p>
        </w:tc>
        <w:tc>
          <w:tcPr>
            <w:tcW w:type="dxa" w:w="979"/>
            <w:vAlign w:val="top"/>
          </w:tcPr>
          <w:p>
            <w:pPr>
              <w:spacing w:after="40" w:before="0" w:line="259" w:lineRule="auto"/>
            </w:pPr>
            <w:r>
              <w:rPr>
                <w:rFonts w:ascii="Calibri" w:hAnsi="Calibri"/>
                <w:b w:val="0"/>
                <w:i w:val="0"/>
                <w:color w:val="212121"/>
                <w:sz w:val="16"/>
              </w:rPr>
              <w:t>Monsoon/flood, occupational water &amp; animal contact</w:t>
            </w:r>
          </w:p>
        </w:tc>
        <w:tc>
          <w:tcPr>
            <w:tcW w:type="dxa" w:w="950"/>
            <w:vAlign w:val="top"/>
          </w:tcPr>
          <w:p>
            <w:pPr>
              <w:spacing w:after="40" w:before="0" w:line="259" w:lineRule="auto"/>
            </w:pPr>
            <w:r>
              <w:rPr>
                <w:rFonts w:ascii="Calibri" w:hAnsi="Calibri"/>
                <w:b w:val="0"/>
                <w:i w:val="0"/>
                <w:color w:val="212121"/>
                <w:sz w:val="16"/>
              </w:rPr>
              <w:t>No relevant exposure</w:t>
            </w:r>
          </w:p>
        </w:tc>
        <w:tc>
          <w:tcPr>
            <w:tcW w:type="dxa" w:w="950"/>
            <w:vAlign w:val="top"/>
          </w:tcPr>
          <w:p>
            <w:pPr>
              <w:spacing w:after="40" w:before="0" w:line="259" w:lineRule="auto"/>
            </w:pPr>
            <w:r>
              <w:rPr>
                <w:rFonts w:ascii="Calibri" w:hAnsi="Calibri"/>
                <w:b w:val="0"/>
                <w:i w:val="0"/>
                <w:color w:val="212121"/>
                <w:sz w:val="16"/>
              </w:rPr>
              <w:t>Wading in floodwater, paddy/sewage work, animal/rodent contact</w:t>
            </w:r>
          </w:p>
        </w:tc>
        <w:tc>
          <w:tcPr>
            <w:tcW w:type="dxa" w:w="1036"/>
            <w:vAlign w:val="top"/>
          </w:tcPr>
          <w:p>
            <w:pPr>
              <w:spacing w:after="40" w:before="0" w:line="259" w:lineRule="auto"/>
            </w:pPr>
            <w:r>
              <w:rPr>
                <w:rFonts w:ascii="Calibri" w:hAnsi="Calibri"/>
                <w:b w:val="0"/>
                <w:i w:val="0"/>
                <w:color w:val="212121"/>
                <w:sz w:val="16"/>
              </w:rPr>
              <w:t>Compatible exposure in the incubation window (2–30 days) strongly supports the diagnosis</w:t>
            </w:r>
          </w:p>
        </w:tc>
        <w:tc>
          <w:tcPr>
            <w:tcW w:type="dxa" w:w="1036"/>
            <w:vAlign w:val="top"/>
          </w:tcPr>
          <w:p>
            <w:pPr>
              <w:spacing w:after="40" w:before="0" w:line="259" w:lineRule="auto"/>
            </w:pPr>
            <w:r>
              <w:rPr>
                <w:rFonts w:ascii="Calibri" w:hAnsi="Calibri"/>
                <w:b w:val="0"/>
                <w:i w:val="0"/>
                <w:color w:val="212121"/>
                <w:sz w:val="16"/>
              </w:rPr>
              <w:t>Farmers, sanitation &amp; animal workers, flood-exposed</w:t>
            </w:r>
          </w:p>
        </w:tc>
        <w:tc>
          <w:tcPr>
            <w:tcW w:type="dxa" w:w="720"/>
            <w:vAlign w:val="top"/>
          </w:tcPr>
          <w:p>
            <w:pPr>
              <w:spacing w:after="40" w:before="0" w:line="259" w:lineRule="auto"/>
            </w:pPr>
            <w:r>
              <w:rPr>
                <w:rFonts w:ascii="Calibri" w:hAnsi="Calibri"/>
                <w:b w:val="0"/>
                <w:i w:val="0"/>
                <w:color w:val="212121"/>
                <w:sz w:val="16"/>
              </w:rPr>
              <w:t>Water; 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The single most important pointer in an undifferentiated fever</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Abrupt fever with severe myalgia (calf/lumbar) and headache</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Present</w:t>
            </w:r>
          </w:p>
        </w:tc>
        <w:tc>
          <w:tcPr>
            <w:tcW w:type="dxa" w:w="1036"/>
            <w:vAlign w:val="top"/>
          </w:tcPr>
          <w:p>
            <w:pPr>
              <w:spacing w:after="40" w:before="0" w:line="259" w:lineRule="auto"/>
            </w:pPr>
            <w:r>
              <w:rPr>
                <w:rFonts w:ascii="Calibri" w:hAnsi="Calibri"/>
                <w:b w:val="0"/>
                <w:i w:val="0"/>
                <w:color w:val="212121"/>
                <w:sz w:val="16"/>
              </w:rPr>
              <w:t>Classic prodrome of the leptospiraemic phase</w:t>
            </w:r>
          </w:p>
        </w:tc>
        <w:tc>
          <w:tcPr>
            <w:tcW w:type="dxa" w:w="1036"/>
            <w:vAlign w:val="top"/>
          </w:tcPr>
          <w:p>
            <w:pPr>
              <w:spacing w:after="40" w:before="0" w:line="259" w:lineRule="auto"/>
            </w:pPr>
            <w:r>
              <w:rPr>
                <w:rFonts w:ascii="Calibri" w:hAnsi="Calibri"/>
                <w:b w:val="0"/>
                <w:i w:val="0"/>
                <w:color w:val="212121"/>
                <w:sz w:val="16"/>
              </w:rPr>
              <w:t>Acute febrile patients</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Calf tenderness is a characteristic complaint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Inspection</w:t>
            </w:r>
          </w:p>
        </w:tc>
        <w:tc>
          <w:tcPr>
            <w:tcW w:type="dxa" w:w="950"/>
            <w:vAlign w:val="top"/>
          </w:tcPr>
          <w:p>
            <w:pPr>
              <w:spacing w:after="40" w:before="0" w:line="259" w:lineRule="auto"/>
            </w:pPr>
            <w:r>
              <w:rPr>
                <w:rFonts w:ascii="Calibri" w:hAnsi="Calibri"/>
                <w:b w:val="0"/>
                <w:i w:val="0"/>
                <w:color w:val="212121"/>
                <w:sz w:val="16"/>
              </w:rPr>
              <w:t>Conjunctival suffusion</w:t>
            </w:r>
          </w:p>
        </w:tc>
        <w:tc>
          <w:tcPr>
            <w:tcW w:type="dxa" w:w="979"/>
            <w:vAlign w:val="top"/>
          </w:tcPr>
          <w:p>
            <w:pPr>
              <w:spacing w:after="40" w:before="0" w:line="259" w:lineRule="auto"/>
            </w:pPr>
            <w:r>
              <w:rPr>
                <w:rFonts w:ascii="Calibri" w:hAnsi="Calibri"/>
                <w:b w:val="0"/>
                <w:i w:val="0"/>
                <w:color w:val="212121"/>
                <w:sz w:val="16"/>
              </w:rPr>
              <w:t>Red eyes without discharge or pus</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Bilateral conjunctival suffusion</w:t>
            </w:r>
          </w:p>
        </w:tc>
        <w:tc>
          <w:tcPr>
            <w:tcW w:type="dxa" w:w="1036"/>
            <w:vAlign w:val="top"/>
          </w:tcPr>
          <w:p>
            <w:pPr>
              <w:spacing w:after="40" w:before="0" w:line="259" w:lineRule="auto"/>
            </w:pPr>
            <w:r>
              <w:rPr>
                <w:rFonts w:ascii="Calibri" w:hAnsi="Calibri"/>
                <w:b w:val="0"/>
                <w:i w:val="0"/>
                <w:color w:val="212121"/>
                <w:sz w:val="16"/>
              </w:rPr>
              <w:t>Highly suggestive physical sign of leptospirosis</w:t>
            </w:r>
          </w:p>
        </w:tc>
        <w:tc>
          <w:tcPr>
            <w:tcW w:type="dxa" w:w="1036"/>
            <w:vAlign w:val="top"/>
          </w:tcPr>
          <w:p>
            <w:pPr>
              <w:spacing w:after="40" w:before="0" w:line="259" w:lineRule="auto"/>
            </w:pPr>
            <w:r>
              <w:rPr>
                <w:rFonts w:ascii="Calibri" w:hAnsi="Calibri"/>
                <w:b w:val="0"/>
                <w:i w:val="0"/>
                <w:color w:val="212121"/>
                <w:sz w:val="16"/>
              </w:rPr>
              <w:t>Any suspected case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clue</w:t>
            </w:r>
          </w:p>
        </w:tc>
        <w:tc>
          <w:tcPr>
            <w:tcW w:type="dxa" w:w="720"/>
            <w:vAlign w:val="top"/>
          </w:tcPr>
          <w:p>
            <w:pPr>
              <w:spacing w:after="40" w:before="0" w:line="259" w:lineRule="auto"/>
            </w:pPr>
            <w:r>
              <w:rPr>
                <w:rFonts w:ascii="Calibri" w:hAnsi="Calibri"/>
                <w:b w:val="0"/>
                <w:i w:val="0"/>
                <w:color w:val="212121"/>
                <w:sz w:val="16"/>
              </w:rPr>
              <w:t>Reported in about a third of patients; often overlooked</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Inspection</w:t>
            </w:r>
          </w:p>
        </w:tc>
        <w:tc>
          <w:tcPr>
            <w:tcW w:type="dxa" w:w="950"/>
            <w:vAlign w:val="top"/>
          </w:tcPr>
          <w:p>
            <w:pPr>
              <w:spacing w:after="40" w:before="0" w:line="259" w:lineRule="auto"/>
            </w:pPr>
            <w:r>
              <w:rPr>
                <w:rFonts w:ascii="Calibri" w:hAnsi="Calibri"/>
                <w:b w:val="0"/>
                <w:i w:val="0"/>
                <w:color w:val="212121"/>
                <w:sz w:val="16"/>
              </w:rPr>
              <w:t>Jaundice</w:t>
            </w:r>
          </w:p>
        </w:tc>
        <w:tc>
          <w:tcPr>
            <w:tcW w:type="dxa" w:w="979"/>
            <w:vAlign w:val="top"/>
          </w:tcPr>
          <w:p>
            <w:pPr>
              <w:spacing w:after="40" w:before="0" w:line="259" w:lineRule="auto"/>
            </w:pPr>
            <w:r>
              <w:rPr>
                <w:rFonts w:ascii="Calibri" w:hAnsi="Calibri"/>
                <w:b w:val="0"/>
                <w:i w:val="0"/>
                <w:color w:val="212121"/>
                <w:sz w:val="16"/>
              </w:rPr>
              <w:t>Scleral/skin icterus (often deep orange, 'rubinic')</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Present</w:t>
            </w:r>
          </w:p>
        </w:tc>
        <w:tc>
          <w:tcPr>
            <w:tcW w:type="dxa" w:w="1036"/>
            <w:vAlign w:val="top"/>
          </w:tcPr>
          <w:p>
            <w:pPr>
              <w:spacing w:after="40" w:before="0" w:line="259" w:lineRule="auto"/>
            </w:pPr>
            <w:r>
              <w:rPr>
                <w:rFonts w:ascii="Calibri" w:hAnsi="Calibri"/>
                <w:b w:val="0"/>
                <w:i w:val="0"/>
                <w:color w:val="212121"/>
                <w:sz w:val="16"/>
              </w:rPr>
              <w:t>Marks the severe icteric (Weil's) form</w:t>
            </w:r>
          </w:p>
        </w:tc>
        <w:tc>
          <w:tcPr>
            <w:tcW w:type="dxa" w:w="1036"/>
            <w:vAlign w:val="top"/>
          </w:tcPr>
          <w:p>
            <w:pPr>
              <w:spacing w:after="40" w:before="0" w:line="259" w:lineRule="auto"/>
            </w:pPr>
            <w:r>
              <w:rPr>
                <w:rFonts w:ascii="Calibri" w:hAnsi="Calibri"/>
                <w:b w:val="0"/>
                <w:i w:val="0"/>
                <w:color w:val="212121"/>
                <w:sz w:val="16"/>
              </w:rPr>
              <w:t>Severe disease, alcoholic liver disease</w:t>
            </w:r>
          </w:p>
        </w:tc>
        <w:tc>
          <w:tcPr>
            <w:tcW w:type="dxa" w:w="720"/>
            <w:vAlign w:val="top"/>
          </w:tcPr>
          <w:p>
            <w:pPr>
              <w:spacing w:after="40" w:before="0" w:line="259" w:lineRule="auto"/>
            </w:pPr>
            <w:r>
              <w:rPr>
                <w:rFonts w:ascii="Calibri" w:hAnsi="Calibri"/>
                <w:b w:val="0"/>
                <w:i w:val="0"/>
                <w:color w:val="212121"/>
                <w:sz w:val="16"/>
              </w:rPr>
              <w:t>Alcohol</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Jaundice was an independent predictor of prolonged hospitalisation (OR ≈ 2.7)</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Palpation</w:t>
            </w:r>
          </w:p>
        </w:tc>
        <w:tc>
          <w:tcPr>
            <w:tcW w:type="dxa" w:w="950"/>
            <w:vAlign w:val="top"/>
          </w:tcPr>
          <w:p>
            <w:pPr>
              <w:spacing w:after="40" w:before="0" w:line="259" w:lineRule="auto"/>
            </w:pPr>
            <w:r>
              <w:rPr>
                <w:rFonts w:ascii="Calibri" w:hAnsi="Calibri"/>
                <w:b w:val="0"/>
                <w:i w:val="0"/>
                <w:color w:val="212121"/>
                <w:sz w:val="16"/>
              </w:rPr>
              <w:t>Calf muscle &amp; hepatic tenderness</w:t>
            </w:r>
          </w:p>
        </w:tc>
        <w:tc>
          <w:tcPr>
            <w:tcW w:type="dxa" w:w="979"/>
            <w:vAlign w:val="top"/>
          </w:tcPr>
          <w:p>
            <w:pPr>
              <w:spacing w:after="40" w:before="0" w:line="259" w:lineRule="auto"/>
            </w:pPr>
            <w:r>
              <w:rPr>
                <w:rFonts w:ascii="Calibri" w:hAnsi="Calibri"/>
                <w:b w:val="0"/>
                <w:i w:val="0"/>
                <w:color w:val="212121"/>
                <w:sz w:val="16"/>
              </w:rPr>
              <w:t>Tender calves; tender hepatomegaly</w:t>
            </w:r>
          </w:p>
        </w:tc>
        <w:tc>
          <w:tcPr>
            <w:tcW w:type="dxa" w:w="950"/>
            <w:vAlign w:val="top"/>
          </w:tcPr>
          <w:p>
            <w:pPr>
              <w:spacing w:after="40" w:before="0" w:line="259" w:lineRule="auto"/>
            </w:pPr>
            <w:r>
              <w:rPr>
                <w:rFonts w:ascii="Calibri" w:hAnsi="Calibri"/>
                <w:b w:val="0"/>
                <w:i w:val="0"/>
                <w:color w:val="212121"/>
                <w:sz w:val="16"/>
              </w:rPr>
              <w:t>Non-tender</w:t>
            </w:r>
          </w:p>
        </w:tc>
        <w:tc>
          <w:tcPr>
            <w:tcW w:type="dxa" w:w="950"/>
            <w:vAlign w:val="top"/>
          </w:tcPr>
          <w:p>
            <w:pPr>
              <w:spacing w:after="40" w:before="0" w:line="259" w:lineRule="auto"/>
            </w:pPr>
            <w:r>
              <w:rPr>
                <w:rFonts w:ascii="Calibri" w:hAnsi="Calibri"/>
                <w:b w:val="0"/>
                <w:i w:val="0"/>
                <w:color w:val="212121"/>
                <w:sz w:val="16"/>
              </w:rPr>
              <w:t>Marked tenderness / hepatomegaly</w:t>
            </w:r>
          </w:p>
        </w:tc>
        <w:tc>
          <w:tcPr>
            <w:tcW w:type="dxa" w:w="1036"/>
            <w:vAlign w:val="top"/>
          </w:tcPr>
          <w:p>
            <w:pPr>
              <w:spacing w:after="40" w:before="0" w:line="259" w:lineRule="auto"/>
            </w:pPr>
            <w:r>
              <w:rPr>
                <w:rFonts w:ascii="Calibri" w:hAnsi="Calibri"/>
                <w:b w:val="0"/>
                <w:i w:val="0"/>
                <w:color w:val="212121"/>
                <w:sz w:val="16"/>
              </w:rPr>
              <w:t>Reflects myositis and hepatic involvement</w:t>
            </w:r>
          </w:p>
        </w:tc>
        <w:tc>
          <w:tcPr>
            <w:tcW w:type="dxa" w:w="1036"/>
            <w:vAlign w:val="top"/>
          </w:tcPr>
          <w:p>
            <w:pPr>
              <w:spacing w:after="40" w:before="0" w:line="259" w:lineRule="auto"/>
            </w:pPr>
            <w:r>
              <w:rPr>
                <w:rFonts w:ascii="Calibri" w:hAnsi="Calibri"/>
                <w:b w:val="0"/>
                <w:i w:val="0"/>
                <w:color w:val="212121"/>
                <w:sz w:val="16"/>
              </w:rPr>
              <w:t>Symptomatic patients</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Correlates with raised CK and bilirubin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Systemic exam</w:t>
            </w:r>
          </w:p>
        </w:tc>
        <w:tc>
          <w:tcPr>
            <w:tcW w:type="dxa" w:w="950"/>
            <w:vAlign w:val="top"/>
          </w:tcPr>
          <w:p>
            <w:pPr>
              <w:spacing w:after="40" w:before="0" w:line="259" w:lineRule="auto"/>
            </w:pPr>
            <w:r>
              <w:rPr>
                <w:rFonts w:ascii="Calibri" w:hAnsi="Calibri"/>
                <w:b w:val="0"/>
                <w:i w:val="0"/>
                <w:color w:val="212121"/>
                <w:sz w:val="16"/>
              </w:rPr>
              <w:t>Respiratory &amp; neurological assessment</w:t>
            </w:r>
          </w:p>
        </w:tc>
        <w:tc>
          <w:tcPr>
            <w:tcW w:type="dxa" w:w="979"/>
            <w:vAlign w:val="top"/>
          </w:tcPr>
          <w:p>
            <w:pPr>
              <w:spacing w:after="40" w:before="0" w:line="259" w:lineRule="auto"/>
            </w:pPr>
            <w:r>
              <w:rPr>
                <w:rFonts w:ascii="Calibri" w:hAnsi="Calibri"/>
                <w:b w:val="0"/>
                <w:i w:val="0"/>
                <w:color w:val="212121"/>
                <w:sz w:val="16"/>
              </w:rPr>
              <w:t>Tachypnoea/haemoptysis; meningism</w:t>
            </w:r>
          </w:p>
        </w:tc>
        <w:tc>
          <w:tcPr>
            <w:tcW w:type="dxa" w:w="950"/>
            <w:vAlign w:val="top"/>
          </w:tcPr>
          <w:p>
            <w:pPr>
              <w:spacing w:after="40" w:before="0" w:line="259" w:lineRule="auto"/>
            </w:pPr>
            <w:r>
              <w:rPr>
                <w:rFonts w:ascii="Calibri" w:hAnsi="Calibri"/>
                <w:b w:val="0"/>
                <w:i w:val="0"/>
                <w:color w:val="212121"/>
                <w:sz w:val="16"/>
              </w:rPr>
              <w:t>Normal RR, no meningism</w:t>
            </w:r>
          </w:p>
        </w:tc>
        <w:tc>
          <w:tcPr>
            <w:tcW w:type="dxa" w:w="950"/>
            <w:vAlign w:val="top"/>
          </w:tcPr>
          <w:p>
            <w:pPr>
              <w:spacing w:after="40" w:before="0" w:line="259" w:lineRule="auto"/>
            </w:pPr>
            <w:r>
              <w:rPr>
                <w:rFonts w:ascii="Calibri" w:hAnsi="Calibri"/>
                <w:b w:val="0"/>
                <w:i w:val="0"/>
                <w:color w:val="212121"/>
                <w:sz w:val="16"/>
              </w:rPr>
              <w:t>Respiratory distress, haemoptysis, neck stiffness</w:t>
            </w:r>
          </w:p>
        </w:tc>
        <w:tc>
          <w:tcPr>
            <w:tcW w:type="dxa" w:w="1036"/>
            <w:vAlign w:val="top"/>
          </w:tcPr>
          <w:p>
            <w:pPr>
              <w:spacing w:after="40" w:before="0" w:line="259" w:lineRule="auto"/>
            </w:pPr>
            <w:r>
              <w:rPr>
                <w:rFonts w:ascii="Calibri" w:hAnsi="Calibri"/>
                <w:b w:val="0"/>
                <w:i w:val="0"/>
                <w:color w:val="212121"/>
                <w:sz w:val="16"/>
              </w:rPr>
              <w:t>Detects severe pulmonary haemorrhage syndrome and immune-phase aseptic meningitis</w:t>
            </w:r>
          </w:p>
        </w:tc>
        <w:tc>
          <w:tcPr>
            <w:tcW w:type="dxa" w:w="1036"/>
            <w:vAlign w:val="top"/>
          </w:tcPr>
          <w:p>
            <w:pPr>
              <w:spacing w:after="40" w:before="0" w:line="259" w:lineRule="auto"/>
            </w:pPr>
            <w:r>
              <w:rPr>
                <w:rFonts w:ascii="Calibri" w:hAnsi="Calibri"/>
                <w:b w:val="0"/>
                <w:i w:val="0"/>
                <w:color w:val="212121"/>
                <w:sz w:val="16"/>
              </w:rPr>
              <w:t>Severe/immune-phase disease</w:t>
            </w:r>
          </w:p>
        </w:tc>
        <w:tc>
          <w:tcPr>
            <w:tcW w:type="dxa" w:w="720"/>
            <w:vAlign w:val="top"/>
          </w:tcPr>
          <w:p>
            <w:pPr>
              <w:spacing w:after="40" w:before="0" w:line="259" w:lineRule="auto"/>
            </w:pPr>
            <w:r>
              <w:rPr>
                <w:rFonts w:ascii="Calibri" w:hAnsi="Calibri"/>
                <w:b w:val="0"/>
                <w:i w:val="0"/>
                <w:color w:val="212121"/>
                <w:sz w:val="16"/>
              </w:rPr>
              <w:t>Smoking</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Respiratory distress and pulmonary infiltrates predict mortality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Vitals &amp; monitoring</w:t>
            </w:r>
          </w:p>
        </w:tc>
        <w:tc>
          <w:tcPr>
            <w:tcW w:type="dxa" w:w="950"/>
            <w:vAlign w:val="top"/>
          </w:tcPr>
          <w:p>
            <w:pPr>
              <w:spacing w:after="40" w:before="0" w:line="259" w:lineRule="auto"/>
            </w:pPr>
            <w:r>
              <w:rPr>
                <w:rFonts w:ascii="Calibri" w:hAnsi="Calibri"/>
                <w:b w:val="0"/>
                <w:i w:val="0"/>
                <w:color w:val="212121"/>
                <w:sz w:val="16"/>
              </w:rPr>
              <w:t>Urine output, BP, SpO₂</w:t>
            </w:r>
          </w:p>
        </w:tc>
        <w:tc>
          <w:tcPr>
            <w:tcW w:type="dxa" w:w="979"/>
            <w:vAlign w:val="top"/>
          </w:tcPr>
          <w:p>
            <w:pPr>
              <w:spacing w:after="40" w:before="0" w:line="259" w:lineRule="auto"/>
            </w:pPr>
            <w:r>
              <w:rPr>
                <w:rFonts w:ascii="Calibri" w:hAnsi="Calibri"/>
                <w:b w:val="0"/>
                <w:i w:val="0"/>
                <w:color w:val="212121"/>
                <w:sz w:val="16"/>
              </w:rPr>
              <w:t>Oliguria, hypotension, hypoxia</w:t>
            </w:r>
          </w:p>
        </w:tc>
        <w:tc>
          <w:tcPr>
            <w:tcW w:type="dxa" w:w="950"/>
            <w:vAlign w:val="top"/>
          </w:tcPr>
          <w:p>
            <w:pPr>
              <w:spacing w:after="40" w:before="0" w:line="259" w:lineRule="auto"/>
            </w:pPr>
            <w:r>
              <w:rPr>
                <w:rFonts w:ascii="Calibri" w:hAnsi="Calibri"/>
                <w:b w:val="0"/>
                <w:i w:val="0"/>
                <w:color w:val="212121"/>
                <w:sz w:val="16"/>
              </w:rPr>
              <w:t>Adequate output, normotensive, SpO₂ ≥ 94%</w:t>
            </w:r>
          </w:p>
        </w:tc>
        <w:tc>
          <w:tcPr>
            <w:tcW w:type="dxa" w:w="950"/>
            <w:vAlign w:val="top"/>
          </w:tcPr>
          <w:p>
            <w:pPr>
              <w:spacing w:after="40" w:before="0" w:line="259" w:lineRule="auto"/>
            </w:pPr>
            <w:r>
              <w:rPr>
                <w:rFonts w:ascii="Calibri" w:hAnsi="Calibri"/>
                <w:b w:val="0"/>
                <w:i w:val="0"/>
                <w:color w:val="212121"/>
                <w:sz w:val="16"/>
              </w:rPr>
              <w:t>Oliguria/anuria, shock, desaturation</w:t>
            </w:r>
          </w:p>
        </w:tc>
        <w:tc>
          <w:tcPr>
            <w:tcW w:type="dxa" w:w="1036"/>
            <w:vAlign w:val="top"/>
          </w:tcPr>
          <w:p>
            <w:pPr>
              <w:spacing w:after="40" w:before="0" w:line="259" w:lineRule="auto"/>
            </w:pPr>
            <w:r>
              <w:rPr>
                <w:rFonts w:ascii="Calibri" w:hAnsi="Calibri"/>
                <w:b w:val="0"/>
                <w:i w:val="0"/>
                <w:color w:val="212121"/>
                <w:sz w:val="16"/>
              </w:rPr>
              <w:t>Identifies AKI, shock and respiratory failure needing intensive care</w:t>
            </w:r>
          </w:p>
        </w:tc>
        <w:tc>
          <w:tcPr>
            <w:tcW w:type="dxa" w:w="1036"/>
            <w:vAlign w:val="top"/>
          </w:tcPr>
          <w:p>
            <w:pPr>
              <w:spacing w:after="40" w:before="0" w:line="259" w:lineRule="auto"/>
            </w:pPr>
            <w:r>
              <w:rPr>
                <w:rFonts w:ascii="Calibri" w:hAnsi="Calibri"/>
                <w:b w:val="0"/>
                <w:i w:val="0"/>
                <w:color w:val="212121"/>
                <w:sz w:val="16"/>
              </w:rPr>
              <w:t>Severe disease, elderly, comorbid</w:t>
            </w:r>
          </w:p>
        </w:tc>
        <w:tc>
          <w:tcPr>
            <w:tcW w:type="dxa" w:w="720"/>
            <w:vAlign w:val="top"/>
          </w:tcPr>
          <w:p>
            <w:pPr>
              <w:spacing w:after="40" w:before="0" w:line="259" w:lineRule="auto"/>
            </w:pPr>
            <w:r>
              <w:rPr>
                <w:rFonts w:ascii="Calibri" w:hAnsi="Calibri"/>
                <w:b w:val="0"/>
                <w:i w:val="0"/>
                <w:color w:val="212121"/>
                <w:sz w:val="16"/>
              </w:rPr>
              <w:t>Water</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Guides fluid, dialysis and ventilatory decisions</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High fever with chills and rigors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Abrupt onset; fever often exceeds 39°C and is reported in the great majority of patients.</w:t>
            </w:r>
          </w:p>
        </w:tc>
      </w:tr>
      <w:tr>
        <w:trPr>
          <w:cantSplit/>
        </w:trPr>
        <w:tc>
          <w:tcPr>
            <w:tcW w:type="dxa" w:w="2304"/>
            <w:vAlign w:val="top"/>
          </w:tcPr>
          <w:p>
            <w:pPr>
              <w:spacing w:after="40" w:before="0" w:line="259" w:lineRule="auto"/>
            </w:pPr>
            <w:r>
              <w:rPr>
                <w:rFonts w:ascii="Calibri" w:hAnsi="Calibri"/>
                <w:b/>
                <w:i w:val="0"/>
                <w:color w:val="212121"/>
                <w:sz w:val="19"/>
              </w:rPr>
              <w:t>Severe myalgia (especially calf and lumbar muscles)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Intense muscle pain is characteristic; calf tenderness is a classic clue.</w:t>
            </w:r>
          </w:p>
        </w:tc>
      </w:tr>
      <w:tr>
        <w:trPr>
          <w:cantSplit/>
        </w:trPr>
        <w:tc>
          <w:tcPr>
            <w:tcW w:type="dxa" w:w="2304"/>
            <w:vAlign w:val="top"/>
          </w:tcPr>
          <w:p>
            <w:pPr>
              <w:spacing w:after="40" w:before="0" w:line="259" w:lineRule="auto"/>
            </w:pPr>
            <w:r>
              <w:rPr>
                <w:rFonts w:ascii="Calibri" w:hAnsi="Calibri"/>
                <w:b/>
                <w:i w:val="0"/>
                <w:color w:val="212121"/>
                <w:sz w:val="19"/>
              </w:rPr>
              <w:t>Intense headache (frontal/retro-orbital)</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Prominent early symptom of the leptospiraemic phase.</w:t>
            </w:r>
          </w:p>
        </w:tc>
      </w:tr>
      <w:tr>
        <w:trPr>
          <w:cantSplit/>
        </w:trPr>
        <w:tc>
          <w:tcPr>
            <w:tcW w:type="dxa" w:w="2304"/>
            <w:vAlign w:val="top"/>
          </w:tcPr>
          <w:p>
            <w:pPr>
              <w:spacing w:after="40" w:before="0" w:line="259" w:lineRule="auto"/>
            </w:pPr>
            <w:r>
              <w:rPr>
                <w:rFonts w:ascii="Calibri" w:hAnsi="Calibri"/>
                <w:b/>
                <w:i w:val="0"/>
                <w:color w:val="212121"/>
                <w:sz w:val="19"/>
              </w:rPr>
              <w:t>Conjunctival suffusion (red, watery eyes without discharge)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Reddening of the conjunctivae without pus; a hallmark though under-recognised feature.</w:t>
            </w:r>
          </w:p>
        </w:tc>
      </w:tr>
      <w:tr>
        <w:trPr>
          <w:cantSplit/>
        </w:trPr>
        <w:tc>
          <w:tcPr>
            <w:tcW w:type="dxa" w:w="2304"/>
            <w:vAlign w:val="top"/>
          </w:tcPr>
          <w:p>
            <w:pPr>
              <w:spacing w:after="40" w:before="0" w:line="259" w:lineRule="auto"/>
            </w:pPr>
            <w:r>
              <w:rPr>
                <w:rFonts w:ascii="Calibri" w:hAnsi="Calibri"/>
                <w:b/>
                <w:i w:val="0"/>
                <w:color w:val="212121"/>
                <w:sz w:val="19"/>
              </w:rPr>
              <w:t>Nausea, vomiting and abdominal pain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Frequent gastrointestinal symptoms that can mimic other tropical fevers.</w:t>
            </w:r>
          </w:p>
        </w:tc>
      </w:tr>
      <w:tr>
        <w:trPr>
          <w:cantSplit/>
        </w:trPr>
        <w:tc>
          <w:tcPr>
            <w:tcW w:type="dxa" w:w="2304"/>
            <w:vAlign w:val="top"/>
          </w:tcPr>
          <w:p>
            <w:pPr>
              <w:spacing w:after="40" w:before="0" w:line="259" w:lineRule="auto"/>
            </w:pPr>
            <w:r>
              <w:rPr>
                <w:rFonts w:ascii="Calibri" w:hAnsi="Calibri"/>
                <w:b/>
                <w:i w:val="0"/>
                <w:color w:val="212121"/>
                <w:sz w:val="19"/>
              </w:rPr>
              <w:t>Anorexia, malaise and prostration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Marked fatigue and loss of appetite accompany the acute illness.</w:t>
            </w:r>
          </w:p>
        </w:tc>
      </w:tr>
      <w:tr>
        <w:trPr>
          <w:cantSplit/>
        </w:trPr>
        <w:tc>
          <w:tcPr>
            <w:tcW w:type="dxa" w:w="2304"/>
            <w:vAlign w:val="top"/>
          </w:tcPr>
          <w:p>
            <w:pPr>
              <w:spacing w:after="40" w:before="0" w:line="259" w:lineRule="auto"/>
            </w:pPr>
            <w:r>
              <w:rPr>
                <w:rFonts w:ascii="Calibri" w:hAnsi="Calibri"/>
                <w:b/>
                <w:i w:val="0"/>
                <w:color w:val="212121"/>
                <w:sz w:val="19"/>
              </w:rPr>
              <w:t>Jaundice (yellow eyes and skin)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Marks the icteric (Weil's) form; deep orange 'rubinic' jaundice is typical of severe disease.</w:t>
            </w:r>
          </w:p>
        </w:tc>
      </w:tr>
      <w:tr>
        <w:trPr>
          <w:cantSplit/>
        </w:trPr>
        <w:tc>
          <w:tcPr>
            <w:tcW w:type="dxa" w:w="2304"/>
            <w:vAlign w:val="top"/>
          </w:tcPr>
          <w:p>
            <w:pPr>
              <w:spacing w:after="40" w:before="0" w:line="259" w:lineRule="auto"/>
            </w:pPr>
            <w:r>
              <w:rPr>
                <w:rFonts w:ascii="Calibri" w:hAnsi="Calibri"/>
                <w:b/>
                <w:i w:val="0"/>
                <w:color w:val="212121"/>
                <w:sz w:val="19"/>
              </w:rPr>
              <w:t>Reduced urine output / dark urine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Signals acute kidney injury, a key marker of severe leptospirosis.</w:t>
            </w:r>
          </w:p>
        </w:tc>
      </w:tr>
      <w:tr>
        <w:trPr>
          <w:cantSplit/>
        </w:trPr>
        <w:tc>
          <w:tcPr>
            <w:tcW w:type="dxa" w:w="2304"/>
            <w:vAlign w:val="top"/>
          </w:tcPr>
          <w:p>
            <w:pPr>
              <w:spacing w:after="40" w:before="0" w:line="259" w:lineRule="auto"/>
            </w:pPr>
            <w:r>
              <w:rPr>
                <w:rFonts w:ascii="Calibri" w:hAnsi="Calibri"/>
                <w:b/>
                <w:i w:val="0"/>
                <w:color w:val="212121"/>
                <w:sz w:val="19"/>
              </w:rPr>
              <w:t>Cough, breathlessness or haemoptysis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Suggests pulmonary involvement; frank haemoptysis heralds severe pulmonary haemorrhage syndrome.</w:t>
            </w:r>
          </w:p>
        </w:tc>
      </w:tr>
      <w:tr>
        <w:trPr>
          <w:cantSplit/>
        </w:trPr>
        <w:tc>
          <w:tcPr>
            <w:tcW w:type="dxa" w:w="2304"/>
            <w:vAlign w:val="top"/>
          </w:tcPr>
          <w:p>
            <w:pPr>
              <w:spacing w:after="40" w:before="0" w:line="259" w:lineRule="auto"/>
            </w:pPr>
            <w:r>
              <w:rPr>
                <w:rFonts w:ascii="Calibri" w:hAnsi="Calibri"/>
                <w:b/>
                <w:i w:val="0"/>
                <w:color w:val="212121"/>
                <w:sz w:val="19"/>
              </w:rPr>
              <w:t>Photophobia and neck stiffness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Features of immune-phase aseptic meningitis.</w:t>
            </w:r>
          </w:p>
        </w:tc>
      </w:tr>
      <w:tr>
        <w:trPr>
          <w:cantSplit/>
        </w:trPr>
        <w:tc>
          <w:tcPr>
            <w:tcW w:type="dxa" w:w="2304"/>
            <w:vAlign w:val="top"/>
          </w:tcPr>
          <w:p>
            <w:pPr>
              <w:spacing w:after="40" w:before="0" w:line="259" w:lineRule="auto"/>
            </w:pPr>
            <w:r>
              <w:rPr>
                <w:rFonts w:ascii="Calibri" w:hAnsi="Calibri"/>
                <w:b/>
                <w:i w:val="0"/>
                <w:color w:val="212121"/>
                <w:sz w:val="19"/>
              </w:rPr>
              <w:t>Red eye with pain and blurred vision</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Uveitis/iridocyclitis may appear weeks to months after the acute illness.</w:t>
            </w:r>
          </w:p>
        </w:tc>
      </w:tr>
      <w:tr>
        <w:trPr>
          <w:cantSplit/>
        </w:trPr>
        <w:tc>
          <w:tcPr>
            <w:tcW w:type="dxa" w:w="2304"/>
            <w:vAlign w:val="top"/>
          </w:tcPr>
          <w:p>
            <w:pPr>
              <w:spacing w:after="40" w:before="0" w:line="259" w:lineRule="auto"/>
            </w:pPr>
            <w:r>
              <w:rPr>
                <w:rFonts w:ascii="Calibri" w:hAnsi="Calibri"/>
                <w:b/>
                <w:i w:val="0"/>
                <w:color w:val="212121"/>
                <w:sz w:val="19"/>
              </w:rPr>
              <w:t>Bleeding (epistaxis, gum bleeding, GI or skin bleeding)</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Reflects thrombocytopenia and coagulopathy in severe disease.</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Bilateral conjunctival suffusion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Non-purulent conjunctival injection—one of the most specific clinical signs.</w:t>
            </w:r>
          </w:p>
        </w:tc>
      </w:tr>
      <w:tr>
        <w:trPr>
          <w:cantSplit/>
        </w:trPr>
        <w:tc>
          <w:tcPr>
            <w:tcW w:type="dxa" w:w="3456"/>
            <w:vAlign w:val="top"/>
          </w:tcPr>
          <w:p>
            <w:pPr>
              <w:spacing w:after="40" w:before="0" w:line="259" w:lineRule="auto"/>
            </w:pPr>
            <w:r>
              <w:rPr>
                <w:rFonts w:ascii="Calibri" w:hAnsi="Calibri"/>
                <w:b/>
                <w:i w:val="0"/>
                <w:color w:val="212121"/>
                <w:sz w:val="19"/>
              </w:rPr>
              <w:t>Fever &gt; 39°C</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Sustained high temperature during the leptospiraemic phase.</w:t>
            </w:r>
          </w:p>
        </w:tc>
      </w:tr>
      <w:tr>
        <w:trPr>
          <w:cantSplit/>
        </w:trPr>
        <w:tc>
          <w:tcPr>
            <w:tcW w:type="dxa" w:w="3456"/>
            <w:vAlign w:val="top"/>
          </w:tcPr>
          <w:p>
            <w:pPr>
              <w:spacing w:after="40" w:before="0" w:line="259" w:lineRule="auto"/>
            </w:pPr>
            <w:r>
              <w:rPr>
                <w:rFonts w:ascii="Calibri" w:hAnsi="Calibri"/>
                <w:b/>
                <w:i w:val="0"/>
                <w:color w:val="212121"/>
                <w:sz w:val="19"/>
              </w:rPr>
              <w:t>Calf muscle tenderness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Marked tenderness on palpation of the calves, correlating with raised CK.</w:t>
            </w:r>
          </w:p>
        </w:tc>
      </w:tr>
      <w:tr>
        <w:trPr>
          <w:cantSplit/>
        </w:trPr>
        <w:tc>
          <w:tcPr>
            <w:tcW w:type="dxa" w:w="3456"/>
            <w:vAlign w:val="top"/>
          </w:tcPr>
          <w:p>
            <w:pPr>
              <w:spacing w:after="40" w:before="0" w:line="259" w:lineRule="auto"/>
            </w:pPr>
            <w:r>
              <w:rPr>
                <w:rFonts w:ascii="Calibri" w:hAnsi="Calibri"/>
                <w:b/>
                <w:i w:val="0"/>
                <w:color w:val="212121"/>
                <w:sz w:val="19"/>
              </w:rPr>
              <w:t>Icterus / deep (rubinic) jaundice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Prominent in Weil's disease; often disproportionate to the modest transaminase rise.</w:t>
            </w:r>
          </w:p>
        </w:tc>
      </w:tr>
      <w:tr>
        <w:trPr>
          <w:cantSplit/>
        </w:trPr>
        <w:tc>
          <w:tcPr>
            <w:tcW w:type="dxa" w:w="3456"/>
            <w:vAlign w:val="top"/>
          </w:tcPr>
          <w:p>
            <w:pPr>
              <w:spacing w:after="40" w:before="0" w:line="259" w:lineRule="auto"/>
            </w:pPr>
            <w:r>
              <w:rPr>
                <w:rFonts w:ascii="Calibri" w:hAnsi="Calibri"/>
                <w:b/>
                <w:i w:val="0"/>
                <w:color w:val="212121"/>
                <w:sz w:val="19"/>
              </w:rPr>
              <w:t>Tender hepatomegaly</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Reflects hepatic involvement in icteric disease.</w:t>
            </w:r>
          </w:p>
        </w:tc>
      </w:tr>
      <w:tr>
        <w:trPr>
          <w:cantSplit/>
        </w:trPr>
        <w:tc>
          <w:tcPr>
            <w:tcW w:type="dxa" w:w="3456"/>
            <w:vAlign w:val="top"/>
          </w:tcPr>
          <w:p>
            <w:pPr>
              <w:spacing w:after="40" w:before="0" w:line="259" w:lineRule="auto"/>
            </w:pPr>
            <w:r>
              <w:rPr>
                <w:rFonts w:ascii="Calibri" w:hAnsi="Calibri"/>
                <w:b/>
                <w:i w:val="0"/>
                <w:color w:val="212121"/>
                <w:sz w:val="19"/>
              </w:rPr>
              <w:t>Hypotension / shock</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Sign of severe sepsis and multi-organ dysfunction.</w:t>
            </w:r>
          </w:p>
        </w:tc>
      </w:tr>
      <w:tr>
        <w:trPr>
          <w:cantSplit/>
        </w:trPr>
        <w:tc>
          <w:tcPr>
            <w:tcW w:type="dxa" w:w="3456"/>
            <w:vAlign w:val="top"/>
          </w:tcPr>
          <w:p>
            <w:pPr>
              <w:spacing w:after="40" w:before="0" w:line="259" w:lineRule="auto"/>
            </w:pPr>
            <w:r>
              <w:rPr>
                <w:rFonts w:ascii="Calibri" w:hAnsi="Calibri"/>
                <w:b/>
                <w:i w:val="0"/>
                <w:color w:val="212121"/>
                <w:sz w:val="19"/>
              </w:rPr>
              <w:t>Oliguria or anuria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Indicates leptospiral acute kidney injury.</w:t>
            </w:r>
          </w:p>
        </w:tc>
      </w:tr>
      <w:tr>
        <w:trPr>
          <w:cantSplit/>
        </w:trPr>
        <w:tc>
          <w:tcPr>
            <w:tcW w:type="dxa" w:w="3456"/>
            <w:vAlign w:val="top"/>
          </w:tcPr>
          <w:p>
            <w:pPr>
              <w:spacing w:after="40" w:before="0" w:line="259" w:lineRule="auto"/>
            </w:pPr>
            <w:r>
              <w:rPr>
                <w:rFonts w:ascii="Calibri" w:hAnsi="Calibri"/>
                <w:b/>
                <w:i w:val="0"/>
                <w:color w:val="212121"/>
                <w:sz w:val="19"/>
              </w:rPr>
              <w:t>Meningismus (neck stiffness)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Sign of immune-phase aseptic meningitis.</w:t>
            </w:r>
          </w:p>
        </w:tc>
      </w:tr>
      <w:tr>
        <w:trPr>
          <w:cantSplit/>
        </w:trPr>
        <w:tc>
          <w:tcPr>
            <w:tcW w:type="dxa" w:w="3456"/>
            <w:vAlign w:val="top"/>
          </w:tcPr>
          <w:p>
            <w:pPr>
              <w:spacing w:after="40" w:before="0" w:line="259" w:lineRule="auto"/>
            </w:pPr>
            <w:r>
              <w:rPr>
                <w:rFonts w:ascii="Calibri" w:hAnsi="Calibri"/>
                <w:b/>
                <w:i w:val="0"/>
                <w:color w:val="212121"/>
                <w:sz w:val="19"/>
              </w:rPr>
              <w:t>Pulmonary crackles / respiratory distress / haemoptysis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Point to severe pulmonary haemorrhage syndrome with ARDS.</w:t>
            </w:r>
          </w:p>
        </w:tc>
      </w:tr>
      <w:tr>
        <w:trPr>
          <w:cantSplit/>
        </w:trPr>
        <w:tc>
          <w:tcPr>
            <w:tcW w:type="dxa" w:w="3456"/>
            <w:vAlign w:val="top"/>
          </w:tcPr>
          <w:p>
            <w:pPr>
              <w:spacing w:after="40" w:before="0" w:line="259" w:lineRule="auto"/>
            </w:pPr>
            <w:r>
              <w:rPr>
                <w:rFonts w:ascii="Calibri" w:hAnsi="Calibri"/>
                <w:b/>
                <w:i w:val="0"/>
                <w:color w:val="212121"/>
                <w:sz w:val="19"/>
              </w:rPr>
              <w:t>Petechiae, purpura and mucosal bleeding</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Cutaneous and mucosal haemorrhage from thrombocytopenia and coagulopathy.</w:t>
            </w:r>
          </w:p>
        </w:tc>
      </w:tr>
      <w:tr>
        <w:trPr>
          <w:cantSplit/>
        </w:trPr>
        <w:tc>
          <w:tcPr>
            <w:tcW w:type="dxa" w:w="3456"/>
            <w:vAlign w:val="top"/>
          </w:tcPr>
          <w:p>
            <w:pPr>
              <w:spacing w:after="40" w:before="0" w:line="259" w:lineRule="auto"/>
            </w:pPr>
            <w:r>
              <w:rPr>
                <w:rFonts w:ascii="Calibri" w:hAnsi="Calibri"/>
                <w:b/>
                <w:i w:val="0"/>
                <w:color w:val="212121"/>
                <w:sz w:val="19"/>
              </w:rPr>
              <w:t>Splenomegaly and lymphadenopathy</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Occasionally present; non-specific.</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Weil's disease (severe icteric leptospirosis)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kidney injury (non-oliguric, hypokalaemic)</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 pulmonary haemorrhage syndrome (SPHS) with ARDS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Hepatic dysfunction with cholestatic jaundice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Thrombocytopenia and coagulopathy with haemorrhage</w:t>
            </w:r>
          </w:p>
        </w:tc>
        <w:tc>
          <w:tcPr>
            <w:tcW w:type="dxa" w:w="2980"/>
            <w:vAlign w:val="top"/>
          </w:tcPr>
          <w:p>
            <w:pPr>
              <w:spacing w:after="40" w:before="0" w:line="259" w:lineRule="auto"/>
            </w:pPr>
            <w:r>
              <w:rPr>
                <w:rFonts w:ascii="Calibri" w:hAnsi="Calibri"/>
                <w:b w:val="0"/>
                <w:i w:val="0"/>
                <w:color w:val="212121"/>
                <w:sz w:val="19"/>
              </w:rPr>
              <w:t>Direct consequences of leptospiral vasculitis and multi-organ invasion during the acute illness</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Myocarditis and cardiac arrhythmias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Immune-phase aseptic meningitis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Uveitis / iridocyclitis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Rhabdomyolysis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Acalculous cholecystitis and pancreatitis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Septic shock and multi-organ dysfunction syndrome</w:t>
            </w:r>
          </w:p>
        </w:tc>
        <w:tc>
          <w:tcPr>
            <w:tcW w:type="dxa" w:w="2980"/>
            <w:vAlign w:val="top"/>
          </w:tcPr>
          <w:p>
            <w:pPr>
              <w:spacing w:after="40" w:before="0" w:line="259" w:lineRule="auto"/>
            </w:pPr>
            <w:r>
              <w:rPr>
                <w:rFonts w:ascii="Calibri" w:hAnsi="Calibri"/>
                <w:b w:val="0"/>
                <w:i w:val="0"/>
                <w:color w:val="212121"/>
                <w:sz w:val="19"/>
              </w:rPr>
              <w:t>Arise from immune-mediated injury and progression of systemic disease</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kidney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or recurrent uveitis with visual impairment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Prolonged post-leptospirosis fatigue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Adverse pregnancy outcomes (fetal loss, congenital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Death from SPHS or multi-organ failure</w:t>
            </w:r>
          </w:p>
        </w:tc>
        <w:tc>
          <w:tcPr>
            <w:tcW w:type="dxa" w:w="2980"/>
            <w:vAlign w:val="top"/>
          </w:tcPr>
          <w:p>
            <w:pPr>
              <w:spacing w:after="40" w:before="0" w:line="259" w:lineRule="auto"/>
            </w:pPr>
            <w:r>
              <w:rPr>
                <w:rFonts w:ascii="Calibri" w:hAnsi="Calibri"/>
                <w:b w:val="0"/>
                <w:i w:val="0"/>
                <w:color w:val="212121"/>
                <w:sz w:val="19"/>
              </w:rPr>
              <w:t>Irreversible or long-term sequelae of severe or inadequately treated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Acute kidney injury (leptospiral nephropathy)</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Non-oliguric, hypokalaemic AKI from interstitial nephritis and tubular dysfunction; a key severity marker often needing dialysis.</w:t>
            </w:r>
          </w:p>
          <w:p>
            <w:pPr>
              <w:spacing w:after="40" w:before="0" w:line="259" w:lineRule="auto"/>
            </w:pPr>
            <w:r>
              <w:rPr>
                <w:rFonts w:ascii="Calibri" w:hAnsi="Calibri"/>
                <w:b/>
                <w:i w:val="0"/>
                <w:color w:val="212121"/>
                <w:sz w:val="19"/>
              </w:rPr>
              <w:t>Up to ~35% (renal involvement)</w:t>
            </w:r>
          </w:p>
        </w:tc>
      </w:tr>
      <w:tr>
        <w:trPr>
          <w:cantSplit/>
        </w:trPr>
        <w:tc>
          <w:tcPr>
            <w:tcW w:type="dxa" w:w="2232"/>
            <w:vAlign w:val="top"/>
          </w:tcPr>
          <w:p>
            <w:pPr>
              <w:spacing w:after="40" w:before="0" w:line="259" w:lineRule="auto"/>
            </w:pPr>
            <w:r>
              <w:rPr>
                <w:rFonts w:ascii="Calibri" w:hAnsi="Calibri"/>
                <w:b/>
                <w:i w:val="0"/>
                <w:color w:val="212121"/>
                <w:sz w:val="19"/>
              </w:rPr>
              <w:t>Icteric hepatic dysfunction (Weil's disease)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Cholestatic jaundice with disproportionately high bilirubin and only mild transaminitis; hallmark of severe disease.</w:t>
            </w:r>
          </w:p>
          <w:p>
            <w:pPr>
              <w:spacing w:after="40" w:before="0" w:line="259" w:lineRule="auto"/>
            </w:pPr>
            <w:r>
              <w:rPr>
                <w:rFonts w:ascii="Calibri" w:hAnsi="Calibri"/>
                <w:b/>
                <w:i w:val="0"/>
                <w:color w:val="212121"/>
                <w:sz w:val="19"/>
              </w:rPr>
              <w:t>~34% (hepatic involvement)</w:t>
            </w:r>
          </w:p>
        </w:tc>
      </w:tr>
      <w:tr>
        <w:trPr>
          <w:cantSplit/>
        </w:trPr>
        <w:tc>
          <w:tcPr>
            <w:tcW w:type="dxa" w:w="2232"/>
            <w:vAlign w:val="top"/>
          </w:tcPr>
          <w:p>
            <w:pPr>
              <w:spacing w:after="40" w:before="0" w:line="259" w:lineRule="auto"/>
            </w:pPr>
            <w:r>
              <w:rPr>
                <w:rFonts w:ascii="Calibri" w:hAnsi="Calibri"/>
                <w:b/>
                <w:i w:val="0"/>
                <w:color w:val="212121"/>
                <w:sz w:val="19"/>
              </w:rPr>
              <w:t>Severe pulmonary haemorrhage syndrome (ARDS)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Alveolar haemorrhage and respiratory failure; the most lethal complication, able to kill within 48 hours.</w:t>
            </w:r>
          </w:p>
          <w:p>
            <w:pPr>
              <w:spacing w:after="40" w:before="0" w:line="259" w:lineRule="auto"/>
            </w:pPr>
            <w:r>
              <w:rPr>
                <w:rFonts w:ascii="Calibri" w:hAnsi="Calibri"/>
                <w:b/>
                <w:i w:val="0"/>
                <w:color w:val="212121"/>
                <w:sz w:val="19"/>
              </w:rPr>
              <w:t>20–70% pulmonary involvement</w:t>
            </w:r>
          </w:p>
        </w:tc>
      </w:tr>
      <w:tr>
        <w:trPr>
          <w:cantSplit/>
        </w:trPr>
        <w:tc>
          <w:tcPr>
            <w:tcW w:type="dxa" w:w="2232"/>
            <w:vAlign w:val="top"/>
          </w:tcPr>
          <w:p>
            <w:pPr>
              <w:spacing w:after="40" w:before="0" w:line="259" w:lineRule="auto"/>
            </w:pPr>
            <w:r>
              <w:rPr>
                <w:rFonts w:ascii="Calibri" w:hAnsi="Calibri"/>
                <w:b/>
                <w:i w:val="0"/>
                <w:color w:val="212121"/>
                <w:sz w:val="19"/>
              </w:rPr>
              <w:t>Chronic kidney disease</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Leptospirosis can cause chronic renal injury/fibrosis, and pre-existing CKD worsens acute outcomes—a bidirectional relationship.</w:t>
            </w:r>
          </w:p>
          <w:p>
            <w:pPr>
              <w:spacing w:after="40" w:before="0" w:line="259" w:lineRule="auto"/>
            </w:pPr>
            <w:r>
              <w:rPr>
                <w:rFonts w:ascii="Calibri" w:hAnsi="Calibri"/>
                <w:b/>
                <w:i w:val="0"/>
                <w:color w:val="212121"/>
                <w:sz w:val="19"/>
              </w:rPr>
              <w:t>Up to 14.4% (vs 8.5% seronegative)</w:t>
            </w:r>
          </w:p>
        </w:tc>
      </w:tr>
      <w:tr>
        <w:trPr>
          <w:cantSplit/>
        </w:trPr>
        <w:tc>
          <w:tcPr>
            <w:tcW w:type="dxa" w:w="2232"/>
            <w:vAlign w:val="top"/>
          </w:tcPr>
          <w:p>
            <w:pPr>
              <w:spacing w:after="40" w:before="0" w:line="259" w:lineRule="auto"/>
            </w:pPr>
            <w:r>
              <w:rPr>
                <w:rFonts w:ascii="Calibri" w:hAnsi="Calibri"/>
                <w:b/>
                <w:i w:val="0"/>
                <w:color w:val="212121"/>
                <w:sz w:val="19"/>
              </w:rPr>
              <w:t>Thrombocytopenia &amp; coagulopathy</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Falling platelets track severity and predict AKI and bleeding; drive the haemorrhagic manifestations.</w:t>
            </w:r>
          </w:p>
        </w:tc>
      </w:tr>
      <w:tr>
        <w:trPr>
          <w:cantSplit/>
        </w:trPr>
        <w:tc>
          <w:tcPr>
            <w:tcW w:type="dxa" w:w="2232"/>
            <w:vAlign w:val="top"/>
          </w:tcPr>
          <w:p>
            <w:pPr>
              <w:spacing w:after="40" w:before="0" w:line="259" w:lineRule="auto"/>
            </w:pPr>
            <w:r>
              <w:rPr>
                <w:rFonts w:ascii="Calibri" w:hAnsi="Calibri"/>
                <w:b/>
                <w:i w:val="0"/>
                <w:color w:val="212121"/>
                <w:sz w:val="19"/>
              </w:rPr>
              <w:t>Myocarditis / cardiac arrhythmia</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Leptospiral myocardial involvement causes ECG changes and arrhythmias and independently predicts mortality.</w:t>
            </w:r>
          </w:p>
        </w:tc>
      </w:tr>
      <w:tr>
        <w:trPr>
          <w:cantSplit/>
        </w:trPr>
        <w:tc>
          <w:tcPr>
            <w:tcW w:type="dxa" w:w="2232"/>
            <w:vAlign w:val="top"/>
          </w:tcPr>
          <w:p>
            <w:pPr>
              <w:spacing w:after="40" w:before="0" w:line="259" w:lineRule="auto"/>
            </w:pPr>
            <w:r>
              <w:rPr>
                <w:rFonts w:ascii="Calibri" w:hAnsi="Calibri"/>
                <w:b/>
                <w:i w:val="0"/>
                <w:color w:val="212121"/>
                <w:sz w:val="19"/>
              </w:rPr>
              <w:t>Aseptic meningitis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Immune-phase CNS involvement with lymphocytic CSF; usually self-limiting.</w:t>
            </w:r>
          </w:p>
        </w:tc>
      </w:tr>
      <w:tr>
        <w:trPr>
          <w:cantSplit/>
        </w:trPr>
        <w:tc>
          <w:tcPr>
            <w:tcW w:type="dxa" w:w="2232"/>
            <w:vAlign w:val="top"/>
          </w:tcPr>
          <w:p>
            <w:pPr>
              <w:spacing w:after="40" w:before="0" w:line="259" w:lineRule="auto"/>
            </w:pPr>
            <w:r>
              <w:rPr>
                <w:rFonts w:ascii="Calibri" w:hAnsi="Calibri"/>
                <w:b/>
                <w:i w:val="0"/>
                <w:color w:val="212121"/>
                <w:sz w:val="19"/>
              </w:rPr>
              <w:t>Uveitis / iridocyclitis</w:t>
            </w:r>
          </w:p>
        </w:tc>
        <w:tc>
          <w:tcPr>
            <w:tcW w:type="dxa" w:w="2520"/>
            <w:vAlign w:val="top"/>
          </w:tcPr>
          <w:p>
            <w:pPr>
              <w:spacing w:after="40" w:before="0" w:line="259" w:lineRule="auto"/>
            </w:pPr>
            <w:r>
              <w:rPr>
                <w:rFonts w:ascii="Calibri" w:hAnsi="Calibri"/>
                <w:b w:val="0"/>
                <w:i w:val="0"/>
                <w:color w:val="212121"/>
                <w:sz w:val="18"/>
              </w:rPr>
              <w:t>Complication Of</w:t>
            </w:r>
          </w:p>
        </w:tc>
        <w:tc>
          <w:tcPr>
            <w:tcW w:type="dxa" w:w="4852"/>
            <w:vAlign w:val="top"/>
          </w:tcPr>
          <w:p>
            <w:pPr>
              <w:spacing w:after="40" w:before="0" w:line="259" w:lineRule="auto"/>
            </w:pPr>
            <w:r>
              <w:rPr>
                <w:rFonts w:ascii="Calibri" w:hAnsi="Calibri"/>
                <w:b w:val="0"/>
                <w:i w:val="0"/>
                <w:color w:val="212121"/>
                <w:sz w:val="19"/>
              </w:rPr>
              <w:t>Late immune-mediated ocular complication appearing weeks to months after acute illness.</w:t>
            </w:r>
          </w:p>
        </w:tc>
      </w:tr>
      <w:tr>
        <w:trPr>
          <w:cantSplit/>
        </w:trPr>
        <w:tc>
          <w:tcPr>
            <w:tcW w:type="dxa" w:w="2232"/>
            <w:vAlign w:val="top"/>
          </w:tcPr>
          <w:p>
            <w:pPr>
              <w:spacing w:after="40" w:before="0" w:line="259" w:lineRule="auto"/>
            </w:pPr>
            <w:r>
              <w:rPr>
                <w:rFonts w:ascii="Calibri" w:hAnsi="Calibri"/>
                <w:b/>
                <w:i w:val="0"/>
                <w:color w:val="212121"/>
                <w:sz w:val="19"/>
              </w:rPr>
              <w:t>Diabetes mellitus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Impaired immune clearance predisposes diabetics to severe, complicated leptospirosis and worse outcomes.</w:t>
            </w:r>
          </w:p>
          <w:p>
            <w:pPr>
              <w:spacing w:after="40" w:before="0" w:line="259" w:lineRule="auto"/>
            </w:pPr>
            <w:r>
              <w:rPr>
                <w:rFonts w:ascii="Calibri" w:hAnsi="Calibri"/>
                <w:b/>
                <w:i w:val="0"/>
                <w:color w:val="212121"/>
                <w:sz w:val="19"/>
              </w:rPr>
              <w:t>~11.8% of fatal cases</w:t>
            </w:r>
          </w:p>
        </w:tc>
      </w:tr>
      <w:tr>
        <w:trPr>
          <w:cantSplit/>
        </w:trPr>
        <w:tc>
          <w:tcPr>
            <w:tcW w:type="dxa" w:w="2232"/>
            <w:vAlign w:val="top"/>
          </w:tcPr>
          <w:p>
            <w:pPr>
              <w:spacing w:after="40" w:before="0" w:line="259" w:lineRule="auto"/>
            </w:pPr>
            <w:r>
              <w:rPr>
                <w:rFonts w:ascii="Calibri" w:hAnsi="Calibri"/>
                <w:b/>
                <w:i w:val="0"/>
                <w:color w:val="212121"/>
                <w:sz w:val="19"/>
              </w:rPr>
              <w:t>Hypertension</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Common in the older comorbid patients who fare worst; complicates fluid and haemodynamic management during AKI.</w:t>
            </w:r>
          </w:p>
          <w:p>
            <w:pPr>
              <w:spacing w:after="40" w:before="0" w:line="259" w:lineRule="auto"/>
            </w:pPr>
            <w:r>
              <w:rPr>
                <w:rFonts w:ascii="Calibri" w:hAnsi="Calibri"/>
                <w:b/>
                <w:i w:val="0"/>
                <w:color w:val="212121"/>
                <w:sz w:val="19"/>
              </w:rPr>
              <w:t>~14.7% of fatal cases</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fever with severe body ache, calf pain and red eyes after monsoon or floodwater exposure may be leptospirosis, and seek care early—prompt antibiotics prevent severe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wading, bathing or swimming in floodwater, ponds, canals and waterlogged fields, especially with cuts or abrasions.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Wear rubber boots (gumboots) and gloves for paddy, sewage, drain-cleaning and animal-handling work.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Clean and cover all cuts and abrasions with a waterproof dressing before water or soil contact.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Control rodents and store food and grain in rodent-proof containers; keep surroundings free of waterlogging and garbage.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defined high-risk exposures (e.g., flood-relief work), take doxycycline 200 mg orally once weekly through the exposure period as advised by a clinician.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self-medicate prolonged fever; leptospirosis is treatable but can become fatal if neglected.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Paddy &amp; agricultural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Sewage/sanitation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Animal handlers &amp; veterinarians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Flood-exposed residents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Residents of endemic coastal/southern districts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restart"/>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Always use protective footwear and gloves during outdoor field, drain and animal work—barrier protection is the single most effective preventive measure.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Minimise barefoot activity in wet fields, mud and standing water during and after the monsoon.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Change out of wet clothing and wash exposed skin with clean water and soap after field work.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animal sheds and work areas well drained to reduce pooled contaminated water.</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Farmers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Sanitation &amp; sewage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Abattoir &amp; animal-farm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Flood responders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During acute febrile illness rest and avoid strenuous exertion, which can aggravate myositis and cardiac strain.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Watch for and report breathlessness, palpitations or reduced urine output, which signal severe organ involvement.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Resume activity gradually during convalescence, as post-leptospirosis fatigue can persist for weeks.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Undertake supervised rehabilitation after severe disease with renal or pulmonary complications.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acute leptospirosis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Severe/Weil's disease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Convalescent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Drink only treated, boiled or safely stored water; avoid untreated natural or surface water.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Store food and grain in rodent-proof, covered containers and discard items soiled by rodents.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Wash hands, fruits and vegetables with clean water before eating or cooking.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kitchens and food-storage areas free of rodent access and standing water.</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Rural &amp; farming households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Slum residents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Occupationally exposed workers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rest and sleep during the febrile illness to support recovery.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rodent-proofed, elevated sleeping areas and bed nets where infestation is a problem.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Monitor for worsening symptoms (increasing jaundice, breathlessness, confusion) that may appear in the immune phase and seek urgent care.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Slum &amp; rural households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Convalescent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smoking, which reduces pulmonary reserve and can worsen outcomes if pulmonary haemorrhage develops.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smoking cessation, particularly in occupationally exposed high-risk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smoking during and after acute illness to protect recovering lung function.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 in high-risk occupations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pulmonary involvement</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or avoid alcohol; heavy use and alcoholic liver disease predispose to severe icteric (Weil's) disease and higher mortality.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Abstain from alcohol during acute illness and recovery to reduce liver and bleeding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exposed heavy drinkers for chronic liver disease, which worsens prognosis.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counselling and support for alcohol reduction in high-risk endemic communities.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alcoholic liver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Occupationally exposed adults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Reassure patients that most leptospirosis recovers fully with timely treatment, to reduce illness anxiety.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and manage post-leptospirosis fatigue and low mood during prolonged convalescence.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psychological support after severe illness requiring intensive care or dialysis.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community anxiety during outbreaks with clear, accurate public-health messaging.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recovering from severe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ICU/dialysis survivors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Communities during outbreaks</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njphmr.com/article/pdf/580.pdf" TargetMode="External"/><Relationship Id="rId10" Type="http://schemas.openxmlformats.org/officeDocument/2006/relationships/hyperlink" Target="https://www.msdmanuals.com/professional/infectious-diseases/spirochetes/leptospirosis" TargetMode="External"/><Relationship Id="rId11" Type="http://schemas.openxmlformats.org/officeDocument/2006/relationships/hyperlink" Target="https://pubmed.ncbi.nlm.nih.gov/39114107/" TargetMode="External"/><Relationship Id="rId12" Type="http://schemas.openxmlformats.org/officeDocument/2006/relationships/hyperlink" Target="https://microbiologyjournal.org/epidemiological-status-of-leptospirosis-in-india/" TargetMode="External"/><Relationship Id="rId13" Type="http://schemas.openxmlformats.org/officeDocument/2006/relationships/hyperlink" Target="https://www.nature.com/articles/s41598-023-46326-2" TargetMode="External"/><Relationship Id="rId14" Type="http://schemas.openxmlformats.org/officeDocument/2006/relationships/hyperlink" Target="https://www.frontiersin.org/journals/medicine/articles/10.3389/fmed.2022.887292/full" TargetMode="External"/><Relationship Id="rId15" Type="http://schemas.openxmlformats.org/officeDocument/2006/relationships/hyperlink" Target="https://journals.plos.org/plosntds/article?id=10.1371%2Fjournal.pntd.0004105" TargetMode="External"/><Relationship Id="rId16" Type="http://schemas.openxmlformats.org/officeDocument/2006/relationships/hyperlink" Target="https://www.cdc.gov/yellow-book/hcp/travel-associated-infections-diseases/leptospirosi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