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Typhoid &amp; Paratyphoid</w:t>
      </w:r>
    </w:p>
    <w:p>
      <w:pPr>
        <w:spacing w:before="0" w:after="160"/>
      </w:pPr>
      <w:r>
        <w:rPr>
          <w:rFonts w:ascii="Calibri" w:hAnsi="Calibri"/>
          <w:b/>
          <w:i w:val="0"/>
          <w:color w:val="212121"/>
          <w:sz w:val="22"/>
        </w:rPr>
        <w:t xml:space="preserve">AKA </w:t>
      </w:r>
      <w:r>
        <w:rPr>
          <w:rFonts w:ascii="Calibri" w:hAnsi="Calibri"/>
          <w:b w:val="0"/>
          <w:i w:val="0"/>
          <w:color w:val="212121"/>
          <w:sz w:val="22"/>
        </w:rPr>
        <w:t>i.e., Enteric fever, Typhoid fever, Salmonella Typhi/Paratyphi infection, Miyaadi bukhar, Motijhara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Typhoid and paratyphoid fever, together termed enteric fever, are systemic febrile illnesses caused by the human-restricted bacteria Salmonella enterica serovar Typhi and serovars Paratyphi A, B and C. The organisms are acquired by the faecal-oral route through water or food contaminated with the faeces of an acutely infected person or a chronic biliary carrier. After ingestion the bacilli invade the gut mucosa, multiply within mononuclear phagocytes of the reticuloendothelial system and cause a sustained bacteraemia that produces prolonged fever, abdominal symptoms and, if untreated, life-threatening intestinal perforation or haemorrhage.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 carries one of the highest enteric-fever burdens in the world. A 2023 modelling study estimated approximately 4.9 million typhoid cases, about 7,850 deaths and roughly 730,000 hospitalisations across the country in a single year, with Delhi, Maharashtra and Karnataka together accounting for close to 29% of the national burden. Prospective surveillance (NSSEFI, 2017-2020) recorded blood-culture-confirmed typhoid incidence of 576-1173 cases per 100,000 child-years at urban sites versus only 35 per 100,000 child-years in rural Pune, underscoring an intensely urban, paediatric pattern; paratyphoid (mainly S. Paratyphi A) added roughly 68 cases per 100,000 child-years.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Enteric fever is confirmed by isolating the organism; culture is definitive while serology and rapid tests are supportive and must be read against local endemic baselines. Diagnosis rests on one or more of the following, interpreted with the clinical picture and exposure history: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Blood culture positive for S. Typhi or S. Paratyphi (gold standard; highest yield in the first week before antibiotics, though a single sample is only about 50-66% sensitive in endemic settings);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Bone-marrow culture positive (the most sensitive method at 80-96%; useful in patients already pre-treated with antibiotics or with negative blood cultures);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Rapid antibody/antigen tests (e.g., Typhidot IgM, Tubex) as supportive evidence; modern rapid formats show around 73.8% sensitivity and 94.5% specificity;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Widal test showing a fourfold rise in paired O and H agglutinins, or high single titres above the validated local cut-off (limited specificity where the disease and vaccination are common, so a single Widal must not be used alone);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Stool or urine culture positive (yield rises in the second-third week and is used to detect convalescent and chronic carriers);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endemic practice, sustained fever for several days with compatible features (headache, anorexia, abdominal discomfort, relative bradycardia) and a plausible food/water exposure supports a presumptive clinical diagnosis pending culture.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Enteric fever is classified by causative organism, clinical course, carrier state and antimicrobial-resistance pattern, all of which shape management in India:</w:t>
      </w:r>
    </w:p>
    <w:p>
      <w:pPr>
        <w:spacing w:before="0" w:after="80"/>
      </w:pPr>
      <w:r>
        <w:rPr>
          <w:rFonts w:ascii="Calibri" w:hAnsi="Calibri"/>
          <w:b w:val="0"/>
          <w:i w:val="0"/>
          <w:color w:val="212121"/>
          <w:sz w:val="21"/>
        </w:rPr>
        <w:t>(1) By organism: Typhoid fever, caused by S. enterica serovar Typhi, versus Paratyphoid fever, caused by serovars Paratyphi A (the predominant paratyphoid strain in India), B and C; paratyphoid is generally milder but clinically indistinguishable at the bedside;</w:t>
      </w:r>
    </w:p>
    <w:p>
      <w:pPr>
        <w:spacing w:before="0" w:after="80"/>
      </w:pPr>
      <w:r>
        <w:rPr>
          <w:rFonts w:ascii="Calibri" w:hAnsi="Calibri"/>
          <w:b w:val="0"/>
          <w:i w:val="0"/>
          <w:color w:val="212121"/>
          <w:sz w:val="21"/>
        </w:rPr>
        <w:t>(2) By severity/course: uncomplicated enteric fever versus complicated disease (intestinal perforation, gastrointestinal haemorrhage, encephalopathy/typhoid state, myocarditis or shock);</w:t>
      </w:r>
    </w:p>
    <w:p>
      <w:pPr>
        <w:spacing w:before="0" w:after="80"/>
      </w:pPr>
      <w:r>
        <w:rPr>
          <w:rFonts w:ascii="Calibri" w:hAnsi="Calibri"/>
          <w:b w:val="0"/>
          <w:i w:val="0"/>
          <w:color w:val="212121"/>
          <w:sz w:val="21"/>
        </w:rPr>
        <w:t>(3) By phase and recurrence: acute enteric fever, relapse (recurrence usually within 1-3 weeks of apparent recovery) and re-infection;</w:t>
      </w:r>
    </w:p>
    <w:p>
      <w:pPr>
        <w:spacing w:before="0" w:after="80"/>
      </w:pPr>
      <w:r>
        <w:rPr>
          <w:rFonts w:ascii="Calibri" w:hAnsi="Calibri"/>
          <w:b w:val="0"/>
          <w:i w:val="0"/>
          <w:color w:val="212121"/>
          <w:sz w:val="21"/>
        </w:rPr>
        <w:t>(4) By carrier state: incubatory, convalescent carrier (excretion up to about 3 months) and chronic carrier (excretion beyond 12 months, typically from a gallstone-laden gallbladder), the latter being the key human reservoir sustaining transmission;</w:t>
      </w:r>
    </w:p>
    <w:p>
      <w:pPr>
        <w:spacing w:before="0" w:after="80"/>
      </w:pPr>
      <w:r>
        <w:rPr>
          <w:rFonts w:ascii="Calibri" w:hAnsi="Calibri"/>
          <w:b w:val="0"/>
          <w:i w:val="0"/>
          <w:color w:val="212121"/>
          <w:sz w:val="21"/>
        </w:rPr>
        <w:t>(5) By resistance pattern: drug-sensitive; multidrug-resistant (MDR - resistant to ampicillin, chloramphenicol and co-trimoxazole); fluoroquinolone non-susceptible; azithromycin-resistant; and extensively drug-resistant (XDR) strains, an increasingly important classification for empirical therapy.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Causative organism: Human-restricted Salmonella enterica serovar Typhi (and Paratyphi A/B/C); there is no animal reservoir, so transmission is sustained entirely by infected people and carriers shedding bacilli in stool and urine.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Contaminated water: Sewage-contaminated or untreated drinking water is the principal vehicle in India, especially where piped supply cross-contaminates with drainage; household water treatment is protective (odds ratio 0.45).</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Contaminated food: Street food, raw salads, cut fruit, unpasteurised dairy and food handled by an asymptomatic carrier transmit infection; a mother's street-food consumption was independently associated with childhood typhoid (adjusted odds ratio 2.04).</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Poor sanitation and hygiene: Open defecation, inadequate handwashing with soap and unsafe faecal disposal maintain the faecal-oral cycle in dense low-income settlements.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Chronic biliary carriers: 1-4% of patients become chronic carriers, harbouring the organism in a gallstone-laden gallbladder and intermittently seeding water and food.</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Low gastric acidity: Antacid or proton-pump-inhibitor use, H. pylori-related hypochlorhydria and achlorhydria lower the infectious dose needed to establish disease.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Overcrowding and rapid urbanisation: Peri-urban slum growth with unsafe water and sanitation produces the very high urban incidence seen in Indian surveillance.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School-age children (5-15 years)</w:t>
            </w:r>
          </w:p>
        </w:tc>
        <w:tc>
          <w:tcPr>
            <w:tcW w:type="dxa" w:w="4276"/>
            <w:vAlign w:val="top"/>
          </w:tcPr>
          <w:p>
            <w:pPr>
              <w:spacing w:after="60" w:line="259" w:lineRule="auto"/>
            </w:pPr>
            <w:r>
              <w:rPr>
                <w:rFonts w:ascii="Calibri" w:hAnsi="Calibri"/>
                <w:b w:val="0"/>
                <w:i w:val="0"/>
                <w:color w:val="212121"/>
                <w:sz w:val="19"/>
              </w:rPr>
              <w:t>Children have the highest exposure to contaminated water and street/school food while lacking mature mucosal immunity, giving this group the greatest number of blood-culture-confirmed cases in India.</w:t>
            </w:r>
          </w:p>
          <w:p>
            <w:pPr>
              <w:spacing w:after="40" w:before="60" w:line="259" w:lineRule="auto"/>
            </w:pPr>
            <w:r>
              <w:rPr>
                <w:rFonts w:ascii="Calibri" w:hAnsi="Calibri"/>
                <w:b w:val="0"/>
                <w:i w:val="0"/>
                <w:color w:val="212121"/>
                <w:sz w:val="19"/>
              </w:rPr>
              <w:t>Urban Indian surveillance recorded typhoid incidence of 576-1173 per 100,000 child-years in children, and modelling found children aged 5-9 years bear the largest number of infections.</w:t>
            </w:r>
          </w:p>
          <w:p>
            <w:pPr>
              <w:spacing w:after="40" w:line="252" w:lineRule="auto"/>
            </w:pPr>
            <w:hyperlink r:id="rId9">
              <w:r>
                <w:rPr>
                  <w:rFonts w:ascii="Calibri" w:hAnsi="Calibri" w:cs="Calibri"/>
                  <w:sz w:val="18"/>
                  <w:color w:val="1155CC"/>
                  <w:u w:val="single"/>
                </w:rPr>
                <w:t xml:space="preserve">pure.amsterdamumc.nl - Burden of Typhoid &amp; Paratyphoid in India (NSSEFI)</w:t>
              </w:r>
            </w:hyperlink>
          </w:p>
          <w:p>
            <w:pPr>
              <w:spacing w:before="60" w:after="40"/>
            </w:pPr>
            <w:r>
              <w:rPr>
                <w:rFonts w:ascii="Calibri" w:hAnsi="Calibri"/>
                <w:b w:val="0"/>
                <w:i w:val="0"/>
                <w:color w:val="5A5A5A"/>
                <w:sz w:val="18"/>
              </w:rPr>
              <w:t>#entericfever  #schoolage  #urbanchildren  #fecaloral  #streetfood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Infants &amp; under-5 children</w:t>
            </w:r>
          </w:p>
        </w:tc>
        <w:tc>
          <w:tcPr>
            <w:tcW w:type="dxa" w:w="4276"/>
            <w:vAlign w:val="top"/>
          </w:tcPr>
          <w:p>
            <w:pPr>
              <w:spacing w:after="60" w:line="259" w:lineRule="auto"/>
            </w:pPr>
            <w:r>
              <w:rPr>
                <w:rFonts w:ascii="Calibri" w:hAnsi="Calibri"/>
                <w:b w:val="0"/>
                <w:i w:val="0"/>
                <w:color w:val="212121"/>
                <w:sz w:val="19"/>
              </w:rPr>
              <w:t>Younger children develop more severe, harder-to-diagnose disease and dehydrate rapidly, so although incidence is lower than in school-age children, hospitalisation and death cluster here.</w:t>
            </w:r>
          </w:p>
          <w:p>
            <w:pPr>
              <w:spacing w:after="40" w:before="60" w:line="259" w:lineRule="auto"/>
            </w:pPr>
            <w:r>
              <w:rPr>
                <w:rFonts w:ascii="Calibri" w:hAnsi="Calibri"/>
                <w:b w:val="0"/>
                <w:i w:val="0"/>
                <w:color w:val="212121"/>
                <w:sz w:val="19"/>
              </w:rPr>
              <w:t>In the 2023 India model, children aged 6 months to 4 years had the highest hospitalisation and death rates from typhoid.</w:t>
            </w:r>
          </w:p>
          <w:p>
            <w:pPr>
              <w:spacing w:after="40" w:line="252" w:lineRule="auto"/>
            </w:pPr>
            <w:hyperlink r:id="rId10">
              <w:r>
                <w:rPr>
                  <w:rFonts w:ascii="Calibri" w:hAnsi="Calibri" w:cs="Calibri"/>
                  <w:sz w:val="18"/>
                  <w:color w:val="1155CC"/>
                  <w:u w:val="single"/>
                </w:rPr>
                <w:t xml:space="preserve">lshtm.ac.uk - Typhoid still affects millions in India (2023 model)</w:t>
              </w:r>
            </w:hyperlink>
          </w:p>
          <w:p>
            <w:pPr>
              <w:spacing w:before="60" w:after="40"/>
            </w:pPr>
            <w:r>
              <w:rPr>
                <w:rFonts w:ascii="Calibri" w:hAnsi="Calibri"/>
                <w:b w:val="0"/>
                <w:i w:val="0"/>
                <w:color w:val="5A5A5A"/>
                <w:sz w:val="18"/>
              </w:rPr>
              <w:t>#underfive  #severe  #hospitalisation  #dehydration  #paediatric</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&amp; young adults (15-30 years)</w:t>
            </w:r>
          </w:p>
        </w:tc>
        <w:tc>
          <w:tcPr>
            <w:tcW w:type="dxa" w:w="4276"/>
            <w:vAlign w:val="top"/>
          </w:tcPr>
          <w:p>
            <w:pPr>
              <w:spacing w:after="60" w:line="259" w:lineRule="auto"/>
            </w:pPr>
            <w:r>
              <w:rPr>
                <w:rFonts w:ascii="Calibri" w:hAnsi="Calibri"/>
                <w:b w:val="0"/>
                <w:i w:val="0"/>
                <w:color w:val="212121"/>
                <w:sz w:val="19"/>
              </w:rPr>
              <w:t>Older students and young workers eating outside the home in dense urban areas sustain a substantial share of adult enteric fever, often presenting late after self-medication.</w:t>
            </w:r>
          </w:p>
          <w:p>
            <w:pPr>
              <w:spacing w:after="40" w:before="60" w:line="259" w:lineRule="auto"/>
            </w:pPr>
            <w:r>
              <w:rPr>
                <w:rFonts w:ascii="Calibri" w:hAnsi="Calibri"/>
                <w:b w:val="0"/>
                <w:i w:val="0"/>
                <w:color w:val="212121"/>
                <w:sz w:val="19"/>
              </w:rPr>
              <w:t>Hospital surveillance in those aged 15+ years found typhoid incidence of 108-970 cases per 100,000 person-years across Indian sites.</w:t>
            </w:r>
          </w:p>
          <w:p>
            <w:pPr>
              <w:spacing w:after="40" w:line="252" w:lineRule="auto"/>
            </w:pPr>
            <w:hyperlink r:id="rId9">
              <w:r>
                <w:rPr>
                  <w:rFonts w:ascii="Calibri" w:hAnsi="Calibri" w:cs="Calibri"/>
                  <w:sz w:val="18"/>
                  <w:color w:val="1155CC"/>
                  <w:u w:val="single"/>
                </w:rPr>
                <w:t xml:space="preserve">pure.amsterdamumc.nl - NSSEFI adult surveillance</w:t>
              </w:r>
            </w:hyperlink>
          </w:p>
          <w:p>
            <w:pPr>
              <w:spacing w:before="60" w:after="40"/>
            </w:pPr>
            <w:r>
              <w:rPr>
                <w:rFonts w:ascii="Calibri" w:hAnsi="Calibri"/>
                <w:b w:val="0"/>
                <w:i w:val="0"/>
                <w:color w:val="5A5A5A"/>
                <w:sz w:val="18"/>
              </w:rPr>
              <w:t>#youngadults  #eatingout  #urban  #selfmedication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Males (reported/blood-culture cases)</w:t>
            </w:r>
          </w:p>
        </w:tc>
        <w:tc>
          <w:tcPr>
            <w:tcW w:type="dxa" w:w="4276"/>
            <w:vAlign w:val="top"/>
          </w:tcPr>
          <w:p>
            <w:pPr>
              <w:spacing w:after="60" w:line="259" w:lineRule="auto"/>
            </w:pPr>
            <w:r>
              <w:rPr>
                <w:rFonts w:ascii="Calibri" w:hAnsi="Calibri"/>
                <w:b w:val="0"/>
                <w:i w:val="0"/>
                <w:color w:val="212121"/>
                <w:sz w:val="19"/>
              </w:rPr>
              <w:t>Indian series often report a modest male predominance among culture-confirmed cases, attributed largely to greater outside-home eating, travel and water exposure rather than a biological difference in susceptibility.</w:t>
            </w:r>
          </w:p>
          <w:p>
            <w:pPr>
              <w:spacing w:after="40" w:before="60" w:line="259" w:lineRule="auto"/>
            </w:pPr>
            <w:r>
              <w:rPr>
                <w:rFonts w:ascii="Calibri" w:hAnsi="Calibri"/>
                <w:b w:val="0"/>
                <w:i w:val="0"/>
                <w:color w:val="212121"/>
                <w:sz w:val="19"/>
              </w:rPr>
              <w:t>Enteric fever affects both sexes; blood-culture-confirmed case series in India frequently show a slight male excess linked to occupational and dietary exposure.</w:t>
            </w:r>
          </w:p>
          <w:p>
            <w:pPr>
              <w:spacing w:before="60" w:after="40"/>
            </w:pPr>
            <w:r>
              <w:rPr>
                <w:rFonts w:ascii="Calibri" w:hAnsi="Calibri"/>
                <w:b w:val="0"/>
                <w:i w:val="0"/>
                <w:color w:val="5A5A5A"/>
                <w:sz w:val="18"/>
              </w:rPr>
              <w:t>#malepredominance  #exposure  #occupational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slum &amp; low-income households</w:t>
            </w:r>
          </w:p>
        </w:tc>
        <w:tc>
          <w:tcPr>
            <w:tcW w:type="dxa" w:w="4276"/>
            <w:vAlign w:val="top"/>
          </w:tcPr>
          <w:p>
            <w:pPr>
              <w:spacing w:after="60" w:line="259" w:lineRule="auto"/>
            </w:pPr>
            <w:r>
              <w:rPr>
                <w:rFonts w:ascii="Calibri" w:hAnsi="Calibri"/>
                <w:b w:val="0"/>
                <w:i w:val="0"/>
                <w:color w:val="212121"/>
                <w:sz w:val="19"/>
              </w:rPr>
              <w:t>Unsafe piped water, shared/unimproved sanitation and reliance on inexpensive street food concentrate transmission in poorer, crowded neighbourhoods.</w:t>
            </w:r>
          </w:p>
          <w:p>
            <w:pPr>
              <w:spacing w:after="40" w:before="60" w:line="259" w:lineRule="auto"/>
            </w:pPr>
            <w:r>
              <w:rPr>
                <w:rFonts w:ascii="Calibri" w:hAnsi="Calibri"/>
                <w:b w:val="0"/>
                <w:i w:val="0"/>
                <w:color w:val="212121"/>
                <w:sz w:val="19"/>
              </w:rPr>
              <w:t>Household water treatment was independently protective (OR 0.45; 95% CI 0.25-0.80), so its absence in low-income homes markedly raises risk.</w:t>
            </w:r>
          </w:p>
          <w:p>
            <w:pPr>
              <w:spacing w:after="40" w:line="252" w:lineRule="auto"/>
            </w:pPr>
            <w:hyperlink r:id="rId11">
              <w:r>
                <w:rPr>
                  <w:rFonts w:ascii="Calibri" w:hAnsi="Calibri" w:cs="Calibri"/>
                  <w:sz w:val="18"/>
                  <w:color w:val="1155CC"/>
                  <w:u w:val="single"/>
                </w:rPr>
                <w:t xml:space="preserve">pmc.ncbi.nlm.nih.gov PMC8892545 - household/environmental transmission, India</w:t>
              </w:r>
            </w:hyperlink>
          </w:p>
          <w:p>
            <w:pPr>
              <w:spacing w:before="60" w:after="40"/>
            </w:pPr>
            <w:r>
              <w:rPr>
                <w:rFonts w:ascii="Calibri" w:hAnsi="Calibri"/>
                <w:b w:val="0"/>
                <w:i w:val="0"/>
                <w:color w:val="5A5A5A"/>
                <w:sz w:val="18"/>
              </w:rPr>
              <w:t>#poverty  #slum  #unsafewater  #sanitation  #crowding</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Metropolitan north &amp; west India (Delhi, Maharashtra, Karnataka)</w:t>
            </w:r>
          </w:p>
        </w:tc>
        <w:tc>
          <w:tcPr>
            <w:tcW w:type="dxa" w:w="4276"/>
            <w:vAlign w:val="top"/>
          </w:tcPr>
          <w:p>
            <w:pPr>
              <w:spacing w:after="60" w:line="259" w:lineRule="auto"/>
            </w:pPr>
            <w:r>
              <w:rPr>
                <w:rFonts w:ascii="Calibri" w:hAnsi="Calibri"/>
                <w:b w:val="0"/>
                <w:i w:val="0"/>
                <w:color w:val="212121"/>
                <w:sz w:val="19"/>
              </w:rPr>
              <w:t>Large, densely populated metros with strained water and sanitation infrastructure concentrate the national caseload.</w:t>
            </w:r>
          </w:p>
          <w:p>
            <w:pPr>
              <w:spacing w:after="40" w:before="60" w:line="259" w:lineRule="auto"/>
            </w:pPr>
            <w:r>
              <w:rPr>
                <w:rFonts w:ascii="Calibri" w:hAnsi="Calibri"/>
                <w:b w:val="0"/>
                <w:i w:val="0"/>
                <w:color w:val="212121"/>
                <w:sz w:val="19"/>
              </w:rPr>
              <w:t>Delhi, Maharashtra and Karnataka together accounted for about 29% of India's estimated typhoid burden in 2023.</w:t>
            </w:r>
          </w:p>
          <w:p>
            <w:pPr>
              <w:spacing w:after="40" w:line="252" w:lineRule="auto"/>
            </w:pPr>
            <w:hyperlink r:id="rId12">
              <w:r>
                <w:rPr>
                  <w:rFonts w:ascii="Calibri" w:hAnsi="Calibri" w:cs="Calibri"/>
                  <w:sz w:val="18"/>
                  <w:color w:val="1155CC"/>
                  <w:u w:val="single"/>
                </w:rPr>
                <w:t xml:space="preserve">theindianpractitioner.com - India ~4.9 million typhoid cases 2023</w:t>
              </w:r>
            </w:hyperlink>
          </w:p>
          <w:p>
            <w:pPr>
              <w:spacing w:before="60" w:after="40"/>
            </w:pPr>
            <w:r>
              <w:rPr>
                <w:rFonts w:ascii="Calibri" w:hAnsi="Calibri"/>
                <w:b w:val="0"/>
                <w:i w:val="0"/>
                <w:color w:val="5A5A5A"/>
                <w:sz w:val="18"/>
              </w:rPr>
              <w:t>#metros  #delhi  #maharashtra  #karnataka  #infrastructure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Setting (urban vs rural)</w:t>
            </w:r>
          </w:p>
        </w:tc>
        <w:tc>
          <w:tcPr>
            <w:tcW w:type="dxa" w:w="2160"/>
            <w:vAlign w:val="top"/>
          </w:tcPr>
          <w:p>
            <w:pPr>
              <w:spacing w:after="40" w:before="0" w:line="259" w:lineRule="auto"/>
            </w:pPr>
            <w:r>
              <w:rPr>
                <w:rFonts w:ascii="Calibri" w:hAnsi="Calibri"/>
                <w:b w:val="0"/>
                <w:i w:val="0"/>
                <w:color w:val="212121"/>
                <w:sz w:val="19"/>
              </w:rPr>
              <w:t>Urban residents</w:t>
            </w:r>
          </w:p>
        </w:tc>
        <w:tc>
          <w:tcPr>
            <w:tcW w:type="dxa" w:w="4276"/>
            <w:vAlign w:val="top"/>
          </w:tcPr>
          <w:p>
            <w:pPr>
              <w:spacing w:after="60" w:line="259" w:lineRule="auto"/>
            </w:pPr>
            <w:r>
              <w:rPr>
                <w:rFonts w:ascii="Calibri" w:hAnsi="Calibri"/>
                <w:b w:val="0"/>
                <w:i w:val="0"/>
                <w:color w:val="212121"/>
                <w:sz w:val="19"/>
              </w:rPr>
              <w:t>Piped-water cross-contamination, high population density and widespread street-food vending make urban India far more affected than rural India.</w:t>
            </w:r>
          </w:p>
          <w:p>
            <w:pPr>
              <w:spacing w:after="40" w:before="60" w:line="259" w:lineRule="auto"/>
            </w:pPr>
            <w:r>
              <w:rPr>
                <w:rFonts w:ascii="Calibri" w:hAnsi="Calibri"/>
                <w:b w:val="0"/>
                <w:i w:val="0"/>
                <w:color w:val="212121"/>
                <w:sz w:val="19"/>
              </w:rPr>
              <w:t>Typhoid incidence was 576-1173 per 100,000 child-years at urban sites versus only 35 per 100,000 child-years in rural Pune.</w:t>
            </w:r>
          </w:p>
          <w:p>
            <w:pPr>
              <w:spacing w:after="40" w:line="252" w:lineRule="auto"/>
            </w:pPr>
            <w:hyperlink r:id="rId9">
              <w:r>
                <w:rPr>
                  <w:rFonts w:ascii="Calibri" w:hAnsi="Calibri" w:cs="Calibri"/>
                  <w:sz w:val="18"/>
                  <w:color w:val="1155CC"/>
                  <w:u w:val="single"/>
                </w:rPr>
                <w:t xml:space="preserve">pure.amsterdamumc.nl - NSSEFI urban vs rural incidence</w:t>
              </w:r>
            </w:hyperlink>
          </w:p>
          <w:p>
            <w:pPr>
              <w:spacing w:before="60" w:after="40"/>
            </w:pPr>
            <w:r>
              <w:rPr>
                <w:rFonts w:ascii="Calibri" w:hAnsi="Calibri"/>
                <w:b w:val="0"/>
                <w:i w:val="0"/>
                <w:color w:val="5A5A5A"/>
                <w:sz w:val="18"/>
              </w:rPr>
              <w:t>#urbanrisk  #density  #pipedwater  #vending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Season</w:t>
            </w:r>
          </w:p>
        </w:tc>
        <w:tc>
          <w:tcPr>
            <w:tcW w:type="dxa" w:w="2160"/>
            <w:vAlign w:val="top"/>
          </w:tcPr>
          <w:p>
            <w:pPr>
              <w:spacing w:after="40" w:before="0" w:line="259" w:lineRule="auto"/>
            </w:pPr>
            <w:r>
              <w:rPr>
                <w:rFonts w:ascii="Calibri" w:hAnsi="Calibri"/>
                <w:b w:val="0"/>
                <w:i w:val="0"/>
                <w:color w:val="212121"/>
                <w:sz w:val="19"/>
              </w:rPr>
              <w:t>Communities in the monsoon &amp; pre-monsoon months</w:t>
            </w:r>
          </w:p>
        </w:tc>
        <w:tc>
          <w:tcPr>
            <w:tcW w:type="dxa" w:w="4276"/>
            <w:vAlign w:val="top"/>
          </w:tcPr>
          <w:p>
            <w:pPr>
              <w:spacing w:after="60" w:line="259" w:lineRule="auto"/>
            </w:pPr>
            <w:r>
              <w:rPr>
                <w:rFonts w:ascii="Calibri" w:hAnsi="Calibri"/>
                <w:b w:val="0"/>
                <w:i w:val="0"/>
                <w:color w:val="212121"/>
                <w:sz w:val="19"/>
              </w:rPr>
              <w:t>Heavy rain and flooding contaminate drinking-water sources with sewage while high temperatures favour bacterial survival, producing seasonal peaks of enteric fever.</w:t>
            </w:r>
          </w:p>
          <w:p>
            <w:pPr>
              <w:spacing w:after="40" w:before="60" w:line="259" w:lineRule="auto"/>
            </w:pPr>
            <w:r>
              <w:rPr>
                <w:rFonts w:ascii="Calibri" w:hAnsi="Calibri"/>
                <w:b w:val="0"/>
                <w:i w:val="0"/>
                <w:color w:val="212121"/>
                <w:sz w:val="19"/>
              </w:rPr>
              <w:t>Enteric-fever admissions in India characteristically rise during the hot pre-monsoon and monsoon season when water contamination is greatest.</w:t>
            </w:r>
          </w:p>
          <w:p>
            <w:pPr>
              <w:spacing w:before="60" w:after="40"/>
            </w:pPr>
            <w:r>
              <w:rPr>
                <w:rFonts w:ascii="Calibri" w:hAnsi="Calibri"/>
                <w:b w:val="0"/>
                <w:i w:val="0"/>
                <w:color w:val="5A5A5A"/>
                <w:sz w:val="18"/>
              </w:rPr>
              <w:t>#monsoon  #flooding  #waterborne  #seasonal</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Hygiene</w:t>
            </w:r>
          </w:p>
        </w:tc>
        <w:tc>
          <w:tcPr>
            <w:tcW w:type="dxa" w:w="2160"/>
            <w:vAlign w:val="top"/>
          </w:tcPr>
          <w:p>
            <w:pPr>
              <w:spacing w:after="40" w:before="0" w:line="259" w:lineRule="auto"/>
            </w:pPr>
            <w:r>
              <w:rPr>
                <w:rFonts w:ascii="Calibri" w:hAnsi="Calibri"/>
                <w:b w:val="0"/>
                <w:i w:val="0"/>
                <w:color w:val="212121"/>
                <w:sz w:val="19"/>
              </w:rPr>
              <w:t>Poor hand hygiene / open-defecation communities</w:t>
            </w:r>
          </w:p>
        </w:tc>
        <w:tc>
          <w:tcPr>
            <w:tcW w:type="dxa" w:w="4276"/>
            <w:vAlign w:val="top"/>
          </w:tcPr>
          <w:p>
            <w:pPr>
              <w:spacing w:after="60" w:line="259" w:lineRule="auto"/>
            </w:pPr>
            <w:r>
              <w:rPr>
                <w:rFonts w:ascii="Calibri" w:hAnsi="Calibri"/>
                <w:b w:val="0"/>
                <w:i w:val="0"/>
                <w:color w:val="212121"/>
                <w:sz w:val="19"/>
              </w:rPr>
              <w:t>Infrequent handwashing with soap after defecation and before eating, combined with unsafe faecal disposal, directly perpetuates the faecal-oral transmission chain.</w:t>
            </w:r>
          </w:p>
          <w:p>
            <w:pPr>
              <w:spacing w:after="40" w:before="60" w:line="259" w:lineRule="auto"/>
            </w:pPr>
            <w:r>
              <w:rPr>
                <w:rFonts w:ascii="Calibri" w:hAnsi="Calibri"/>
                <w:b w:val="0"/>
                <w:i w:val="0"/>
                <w:color w:val="212121"/>
                <w:sz w:val="19"/>
              </w:rPr>
              <w:t>Washing produce before eating trended protective (OR 0.57; 95% CI 0.32-1.02), highlighting the impact of basic hygiene on risk.</w:t>
            </w:r>
          </w:p>
          <w:p>
            <w:pPr>
              <w:spacing w:after="40" w:line="252" w:lineRule="auto"/>
            </w:pPr>
            <w:hyperlink r:id="rId11">
              <w:r>
                <w:rPr>
                  <w:rFonts w:ascii="Calibri" w:hAnsi="Calibri" w:cs="Calibri"/>
                  <w:sz w:val="18"/>
                  <w:color w:val="1155CC"/>
                  <w:u w:val="single"/>
                </w:rPr>
                <w:t xml:space="preserve">pmc.ncbi.nlm.nih.gov PMC8892545 - hygiene &amp; food practices</w:t>
              </w:r>
            </w:hyperlink>
          </w:p>
          <w:p>
            <w:pPr>
              <w:spacing w:before="60" w:after="40"/>
            </w:pPr>
            <w:r>
              <w:rPr>
                <w:rFonts w:ascii="Calibri" w:hAnsi="Calibri"/>
                <w:b w:val="0"/>
                <w:i w:val="0"/>
                <w:color w:val="5A5A5A"/>
                <w:sz w:val="18"/>
              </w:rPr>
              <w:t>#handwashing  #opendefecation  #faecaloral  #WASH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Eating out / street food</w:t>
            </w:r>
          </w:p>
        </w:tc>
        <w:tc>
          <w:tcPr>
            <w:tcW w:type="dxa" w:w="2160"/>
            <w:vAlign w:val="top"/>
          </w:tcPr>
          <w:p>
            <w:pPr>
              <w:spacing w:after="40" w:before="0" w:line="259" w:lineRule="auto"/>
            </w:pPr>
            <w:r>
              <w:rPr>
                <w:rFonts w:ascii="Calibri" w:hAnsi="Calibri"/>
                <w:b w:val="0"/>
                <w:i w:val="0"/>
                <w:color w:val="212121"/>
                <w:sz w:val="19"/>
              </w:rPr>
              <w:t>Frequent street-food &amp; roadside-vendor consumers</w:t>
            </w:r>
          </w:p>
        </w:tc>
        <w:tc>
          <w:tcPr>
            <w:tcW w:type="dxa" w:w="4276"/>
            <w:vAlign w:val="top"/>
          </w:tcPr>
          <w:p>
            <w:pPr>
              <w:spacing w:after="60" w:line="259" w:lineRule="auto"/>
            </w:pPr>
            <w:r>
              <w:rPr>
                <w:rFonts w:ascii="Calibri" w:hAnsi="Calibri"/>
                <w:b w:val="0"/>
                <w:i w:val="0"/>
                <w:color w:val="212121"/>
                <w:sz w:val="19"/>
              </w:rPr>
              <w:t>Food and beverages prepared with contaminated water or handled by carriers under poor hygiene are a leading vehicle, especially cut fruit, chaat, juices and ice.</w:t>
            </w:r>
          </w:p>
          <w:p>
            <w:pPr>
              <w:spacing w:after="40" w:before="60" w:line="259" w:lineRule="auto"/>
            </w:pPr>
            <w:r>
              <w:rPr>
                <w:rFonts w:ascii="Calibri" w:hAnsi="Calibri"/>
                <w:b w:val="0"/>
                <w:i w:val="0"/>
                <w:color w:val="212121"/>
                <w:sz w:val="19"/>
              </w:rPr>
              <w:t>A mother's street-food consumption was independently associated with typhoid in her child (adjusted OR 2.04; 95% CI 1.03-4.12).</w:t>
            </w:r>
          </w:p>
          <w:p>
            <w:pPr>
              <w:spacing w:after="40" w:line="252" w:lineRule="auto"/>
            </w:pPr>
            <w:hyperlink r:id="rId11">
              <w:r>
                <w:rPr>
                  <w:rFonts w:ascii="Calibri" w:hAnsi="Calibri" w:cs="Calibri"/>
                  <w:sz w:val="18"/>
                  <w:color w:val="1155CC"/>
                  <w:u w:val="single"/>
                </w:rPr>
                <w:t xml:space="preserve">pmc.ncbi.nlm.nih.gov PMC8892545 - street food association</w:t>
              </w:r>
            </w:hyperlink>
          </w:p>
          <w:p>
            <w:pPr>
              <w:spacing w:before="60" w:after="40"/>
            </w:pPr>
            <w:r>
              <w:rPr>
                <w:rFonts w:ascii="Calibri" w:hAnsi="Calibri"/>
                <w:b w:val="0"/>
                <w:i w:val="0"/>
                <w:color w:val="5A5A5A"/>
                <w:sz w:val="18"/>
              </w:rPr>
              <w:t>#streetfood  #chaat  #cutfruit  #ice  #vendors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Travel</w:t>
            </w:r>
          </w:p>
        </w:tc>
        <w:tc>
          <w:tcPr>
            <w:tcW w:type="dxa" w:w="2160"/>
            <w:vAlign w:val="top"/>
          </w:tcPr>
          <w:p>
            <w:pPr>
              <w:spacing w:after="40" w:before="0" w:line="259" w:lineRule="auto"/>
            </w:pPr>
            <w:r>
              <w:rPr>
                <w:rFonts w:ascii="Calibri" w:hAnsi="Calibri"/>
                <w:b w:val="0"/>
                <w:i w:val="0"/>
                <w:color w:val="212121"/>
                <w:sz w:val="19"/>
              </w:rPr>
              <w:t>Travellers to / within endemic South Asia (incl. VFR travellers)</w:t>
            </w:r>
          </w:p>
        </w:tc>
        <w:tc>
          <w:tcPr>
            <w:tcW w:type="dxa" w:w="4276"/>
            <w:vAlign w:val="top"/>
          </w:tcPr>
          <w:p>
            <w:pPr>
              <w:spacing w:after="60" w:line="259" w:lineRule="auto"/>
            </w:pPr>
            <w:r>
              <w:rPr>
                <w:rFonts w:ascii="Calibri" w:hAnsi="Calibri"/>
                <w:b w:val="0"/>
                <w:i w:val="0"/>
                <w:color w:val="212121"/>
                <w:sz w:val="19"/>
              </w:rPr>
              <w:t>Non-immune visitors and returning residents visiting friends and relatives who consume local water and food acquire enteric fever, and the Indian subcontinent is the leading source region.</w:t>
            </w:r>
          </w:p>
          <w:p>
            <w:pPr>
              <w:spacing w:after="40" w:before="60" w:line="259" w:lineRule="auto"/>
            </w:pPr>
            <w:r>
              <w:rPr>
                <w:rFonts w:ascii="Calibri" w:hAnsi="Calibri"/>
                <w:b w:val="0"/>
                <w:i w:val="0"/>
                <w:color w:val="212121"/>
                <w:sz w:val="19"/>
              </w:rPr>
              <w:t>South Asia, and India in particular, is repeatedly identified as the highest-risk destination for travel-associated typhoid, reflecting the country's very high endemic incidence.</w:t>
            </w:r>
          </w:p>
          <w:p>
            <w:pPr>
              <w:spacing w:after="40" w:line="252" w:lineRule="auto"/>
            </w:pPr>
            <w:hyperlink r:id="rId9">
              <w:r>
                <w:rPr>
                  <w:rFonts w:ascii="Calibri" w:hAnsi="Calibri" w:cs="Calibri"/>
                  <w:sz w:val="18"/>
                  <w:color w:val="1155CC"/>
                  <w:u w:val="single"/>
                </w:rPr>
                <w:t xml:space="preserve">pure.amsterdamumc.nl - India enteric fever burden</w:t>
              </w:r>
            </w:hyperlink>
          </w:p>
          <w:p>
            <w:pPr>
              <w:spacing w:before="60" w:after="40"/>
            </w:pPr>
            <w:r>
              <w:rPr>
                <w:rFonts w:ascii="Calibri" w:hAnsi="Calibri"/>
                <w:b w:val="0"/>
                <w:i w:val="0"/>
                <w:color w:val="5A5A5A"/>
                <w:sz w:val="18"/>
              </w:rPr>
              <w:t>#travel  #VFR  #endemic  #returningtraveller</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Drinking water</w:t>
            </w:r>
          </w:p>
        </w:tc>
        <w:tc>
          <w:tcPr>
            <w:tcW w:type="dxa" w:w="2160"/>
            <w:vAlign w:val="top"/>
          </w:tcPr>
          <w:p>
            <w:pPr>
              <w:spacing w:after="40" w:before="0" w:line="259" w:lineRule="auto"/>
            </w:pPr>
            <w:r>
              <w:rPr>
                <w:rFonts w:ascii="Calibri" w:hAnsi="Calibri"/>
                <w:b w:val="0"/>
                <w:i w:val="0"/>
                <w:color w:val="212121"/>
                <w:sz w:val="19"/>
              </w:rPr>
              <w:t>Households using untreated / unimproved water</w:t>
            </w:r>
          </w:p>
        </w:tc>
        <w:tc>
          <w:tcPr>
            <w:tcW w:type="dxa" w:w="4276"/>
            <w:vAlign w:val="top"/>
          </w:tcPr>
          <w:p>
            <w:pPr>
              <w:spacing w:after="60" w:line="259" w:lineRule="auto"/>
            </w:pPr>
            <w:r>
              <w:rPr>
                <w:rFonts w:ascii="Calibri" w:hAnsi="Calibri"/>
                <w:b w:val="0"/>
                <w:i w:val="0"/>
                <w:color w:val="212121"/>
                <w:sz w:val="19"/>
              </w:rPr>
              <w:t>Untreated surface, well or intermittently supplied piped water is the primary vehicle for S. Typhi; boiling, filtering, chlorination or reverse osmosis substantially lowers risk.</w:t>
            </w:r>
          </w:p>
          <w:p>
            <w:pPr>
              <w:spacing w:after="40" w:before="60" w:line="259" w:lineRule="auto"/>
            </w:pPr>
            <w:r>
              <w:rPr>
                <w:rFonts w:ascii="Calibri" w:hAnsi="Calibri"/>
                <w:b w:val="0"/>
                <w:i w:val="0"/>
                <w:color w:val="212121"/>
                <w:sz w:val="19"/>
              </w:rPr>
              <w:t>Any household water treatment reduced the odds of typhoid by more than half (OR 0.45; 95% CI 0.25-0.80).</w:t>
            </w:r>
          </w:p>
          <w:p>
            <w:pPr>
              <w:spacing w:after="40" w:line="252" w:lineRule="auto"/>
            </w:pPr>
            <w:hyperlink r:id="rId11">
              <w:r>
                <w:rPr>
                  <w:rFonts w:ascii="Calibri" w:hAnsi="Calibri" w:cs="Calibri"/>
                  <w:sz w:val="18"/>
                  <w:color w:val="1155CC"/>
                  <w:u w:val="single"/>
                </w:rPr>
                <w:t xml:space="preserve">pmc.ncbi.nlm.nih.gov PMC8892545 - water treatment protective</w:t>
              </w:r>
            </w:hyperlink>
          </w:p>
          <w:p>
            <w:pPr>
              <w:spacing w:before="60" w:after="40"/>
            </w:pPr>
            <w:r>
              <w:rPr>
                <w:rFonts w:ascii="Calibri" w:hAnsi="Calibri"/>
                <w:b w:val="0"/>
                <w:i w:val="0"/>
                <w:color w:val="5A5A5A"/>
                <w:sz w:val="18"/>
              </w:rPr>
              <w:t>#unsafewater  #untreatedwater  #boilfilterchlorinate  #RO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Raw &amp; cold foods</w:t>
            </w:r>
          </w:p>
        </w:tc>
        <w:tc>
          <w:tcPr>
            <w:tcW w:type="dxa" w:w="2160"/>
            <w:vAlign w:val="top"/>
          </w:tcPr>
          <w:p>
            <w:pPr>
              <w:spacing w:after="40" w:before="0" w:line="259" w:lineRule="auto"/>
            </w:pPr>
            <w:r>
              <w:rPr>
                <w:rFonts w:ascii="Calibri" w:hAnsi="Calibri"/>
                <w:b w:val="0"/>
                <w:i w:val="0"/>
                <w:color w:val="212121"/>
                <w:sz w:val="19"/>
              </w:rPr>
              <w:t>Consumers of raw salads, cut fruit, ice &amp; cold drinks</w:t>
            </w:r>
          </w:p>
        </w:tc>
        <w:tc>
          <w:tcPr>
            <w:tcW w:type="dxa" w:w="4276"/>
            <w:vAlign w:val="top"/>
          </w:tcPr>
          <w:p>
            <w:pPr>
              <w:spacing w:after="60" w:line="259" w:lineRule="auto"/>
            </w:pPr>
            <w:r>
              <w:rPr>
                <w:rFonts w:ascii="Calibri" w:hAnsi="Calibri"/>
                <w:b w:val="0"/>
                <w:i w:val="0"/>
                <w:color w:val="212121"/>
                <w:sz w:val="19"/>
              </w:rPr>
              <w:t>Uncooked items washed in contaminated water, ice made from unsafe water and beverages handled by carriers bypass the protection of thorough cooking.</w:t>
            </w:r>
          </w:p>
          <w:p>
            <w:pPr>
              <w:spacing w:after="40" w:before="60" w:line="259" w:lineRule="auto"/>
            </w:pPr>
            <w:r>
              <w:rPr>
                <w:rFonts w:ascii="Calibri" w:hAnsi="Calibri"/>
                <w:b w:val="0"/>
                <w:i w:val="0"/>
                <w:color w:val="212121"/>
                <w:sz w:val="19"/>
              </w:rPr>
              <w:t>Enteric fever is classically transmitted by the 'five Fs' (food, fingers, faeces, flies, fomites); freshly cooked hot food and avoidance of raw/cold vended items reduce risk.</w:t>
            </w:r>
          </w:p>
          <w:p>
            <w:pPr>
              <w:spacing w:before="60" w:after="40"/>
            </w:pPr>
            <w:r>
              <w:rPr>
                <w:rFonts w:ascii="Calibri" w:hAnsi="Calibri"/>
                <w:b w:val="0"/>
                <w:i w:val="0"/>
                <w:color w:val="5A5A5A"/>
                <w:sz w:val="18"/>
              </w:rPr>
              <w:t>#rawfood  #salads  #ice  #colddrinks  #fiveFs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Household contact / family clustering</w:t>
            </w:r>
          </w:p>
        </w:tc>
        <w:tc>
          <w:tcPr>
            <w:tcW w:type="dxa" w:w="2160"/>
            <w:vAlign w:val="top"/>
          </w:tcPr>
          <w:p>
            <w:pPr>
              <w:spacing w:after="40" w:before="0" w:line="259" w:lineRule="auto"/>
            </w:pPr>
            <w:r>
              <w:rPr>
                <w:rFonts w:ascii="Calibri" w:hAnsi="Calibri"/>
                <w:b w:val="0"/>
                <w:i w:val="0"/>
                <w:color w:val="212121"/>
                <w:sz w:val="19"/>
              </w:rPr>
              <w:t>Household members of a case or chronic carrier</w:t>
            </w:r>
          </w:p>
        </w:tc>
        <w:tc>
          <w:tcPr>
            <w:tcW w:type="dxa" w:w="4276"/>
            <w:vAlign w:val="top"/>
          </w:tcPr>
          <w:p>
            <w:pPr>
              <w:spacing w:after="60" w:line="259" w:lineRule="auto"/>
            </w:pPr>
            <w:r>
              <w:rPr>
                <w:rFonts w:ascii="Calibri" w:hAnsi="Calibri"/>
                <w:b w:val="0"/>
                <w:i w:val="0"/>
                <w:color w:val="212121"/>
                <w:sz w:val="19"/>
              </w:rPr>
              <w:t>Shared water, food and sanitation plus intra-familial genetic susceptibility (e.g., HLA and innate-immunity variants) cluster enteric fever within households, particularly around a chronic biliary carrier.</w:t>
            </w:r>
          </w:p>
          <w:p>
            <w:pPr>
              <w:spacing w:after="40" w:before="60" w:line="259" w:lineRule="auto"/>
            </w:pPr>
            <w:r>
              <w:rPr>
                <w:rFonts w:ascii="Calibri" w:hAnsi="Calibri"/>
                <w:b w:val="0"/>
                <w:i w:val="0"/>
                <w:color w:val="212121"/>
                <w:sz w:val="19"/>
              </w:rPr>
              <w:t>Chronic carriers, who develop in 1-4% of patients, act as persistent household and community reservoirs seeding new infections.</w:t>
            </w:r>
          </w:p>
          <w:p>
            <w:pPr>
              <w:spacing w:after="40" w:line="252" w:lineRule="auto"/>
            </w:pPr>
            <w:hyperlink r:id="rId13">
              <w:r>
                <w:rPr>
                  <w:rFonts w:ascii="Calibri" w:hAnsi="Calibri" w:cs="Calibri"/>
                  <w:sz w:val="18"/>
                  <w:color w:val="1155CC"/>
                  <w:u w:val="single"/>
                </w:rPr>
                <w:t xml:space="preserve">ncbi.nlm.nih.gov/books/NBK557513 - Typhoid Fever (chronic carriage)</w:t>
              </w:r>
            </w:hyperlink>
          </w:p>
          <w:p>
            <w:pPr>
              <w:spacing w:before="60" w:after="40"/>
            </w:pPr>
            <w:r>
              <w:rPr>
                <w:rFonts w:ascii="Calibri" w:hAnsi="Calibri"/>
                <w:b w:val="0"/>
                <w:i w:val="0"/>
                <w:color w:val="5A5A5A"/>
                <w:sz w:val="18"/>
              </w:rPr>
              <w:t>#householdclustering  #carrier  #susceptibility  #HLA</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Reduced gastric acidity</w:t>
            </w:r>
          </w:p>
        </w:tc>
        <w:tc>
          <w:tcPr>
            <w:tcW w:type="dxa" w:w="2160"/>
            <w:vAlign w:val="top"/>
          </w:tcPr>
          <w:p>
            <w:pPr>
              <w:spacing w:after="40" w:before="0" w:line="259" w:lineRule="auto"/>
            </w:pPr>
            <w:r>
              <w:rPr>
                <w:rFonts w:ascii="Calibri" w:hAnsi="Calibri"/>
                <w:b w:val="0"/>
                <w:i w:val="0"/>
                <w:color w:val="212121"/>
                <w:sz w:val="19"/>
              </w:rPr>
              <w:t>Patients on antacids/PPIs, with H. pylori or achlorhydria</w:t>
            </w:r>
          </w:p>
        </w:tc>
        <w:tc>
          <w:tcPr>
            <w:tcW w:type="dxa" w:w="4276"/>
            <w:vAlign w:val="top"/>
          </w:tcPr>
          <w:p>
            <w:pPr>
              <w:spacing w:after="60" w:line="259" w:lineRule="auto"/>
            </w:pPr>
            <w:r>
              <w:rPr>
                <w:rFonts w:ascii="Calibri" w:hAnsi="Calibri"/>
                <w:b w:val="0"/>
                <w:i w:val="0"/>
                <w:color w:val="212121"/>
                <w:sz w:val="19"/>
              </w:rPr>
              <w:t>Gastric acid is a key barrier to ingested Salmonella; when it is neutralised or reduced, a much smaller inoculum can survive to reach and colonise the small intestine.</w:t>
            </w:r>
          </w:p>
          <w:p>
            <w:pPr>
              <w:spacing w:after="40" w:before="60" w:line="259" w:lineRule="auto"/>
            </w:pPr>
            <w:r>
              <w:rPr>
                <w:rFonts w:ascii="Calibri" w:hAnsi="Calibri"/>
                <w:b w:val="0"/>
                <w:i w:val="0"/>
                <w:color w:val="212121"/>
                <w:sz w:val="19"/>
              </w:rPr>
              <w:t>Loss of the gastric-acid barrier lowers the infectious dose required to establish enteric fever, increasing susceptibility.</w:t>
            </w:r>
          </w:p>
          <w:p>
            <w:pPr>
              <w:spacing w:after="40" w:line="252" w:lineRule="auto"/>
            </w:pPr>
            <w:hyperlink r:id="rId13">
              <w:r>
                <w:rPr>
                  <w:rFonts w:ascii="Calibri" w:hAnsi="Calibri" w:cs="Calibri"/>
                  <w:sz w:val="18"/>
                  <w:color w:val="1155CC"/>
                  <w:u w:val="single"/>
                </w:rPr>
                <w:t xml:space="preserve">ncbi.nlm.nih.gov/books/NBK557513 - pathogenesis &amp; infectious dose</w:t>
              </w:r>
            </w:hyperlink>
          </w:p>
          <w:p>
            <w:pPr>
              <w:spacing w:before="60" w:after="40"/>
            </w:pPr>
            <w:r>
              <w:rPr>
                <w:rFonts w:ascii="Calibri" w:hAnsi="Calibri"/>
                <w:b w:val="0"/>
                <w:i w:val="0"/>
                <w:color w:val="5A5A5A"/>
                <w:sz w:val="18"/>
              </w:rPr>
              <w:t>#hypochlorhydria  #PPI  #antacids  #Hpylori  #infectiousdose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People with HIV, on immunosuppressants or with reticuloendothelial disease</w:t>
            </w:r>
          </w:p>
        </w:tc>
        <w:tc>
          <w:tcPr>
            <w:tcW w:type="dxa" w:w="4276"/>
            <w:vAlign w:val="top"/>
          </w:tcPr>
          <w:p>
            <w:pPr>
              <w:spacing w:after="60" w:line="259" w:lineRule="auto"/>
            </w:pPr>
            <w:r>
              <w:rPr>
                <w:rFonts w:ascii="Calibri" w:hAnsi="Calibri"/>
                <w:b w:val="0"/>
                <w:i w:val="0"/>
                <w:color w:val="212121"/>
                <w:sz w:val="19"/>
              </w:rPr>
              <w:t>Because control of intracellular Salmonella depends on cell-mediated immunity, immunocompromised hosts develop more severe, prolonged and relapsing disease with higher bacteraemia.</w:t>
            </w:r>
          </w:p>
          <w:p>
            <w:pPr>
              <w:spacing w:after="40" w:before="60" w:line="259" w:lineRule="auto"/>
            </w:pPr>
            <w:r>
              <w:rPr>
                <w:rFonts w:ascii="Calibri" w:hAnsi="Calibri"/>
                <w:b w:val="0"/>
                <w:i w:val="0"/>
                <w:color w:val="212121"/>
                <w:sz w:val="19"/>
              </w:rPr>
              <w:t>Impaired cell-mediated immunity predisposes to severe and recurrent enteric fever and complicates clearance of the organism.</w:t>
            </w:r>
          </w:p>
          <w:p>
            <w:pPr>
              <w:spacing w:after="40" w:line="252" w:lineRule="auto"/>
            </w:pPr>
            <w:hyperlink r:id="rId13">
              <w:r>
                <w:rPr>
                  <w:rFonts w:ascii="Calibri" w:hAnsi="Calibri" w:cs="Calibri"/>
                  <w:sz w:val="18"/>
                  <w:color w:val="1155CC"/>
                  <w:u w:val="single"/>
                </w:rPr>
                <w:t xml:space="preserve">ncbi.nlm.nih.gov/books/NBK557513 - host factors</w:t>
              </w:r>
            </w:hyperlink>
          </w:p>
          <w:p>
            <w:pPr>
              <w:spacing w:before="60" w:after="40"/>
            </w:pPr>
            <w:r>
              <w:rPr>
                <w:rFonts w:ascii="Calibri" w:hAnsi="Calibri"/>
                <w:b w:val="0"/>
                <w:i w:val="0"/>
                <w:color w:val="5A5A5A"/>
                <w:sz w:val="18"/>
              </w:rPr>
              <w:t>#HIV  #immunosuppression  #severe  #relapse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Gallstones / chronic carriage</w:t>
            </w:r>
          </w:p>
        </w:tc>
        <w:tc>
          <w:tcPr>
            <w:tcW w:type="dxa" w:w="2160"/>
            <w:vAlign w:val="top"/>
          </w:tcPr>
          <w:p>
            <w:pPr>
              <w:spacing w:after="40" w:before="0" w:line="259" w:lineRule="auto"/>
            </w:pPr>
            <w:r>
              <w:rPr>
                <w:rFonts w:ascii="Calibri" w:hAnsi="Calibri"/>
                <w:b w:val="0"/>
                <w:i w:val="0"/>
                <w:color w:val="212121"/>
                <w:sz w:val="19"/>
              </w:rPr>
              <w:t>Adults (especially women) with cholelithiasis</w:t>
            </w:r>
          </w:p>
        </w:tc>
        <w:tc>
          <w:tcPr>
            <w:tcW w:type="dxa" w:w="4276"/>
            <w:vAlign w:val="top"/>
          </w:tcPr>
          <w:p>
            <w:pPr>
              <w:spacing w:after="60" w:line="259" w:lineRule="auto"/>
            </w:pPr>
            <w:r>
              <w:rPr>
                <w:rFonts w:ascii="Calibri" w:hAnsi="Calibri"/>
                <w:b w:val="0"/>
                <w:i w:val="0"/>
                <w:color w:val="212121"/>
                <w:sz w:val="19"/>
              </w:rPr>
              <w:t>A gallstone-laden gallbladder provides a biofilm niche where S. Typhi persists, creating the chronic carrier state and a long-term reservoir; persistent colonisation also drives malignant change over decades.</w:t>
            </w:r>
          </w:p>
          <w:p>
            <w:pPr>
              <w:spacing w:after="40" w:before="60" w:line="259" w:lineRule="auto"/>
            </w:pPr>
            <w:r>
              <w:rPr>
                <w:rFonts w:ascii="Calibri" w:hAnsi="Calibri"/>
                <w:b w:val="0"/>
                <w:i w:val="0"/>
                <w:color w:val="212121"/>
                <w:sz w:val="19"/>
              </w:rPr>
              <w:t>Chronic S. Typhi carriage is associated with gallbladder cancer, with a pooled relative risk of about 4.6 (95% CI 3.1-6.8) for anti-Vi seropositivity.</w:t>
            </w:r>
          </w:p>
          <w:p>
            <w:pPr>
              <w:spacing w:after="40" w:line="252" w:lineRule="auto"/>
            </w:pPr>
            <w:hyperlink r:id="rId14">
              <w:r>
                <w:rPr>
                  <w:rFonts w:ascii="Calibri" w:hAnsi="Calibri" w:cs="Calibri"/>
                  <w:sz w:val="18"/>
                  <w:color w:val="1155CC"/>
                  <w:u w:val="single"/>
                </w:rPr>
                <w:t xml:space="preserve">coalitionagainsttyphoid.org - S. Typhi &amp; gallbladder cancer meta-analysis</w:t>
              </w:r>
            </w:hyperlink>
          </w:p>
          <w:p>
            <w:pPr>
              <w:spacing w:before="60" w:after="40"/>
            </w:pPr>
            <w:r>
              <w:rPr>
                <w:rFonts w:ascii="Calibri" w:hAnsi="Calibri"/>
                <w:b w:val="0"/>
                <w:i w:val="0"/>
                <w:color w:val="5A5A5A"/>
                <w:sz w:val="18"/>
              </w:rPr>
              <w:t>#gallstones  #chroniccarrier  #biofilm  #gallbladdercancer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Malnutrition / anaemia</w:t>
            </w:r>
          </w:p>
        </w:tc>
        <w:tc>
          <w:tcPr>
            <w:tcW w:type="dxa" w:w="2160"/>
            <w:vAlign w:val="top"/>
          </w:tcPr>
          <w:p>
            <w:pPr>
              <w:spacing w:after="40" w:before="0" w:line="259" w:lineRule="auto"/>
            </w:pPr>
            <w:r>
              <w:rPr>
                <w:rFonts w:ascii="Calibri" w:hAnsi="Calibri"/>
                <w:b w:val="0"/>
                <w:i w:val="0"/>
                <w:color w:val="212121"/>
                <w:sz w:val="19"/>
              </w:rPr>
              <w:t>Undernourished children and adults</w:t>
            </w:r>
          </w:p>
        </w:tc>
        <w:tc>
          <w:tcPr>
            <w:tcW w:type="dxa" w:w="4276"/>
            <w:vAlign w:val="top"/>
          </w:tcPr>
          <w:p>
            <w:pPr>
              <w:spacing w:after="60" w:line="259" w:lineRule="auto"/>
            </w:pPr>
            <w:r>
              <w:rPr>
                <w:rFonts w:ascii="Calibri" w:hAnsi="Calibri"/>
                <w:b w:val="0"/>
                <w:i w:val="0"/>
                <w:color w:val="212121"/>
                <w:sz w:val="19"/>
              </w:rPr>
              <w:t>Undernutrition and micronutrient deficiency impair mucosal and cell-mediated immunity, predisposing to more severe enteric fever, while the prolonged febrile illness in turn worsens nutritional status.</w:t>
            </w:r>
          </w:p>
          <w:p>
            <w:pPr>
              <w:spacing w:after="40" w:before="60" w:line="259" w:lineRule="auto"/>
            </w:pPr>
            <w:r>
              <w:rPr>
                <w:rFonts w:ascii="Calibri" w:hAnsi="Calibri"/>
                <w:b w:val="0"/>
                <w:i w:val="0"/>
                <w:color w:val="212121"/>
                <w:sz w:val="19"/>
              </w:rPr>
              <w:t>Malnutrition is a recognised risk factor for severe enteric fever and poorer recovery, particularly among young Indian children.</w:t>
            </w:r>
          </w:p>
          <w:p>
            <w:pPr>
              <w:spacing w:before="60" w:after="40"/>
            </w:pPr>
            <w:r>
              <w:rPr>
                <w:rFonts w:ascii="Calibri" w:hAnsi="Calibri"/>
                <w:b w:val="0"/>
                <w:i w:val="0"/>
                <w:color w:val="5A5A5A"/>
                <w:sz w:val="18"/>
              </w:rPr>
              <w:t>#malnutrition  #anaemia  #immunity  #growthfaltering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is not a determinant of acquiring enteric fever, which is an infection of exposure. During acute illness and the vulnerable second-third week, however, strenuous activity should be avoided because of the risk of intestinal perforation and haemorrhage.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Contaminated food is a principal transmission route: street food, raw salads, cut fruit, unpasteurised dairy and food handled by carriers. A mother's street-food consumption was independently associated with childhood typhoid (adjusted OR 2.04).</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does not influence transmission, but adequate rest supports recovery and immune function during the prolonged febrile illness. Insomnia and reversal of the sleep cycle can also be early features of typhoid encephalopathy.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not an established risk factor for acquiring enteric fever; any contribution is indirect through general health and mucosal immunity. It should be avoided during recovery to limit respiratory complications.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does not transmit enteric fever, but heavy use impairs immunity and liver function; during illness it compounds the hepatitis seen in typhoid and interacts with hepatotoxic antibiotics, so abstinence is advised.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Mental health is not a risk factor for infection. Severe disease can itself cause neuropsychiatric features (the 'typhoid state', delirium, and occasionally typhoid psychosis), and recovery benefits from reassurance and rest.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Water is the dominant vehicle for S. Typhi in India. Untreated or sewage-contaminated drinking water drives transmission, and any household water treatment (boiling, filtering, chlorination, RO) more than halves the odds of typhoid (OR 0.45).</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itself has no role, but tea, coffee, juices, sherbet and iced drinks prepared with contaminated water or ice can transmit infection. Freshly boiled/hot beverages are safer than cold vended ones.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 and food hygiene are central to prevention. Handwashing with soap after defecation and before eating, safe faecal disposal and washing produce (protective trend, OR 0.57) interrupt the faecal-oral cycle.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Discrete exposures precipitate disease: drinking untreated water, eating street/raw food, monsoon flooding of water sources, contact with a case or chronic carrier, travel to highly endemic areas, and absence of typhoid conjugate vaccination.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Free chlorine residual in drinking water</w:t>
            </w:r>
          </w:p>
        </w:tc>
        <w:tc>
          <w:tcPr>
            <w:tcW w:type="dxa" w:w="1655"/>
            <w:vAlign w:val="top"/>
          </w:tcPr>
          <w:p>
            <w:pPr>
              <w:spacing w:after="40" w:before="0" w:line="259" w:lineRule="auto"/>
            </w:pPr>
            <w:r>
              <w:rPr>
                <w:rFonts w:ascii="Calibri" w:hAnsi="Calibri"/>
                <w:b w:val="0"/>
                <w:i w:val="0"/>
                <w:color w:val="212121"/>
                <w:sz w:val="19"/>
              </w:rPr>
              <w:t>All households</w:t>
            </w:r>
          </w:p>
        </w:tc>
        <w:tc>
          <w:tcPr>
            <w:tcW w:type="dxa" w:w="1512"/>
            <w:vAlign w:val="top"/>
          </w:tcPr>
          <w:p>
            <w:pPr>
              <w:spacing w:after="40" w:before="0" w:line="259" w:lineRule="auto"/>
            </w:pPr>
            <w:r>
              <w:rPr>
                <w:rFonts w:ascii="Calibri" w:hAnsi="Calibri"/>
                <w:b w:val="0"/>
                <w:i w:val="0"/>
                <w:color w:val="212121"/>
                <w:sz w:val="19"/>
              </w:rPr>
              <w:t>&gt;= 0.2 mg/L at point of use</w:t>
            </w:r>
          </w:p>
        </w:tc>
        <w:tc>
          <w:tcPr>
            <w:tcW w:type="dxa" w:w="1512"/>
            <w:vAlign w:val="top"/>
          </w:tcPr>
          <w:p>
            <w:pPr>
              <w:spacing w:after="40" w:before="0" w:line="259" w:lineRule="auto"/>
            </w:pPr>
            <w:r>
              <w:rPr>
                <w:rFonts w:ascii="Calibri" w:hAnsi="Calibri"/>
                <w:b w:val="0"/>
                <w:i w:val="0"/>
                <w:color w:val="212121"/>
                <w:sz w:val="19"/>
              </w:rPr>
              <w:t>&lt; 0.2 mg/L or untreated source</w:t>
            </w:r>
          </w:p>
        </w:tc>
        <w:tc>
          <w:tcPr>
            <w:tcW w:type="dxa" w:w="1468"/>
            <w:vAlign w:val="top"/>
          </w:tcPr>
          <w:p>
            <w:pPr>
              <w:spacing w:after="40" w:before="0" w:line="259" w:lineRule="auto"/>
            </w:pPr>
            <w:r>
              <w:rPr>
                <w:rFonts w:ascii="Calibri" w:hAnsi="Calibri"/>
                <w:b w:val="0"/>
                <w:i w:val="0"/>
                <w:color w:val="212121"/>
                <w:sz w:val="19"/>
              </w:rPr>
              <w:t>Adequate residual chlorine indicates microbiologically safer water and lowers S. Typhi transmission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Household water treatment (boil/filter/chlorinate/RO)</w:t>
            </w:r>
          </w:p>
        </w:tc>
        <w:tc>
          <w:tcPr>
            <w:tcW w:type="dxa" w:w="1655"/>
            <w:vAlign w:val="top"/>
          </w:tcPr>
          <w:p>
            <w:pPr>
              <w:spacing w:after="40" w:before="0" w:line="259" w:lineRule="auto"/>
            </w:pPr>
            <w:r>
              <w:rPr>
                <w:rFonts w:ascii="Calibri" w:hAnsi="Calibri"/>
                <w:b w:val="0"/>
                <w:i w:val="0"/>
                <w:color w:val="212121"/>
                <w:sz w:val="19"/>
              </w:rPr>
              <w:t>All households, urban slums</w:t>
            </w:r>
          </w:p>
        </w:tc>
        <w:tc>
          <w:tcPr>
            <w:tcW w:type="dxa" w:w="1512"/>
            <w:vAlign w:val="top"/>
          </w:tcPr>
          <w:p>
            <w:pPr>
              <w:spacing w:after="40" w:before="0" w:line="259" w:lineRule="auto"/>
            </w:pPr>
            <w:r>
              <w:rPr>
                <w:rFonts w:ascii="Calibri" w:hAnsi="Calibri"/>
                <w:b w:val="0"/>
                <w:i w:val="0"/>
                <w:color w:val="212121"/>
                <w:sz w:val="19"/>
              </w:rPr>
              <w:t>Any effective treatment used consistently</w:t>
            </w:r>
          </w:p>
        </w:tc>
        <w:tc>
          <w:tcPr>
            <w:tcW w:type="dxa" w:w="1512"/>
            <w:vAlign w:val="top"/>
          </w:tcPr>
          <w:p>
            <w:pPr>
              <w:spacing w:after="40" w:before="0" w:line="259" w:lineRule="auto"/>
            </w:pPr>
            <w:r>
              <w:rPr>
                <w:rFonts w:ascii="Calibri" w:hAnsi="Calibri"/>
                <w:b w:val="0"/>
                <w:i w:val="0"/>
                <w:color w:val="212121"/>
                <w:sz w:val="19"/>
              </w:rPr>
              <w:t>No treatment; raw surface/well/intermittent piped water</w:t>
            </w:r>
          </w:p>
        </w:tc>
        <w:tc>
          <w:tcPr>
            <w:tcW w:type="dxa" w:w="1468"/>
            <w:vAlign w:val="top"/>
          </w:tcPr>
          <w:p>
            <w:pPr>
              <w:spacing w:after="60" w:line="259" w:lineRule="auto"/>
            </w:pPr>
            <w:r>
              <w:rPr>
                <w:rFonts w:ascii="Calibri" w:hAnsi="Calibri"/>
                <w:b w:val="0"/>
                <w:i w:val="0"/>
                <w:color w:val="212121"/>
                <w:sz w:val="19"/>
              </w:rPr>
              <w:t>Any treatment reduced typhoid odds by more than half (OR 0.45)</w:t>
            </w:r>
          </w:p>
          <w:p>
            <w:pPr>
              <w:spacing w:after="40" w:line="252" w:lineRule="auto"/>
            </w:pPr>
            <w:hyperlink r:id="rId11">
              <w:r>
                <w:rPr>
                  <w:rFonts w:ascii="Calibri" w:hAnsi="Calibri" w:cs="Calibri"/>
                  <w:sz w:val="18"/>
                  <w:color w:val="1155CC"/>
                  <w:u w:val="single"/>
                </w:rPr>
                <w:t xml:space="preserve">https://pmc.ncbi.nlm.nih.gov/articles/PMC8892545/</w:t>
              </w:r>
            </w:hyperlink>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Handwashing with soap at key times</w:t>
            </w:r>
          </w:p>
        </w:tc>
        <w:tc>
          <w:tcPr>
            <w:tcW w:type="dxa" w:w="1655"/>
            <w:vAlign w:val="top"/>
          </w:tcPr>
          <w:p>
            <w:pPr>
              <w:spacing w:after="40" w:before="0" w:line="259" w:lineRule="auto"/>
            </w:pPr>
            <w:r>
              <w:rPr>
                <w:rFonts w:ascii="Calibri" w:hAnsi="Calibri"/>
                <w:b w:val="0"/>
                <w:i w:val="0"/>
                <w:color w:val="212121"/>
                <w:sz w:val="19"/>
              </w:rPr>
              <w:t>Children, food handlers, caregivers</w:t>
            </w:r>
          </w:p>
        </w:tc>
        <w:tc>
          <w:tcPr>
            <w:tcW w:type="dxa" w:w="1512"/>
            <w:vAlign w:val="top"/>
          </w:tcPr>
          <w:p>
            <w:pPr>
              <w:spacing w:after="40" w:before="0" w:line="259" w:lineRule="auto"/>
            </w:pPr>
            <w:r>
              <w:rPr>
                <w:rFonts w:ascii="Calibri" w:hAnsi="Calibri"/>
                <w:b w:val="0"/>
                <w:i w:val="0"/>
                <w:color w:val="212121"/>
                <w:sz w:val="19"/>
              </w:rPr>
              <w:t>Soap use after toilet &amp; before eating/food prep</w:t>
            </w:r>
          </w:p>
        </w:tc>
        <w:tc>
          <w:tcPr>
            <w:tcW w:type="dxa" w:w="1512"/>
            <w:vAlign w:val="top"/>
          </w:tcPr>
          <w:p>
            <w:pPr>
              <w:spacing w:after="40" w:before="0" w:line="259" w:lineRule="auto"/>
            </w:pPr>
            <w:r>
              <w:rPr>
                <w:rFonts w:ascii="Calibri" w:hAnsi="Calibri"/>
                <w:b w:val="0"/>
                <w:i w:val="0"/>
                <w:color w:val="212121"/>
                <w:sz w:val="19"/>
              </w:rPr>
              <w:t>Rarely/never uses soap at key times</w:t>
            </w:r>
          </w:p>
        </w:tc>
        <w:tc>
          <w:tcPr>
            <w:tcW w:type="dxa" w:w="1468"/>
            <w:vAlign w:val="top"/>
          </w:tcPr>
          <w:p>
            <w:pPr>
              <w:spacing w:after="40" w:before="0" w:line="259" w:lineRule="auto"/>
            </w:pPr>
            <w:r>
              <w:rPr>
                <w:rFonts w:ascii="Calibri" w:hAnsi="Calibri"/>
                <w:b w:val="0"/>
                <w:i w:val="0"/>
                <w:color w:val="212121"/>
                <w:sz w:val="19"/>
              </w:rPr>
              <w:t>Interrupts faecal-oral transmission; core preventive behaviour</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Sanitation facility</w:t>
            </w:r>
          </w:p>
        </w:tc>
        <w:tc>
          <w:tcPr>
            <w:tcW w:type="dxa" w:w="1655"/>
            <w:vAlign w:val="top"/>
          </w:tcPr>
          <w:p>
            <w:pPr>
              <w:spacing w:after="40" w:before="0" w:line="259" w:lineRule="auto"/>
            </w:pPr>
            <w:r>
              <w:rPr>
                <w:rFonts w:ascii="Calibri" w:hAnsi="Calibri"/>
                <w:b w:val="0"/>
                <w:i w:val="0"/>
                <w:color w:val="212121"/>
                <w:sz w:val="19"/>
              </w:rPr>
              <w:t>All households, communities</w:t>
            </w:r>
          </w:p>
        </w:tc>
        <w:tc>
          <w:tcPr>
            <w:tcW w:type="dxa" w:w="1512"/>
            <w:vAlign w:val="top"/>
          </w:tcPr>
          <w:p>
            <w:pPr>
              <w:spacing w:after="40" w:before="0" w:line="259" w:lineRule="auto"/>
            </w:pPr>
            <w:r>
              <w:rPr>
                <w:rFonts w:ascii="Calibri" w:hAnsi="Calibri"/>
                <w:b w:val="0"/>
                <w:i w:val="0"/>
                <w:color w:val="212121"/>
                <w:sz w:val="19"/>
              </w:rPr>
              <w:t>Improved, private, safely-managed toilet</w:t>
            </w:r>
          </w:p>
        </w:tc>
        <w:tc>
          <w:tcPr>
            <w:tcW w:type="dxa" w:w="1512"/>
            <w:vAlign w:val="top"/>
          </w:tcPr>
          <w:p>
            <w:pPr>
              <w:spacing w:after="40" w:before="0" w:line="259" w:lineRule="auto"/>
            </w:pPr>
            <w:r>
              <w:rPr>
                <w:rFonts w:ascii="Calibri" w:hAnsi="Calibri"/>
                <w:b w:val="0"/>
                <w:i w:val="0"/>
                <w:color w:val="212121"/>
                <w:sz w:val="19"/>
              </w:rPr>
              <w:t>Open defecation or shared/unimproved latrine</w:t>
            </w:r>
          </w:p>
        </w:tc>
        <w:tc>
          <w:tcPr>
            <w:tcW w:type="dxa" w:w="1468"/>
            <w:vAlign w:val="top"/>
          </w:tcPr>
          <w:p>
            <w:pPr>
              <w:spacing w:after="40" w:before="0" w:line="259" w:lineRule="auto"/>
            </w:pPr>
            <w:r>
              <w:rPr>
                <w:rFonts w:ascii="Calibri" w:hAnsi="Calibri"/>
                <w:b w:val="0"/>
                <w:i w:val="0"/>
                <w:color w:val="212121"/>
                <w:sz w:val="19"/>
              </w:rPr>
              <w:t>Unsafe faecal disposal sustains environmental contamination</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Street-food / raw-vended-food frequency</w:t>
            </w:r>
          </w:p>
        </w:tc>
        <w:tc>
          <w:tcPr>
            <w:tcW w:type="dxa" w:w="1655"/>
            <w:vAlign w:val="top"/>
          </w:tcPr>
          <w:p>
            <w:pPr>
              <w:spacing w:after="40" w:before="0" w:line="259" w:lineRule="auto"/>
            </w:pPr>
            <w:r>
              <w:rPr>
                <w:rFonts w:ascii="Calibri" w:hAnsi="Calibri"/>
                <w:b w:val="0"/>
                <w:i w:val="0"/>
                <w:color w:val="212121"/>
                <w:sz w:val="19"/>
              </w:rPr>
              <w:t>Children, students, young adults</w:t>
            </w:r>
          </w:p>
        </w:tc>
        <w:tc>
          <w:tcPr>
            <w:tcW w:type="dxa" w:w="1512"/>
            <w:vAlign w:val="top"/>
          </w:tcPr>
          <w:p>
            <w:pPr>
              <w:spacing w:after="40" w:before="0" w:line="259" w:lineRule="auto"/>
            </w:pPr>
            <w:r>
              <w:rPr>
                <w:rFonts w:ascii="Calibri" w:hAnsi="Calibri"/>
                <w:b w:val="0"/>
                <w:i w:val="0"/>
                <w:color w:val="212121"/>
                <w:sz w:val="19"/>
              </w:rPr>
              <w:t>Minimal; prefer freshly cooked hot food</w:t>
            </w:r>
          </w:p>
        </w:tc>
        <w:tc>
          <w:tcPr>
            <w:tcW w:type="dxa" w:w="1512"/>
            <w:vAlign w:val="top"/>
          </w:tcPr>
          <w:p>
            <w:pPr>
              <w:spacing w:after="40" w:before="0" w:line="259" w:lineRule="auto"/>
            </w:pPr>
            <w:r>
              <w:rPr>
                <w:rFonts w:ascii="Calibri" w:hAnsi="Calibri"/>
                <w:b w:val="0"/>
                <w:i w:val="0"/>
                <w:color w:val="212121"/>
                <w:sz w:val="19"/>
              </w:rPr>
              <w:t>Frequent street food, cut fruit, chaat, ice</w:t>
            </w:r>
          </w:p>
        </w:tc>
        <w:tc>
          <w:tcPr>
            <w:tcW w:type="dxa" w:w="1468"/>
            <w:vAlign w:val="top"/>
          </w:tcPr>
          <w:p>
            <w:pPr>
              <w:spacing w:after="60" w:line="259" w:lineRule="auto"/>
            </w:pPr>
            <w:r>
              <w:rPr>
                <w:rFonts w:ascii="Calibri" w:hAnsi="Calibri"/>
                <w:b w:val="0"/>
                <w:i w:val="0"/>
                <w:color w:val="212121"/>
                <w:sz w:val="19"/>
              </w:rPr>
              <w:t>Maternal/child street-food intake independently raised risk (aOR 2.04)</w:t>
            </w:r>
          </w:p>
          <w:p>
            <w:pPr>
              <w:spacing w:after="40" w:line="252" w:lineRule="auto"/>
            </w:pPr>
            <w:hyperlink r:id="rId11">
              <w:r>
                <w:rPr>
                  <w:rFonts w:ascii="Calibri" w:hAnsi="Calibri" w:cs="Calibri"/>
                  <w:sz w:val="18"/>
                  <w:color w:val="1155CC"/>
                  <w:u w:val="single"/>
                </w:rPr>
                <w:t xml:space="preserve">https://pmc.ncbi.nlm.nih.gov/articles/PMC8892545/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Produce washing before eating</w:t>
            </w:r>
          </w:p>
        </w:tc>
        <w:tc>
          <w:tcPr>
            <w:tcW w:type="dxa" w:w="1655"/>
            <w:vAlign w:val="top"/>
          </w:tcPr>
          <w:p>
            <w:pPr>
              <w:spacing w:after="40" w:before="0" w:line="259" w:lineRule="auto"/>
            </w:pPr>
            <w:r>
              <w:rPr>
                <w:rFonts w:ascii="Calibri" w:hAnsi="Calibri"/>
                <w:b w:val="0"/>
                <w:i w:val="0"/>
                <w:color w:val="212121"/>
                <w:sz w:val="19"/>
              </w:rPr>
              <w:t>All households</w:t>
            </w:r>
          </w:p>
        </w:tc>
        <w:tc>
          <w:tcPr>
            <w:tcW w:type="dxa" w:w="1512"/>
            <w:vAlign w:val="top"/>
          </w:tcPr>
          <w:p>
            <w:pPr>
              <w:spacing w:after="40" w:before="0" w:line="259" w:lineRule="auto"/>
            </w:pPr>
            <w:r>
              <w:rPr>
                <w:rFonts w:ascii="Calibri" w:hAnsi="Calibri"/>
                <w:b w:val="0"/>
                <w:i w:val="0"/>
                <w:color w:val="212121"/>
                <w:sz w:val="19"/>
              </w:rPr>
              <w:t>Wash with safe water / peel fruit</w:t>
            </w:r>
          </w:p>
        </w:tc>
        <w:tc>
          <w:tcPr>
            <w:tcW w:type="dxa" w:w="1512"/>
            <w:vAlign w:val="top"/>
          </w:tcPr>
          <w:p>
            <w:pPr>
              <w:spacing w:after="40" w:before="0" w:line="259" w:lineRule="auto"/>
            </w:pPr>
            <w:r>
              <w:rPr>
                <w:rFonts w:ascii="Calibri" w:hAnsi="Calibri"/>
                <w:b w:val="0"/>
                <w:i w:val="0"/>
                <w:color w:val="212121"/>
                <w:sz w:val="19"/>
              </w:rPr>
              <w:t>Eating unwashed raw salad or cut fruit</w:t>
            </w:r>
          </w:p>
        </w:tc>
        <w:tc>
          <w:tcPr>
            <w:tcW w:type="dxa" w:w="1468"/>
            <w:vAlign w:val="top"/>
          </w:tcPr>
          <w:p>
            <w:pPr>
              <w:spacing w:after="60" w:line="259" w:lineRule="auto"/>
            </w:pPr>
            <w:r>
              <w:rPr>
                <w:rFonts w:ascii="Calibri" w:hAnsi="Calibri"/>
                <w:b w:val="0"/>
                <w:i w:val="0"/>
                <w:color w:val="212121"/>
                <w:sz w:val="19"/>
              </w:rPr>
              <w:t>Washing produce trended protective (OR 0.57)</w:t>
            </w:r>
          </w:p>
          <w:p>
            <w:pPr>
              <w:spacing w:after="40" w:line="252" w:lineRule="auto"/>
            </w:pPr>
            <w:hyperlink r:id="rId11">
              <w:r>
                <w:rPr>
                  <w:rFonts w:ascii="Calibri" w:hAnsi="Calibri" w:cs="Calibri"/>
                  <w:sz w:val="18"/>
                  <w:color w:val="1155CC"/>
                  <w:u w:val="single"/>
                </w:rPr>
                <w:t xml:space="preserve">https://pmc.ncbi.nlm.nih.gov/articles/PMC8892545/</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Drinking-water storage</w:t>
            </w:r>
          </w:p>
        </w:tc>
        <w:tc>
          <w:tcPr>
            <w:tcW w:type="dxa" w:w="1655"/>
            <w:vAlign w:val="top"/>
          </w:tcPr>
          <w:p>
            <w:pPr>
              <w:spacing w:after="40" w:before="0" w:line="259" w:lineRule="auto"/>
            </w:pPr>
            <w:r>
              <w:rPr>
                <w:rFonts w:ascii="Calibri" w:hAnsi="Calibri"/>
                <w:b w:val="0"/>
                <w:i w:val="0"/>
                <w:color w:val="212121"/>
                <w:sz w:val="19"/>
              </w:rPr>
              <w:t>All households</w:t>
            </w:r>
          </w:p>
        </w:tc>
        <w:tc>
          <w:tcPr>
            <w:tcW w:type="dxa" w:w="1512"/>
            <w:vAlign w:val="top"/>
          </w:tcPr>
          <w:p>
            <w:pPr>
              <w:spacing w:after="40" w:before="0" w:line="259" w:lineRule="auto"/>
            </w:pPr>
            <w:r>
              <w:rPr>
                <w:rFonts w:ascii="Calibri" w:hAnsi="Calibri"/>
                <w:b w:val="0"/>
                <w:i w:val="0"/>
                <w:color w:val="212121"/>
                <w:sz w:val="19"/>
              </w:rPr>
              <w:t>Covered container with narrow mouth/tap</w:t>
            </w:r>
          </w:p>
        </w:tc>
        <w:tc>
          <w:tcPr>
            <w:tcW w:type="dxa" w:w="1512"/>
            <w:vAlign w:val="top"/>
          </w:tcPr>
          <w:p>
            <w:pPr>
              <w:spacing w:after="40" w:before="0" w:line="259" w:lineRule="auto"/>
            </w:pPr>
            <w:r>
              <w:rPr>
                <w:rFonts w:ascii="Calibri" w:hAnsi="Calibri"/>
                <w:b w:val="0"/>
                <w:i w:val="0"/>
                <w:color w:val="212121"/>
                <w:sz w:val="19"/>
              </w:rPr>
              <w:t>Open, wide-mouthed storage; hand-dipping</w:t>
            </w:r>
          </w:p>
        </w:tc>
        <w:tc>
          <w:tcPr>
            <w:tcW w:type="dxa" w:w="1468"/>
            <w:vAlign w:val="top"/>
          </w:tcPr>
          <w:p>
            <w:pPr>
              <w:spacing w:after="40" w:before="0" w:line="259" w:lineRule="auto"/>
            </w:pPr>
            <w:r>
              <w:rPr>
                <w:rFonts w:ascii="Calibri" w:hAnsi="Calibri"/>
                <w:b w:val="0"/>
                <w:i w:val="0"/>
                <w:color w:val="212121"/>
                <w:sz w:val="19"/>
              </w:rPr>
              <w:t>Prevents recontamination of treated water at home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Typhoid conjugate vaccine (Vi-TCV) status</w:t>
            </w:r>
          </w:p>
        </w:tc>
        <w:tc>
          <w:tcPr>
            <w:tcW w:type="dxa" w:w="1655"/>
            <w:vAlign w:val="top"/>
          </w:tcPr>
          <w:p>
            <w:pPr>
              <w:spacing w:after="40" w:before="0" w:line="259" w:lineRule="auto"/>
            </w:pPr>
            <w:r>
              <w:rPr>
                <w:rFonts w:ascii="Calibri" w:hAnsi="Calibri"/>
                <w:b w:val="0"/>
                <w:i w:val="0"/>
                <w:color w:val="212121"/>
                <w:sz w:val="19"/>
              </w:rPr>
              <w:t>Children 6 months-15 years, high-risk adults</w:t>
            </w:r>
          </w:p>
        </w:tc>
        <w:tc>
          <w:tcPr>
            <w:tcW w:type="dxa" w:w="1512"/>
            <w:vAlign w:val="top"/>
          </w:tcPr>
          <w:p>
            <w:pPr>
              <w:spacing w:after="40" w:before="0" w:line="259" w:lineRule="auto"/>
            </w:pPr>
            <w:r>
              <w:rPr>
                <w:rFonts w:ascii="Calibri" w:hAnsi="Calibri"/>
                <w:b w:val="0"/>
                <w:i w:val="0"/>
                <w:color w:val="212121"/>
                <w:sz w:val="19"/>
              </w:rPr>
              <w:t>Vaccinated (single dose Vi-TCV)</w:t>
            </w:r>
          </w:p>
        </w:tc>
        <w:tc>
          <w:tcPr>
            <w:tcW w:type="dxa" w:w="1512"/>
            <w:vAlign w:val="top"/>
          </w:tcPr>
          <w:p>
            <w:pPr>
              <w:spacing w:after="40" w:before="0" w:line="259" w:lineRule="auto"/>
            </w:pPr>
            <w:r>
              <w:rPr>
                <w:rFonts w:ascii="Calibri" w:hAnsi="Calibri"/>
                <w:b w:val="0"/>
                <w:i w:val="0"/>
                <w:color w:val="212121"/>
                <w:sz w:val="19"/>
              </w:rPr>
              <w:t>Unvaccinated in an endemic/urban area</w:t>
            </w:r>
          </w:p>
        </w:tc>
        <w:tc>
          <w:tcPr>
            <w:tcW w:type="dxa" w:w="1468"/>
            <w:vAlign w:val="top"/>
          </w:tcPr>
          <w:p>
            <w:pPr>
              <w:spacing w:after="60" w:line="259" w:lineRule="auto"/>
            </w:pPr>
            <w:r>
              <w:rPr>
                <w:rFonts w:ascii="Calibri" w:hAnsi="Calibri"/>
                <w:b w:val="0"/>
                <w:i w:val="0"/>
                <w:color w:val="212121"/>
                <w:sz w:val="19"/>
              </w:rPr>
              <w:t>Vi-TCV showed 81.6% efficacy against blood-culture-confirmed typhoid in a phase-3 trial</w:t>
            </w:r>
          </w:p>
          <w:p>
            <w:pPr>
              <w:spacing w:after="40" w:line="252" w:lineRule="auto"/>
            </w:pPr>
            <w:hyperlink r:id="rId15">
              <w:r>
                <w:rPr>
                  <w:rFonts w:ascii="Calibri" w:hAnsi="Calibri" w:cs="Calibri"/>
                  <w:sz w:val="18"/>
                  <w:color w:val="1155CC"/>
                  <w:u w:val="single"/>
                </w:rPr>
                <w:t xml:space="preserve">https://www.cidrap.umn.edu/typhoid/typhoid-vaccine-shows-protection-phase-3-trial</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Dairy pasteurisation</w:t>
            </w:r>
          </w:p>
        </w:tc>
        <w:tc>
          <w:tcPr>
            <w:tcW w:type="dxa" w:w="1655"/>
            <w:vAlign w:val="top"/>
          </w:tcPr>
          <w:p>
            <w:pPr>
              <w:spacing w:after="40" w:before="0" w:line="259" w:lineRule="auto"/>
            </w:pPr>
            <w:r>
              <w:rPr>
                <w:rFonts w:ascii="Calibri" w:hAnsi="Calibri"/>
                <w:b w:val="0"/>
                <w:i w:val="0"/>
                <w:color w:val="212121"/>
                <w:sz w:val="19"/>
              </w:rPr>
              <w:t>All households</w:t>
            </w:r>
          </w:p>
        </w:tc>
        <w:tc>
          <w:tcPr>
            <w:tcW w:type="dxa" w:w="1512"/>
            <w:vAlign w:val="top"/>
          </w:tcPr>
          <w:p>
            <w:pPr>
              <w:spacing w:after="40" w:before="0" w:line="259" w:lineRule="auto"/>
            </w:pPr>
            <w:r>
              <w:rPr>
                <w:rFonts w:ascii="Calibri" w:hAnsi="Calibri"/>
                <w:b w:val="0"/>
                <w:i w:val="0"/>
                <w:color w:val="212121"/>
                <w:sz w:val="19"/>
              </w:rPr>
              <w:t>Pasteurised or boiled milk/dairy</w:t>
            </w:r>
          </w:p>
        </w:tc>
        <w:tc>
          <w:tcPr>
            <w:tcW w:type="dxa" w:w="1512"/>
            <w:vAlign w:val="top"/>
          </w:tcPr>
          <w:p>
            <w:pPr>
              <w:spacing w:after="40" w:before="0" w:line="259" w:lineRule="auto"/>
            </w:pPr>
            <w:r>
              <w:rPr>
                <w:rFonts w:ascii="Calibri" w:hAnsi="Calibri"/>
                <w:b w:val="0"/>
                <w:i w:val="0"/>
                <w:color w:val="212121"/>
                <w:sz w:val="19"/>
              </w:rPr>
              <w:t>Raw/unpasteurised milk or curd from unsafe source</w:t>
            </w:r>
          </w:p>
        </w:tc>
        <w:tc>
          <w:tcPr>
            <w:tcW w:type="dxa" w:w="1468"/>
            <w:vAlign w:val="top"/>
          </w:tcPr>
          <w:p>
            <w:pPr>
              <w:spacing w:after="40" w:before="0" w:line="259" w:lineRule="auto"/>
            </w:pPr>
            <w:r>
              <w:rPr>
                <w:rFonts w:ascii="Calibri" w:hAnsi="Calibri"/>
                <w:b w:val="0"/>
                <w:i w:val="0"/>
                <w:color w:val="212121"/>
                <w:sz w:val="19"/>
              </w:rPr>
              <w:t>Dairy handled with contaminated water can carry S. Typhi</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Blood culture for Salmonella Typhi/Paratyphi</w:t>
            </w:r>
          </w:p>
        </w:tc>
        <w:tc>
          <w:tcPr>
            <w:tcW w:type="dxa" w:w="892"/>
            <w:vAlign w:val="top"/>
          </w:tcPr>
          <w:p>
            <w:pPr>
              <w:spacing w:after="40" w:before="0" w:line="259" w:lineRule="auto"/>
            </w:pPr>
            <w:r>
              <w:rPr>
                <w:rFonts w:ascii="Calibri" w:hAnsi="Calibri"/>
                <w:b w:val="0"/>
                <w:i w:val="0"/>
                <w:color w:val="212121"/>
                <w:sz w:val="16"/>
              </w:rPr>
              <w:t>Culture &amp; sensitivity</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Growth of S. Typhi or S. Paratyphi</w:t>
            </w:r>
          </w:p>
        </w:tc>
        <w:tc>
          <w:tcPr>
            <w:tcW w:type="dxa" w:w="1036"/>
            <w:vAlign w:val="top"/>
          </w:tcPr>
          <w:p>
            <w:pPr>
              <w:spacing w:after="40" w:before="0" w:line="259" w:lineRule="auto"/>
            </w:pPr>
            <w:r>
              <w:rPr>
                <w:rFonts w:ascii="Calibri" w:hAnsi="Calibri"/>
                <w:b w:val="0"/>
                <w:i w:val="0"/>
                <w:color w:val="212121"/>
                <w:sz w:val="16"/>
              </w:rPr>
              <w:t>Definitive diagnosis and enables antimicrobial-susceptibility testing; highest yield in week 1 before antibiotics</w:t>
            </w:r>
          </w:p>
        </w:tc>
        <w:tc>
          <w:tcPr>
            <w:tcW w:type="dxa" w:w="1036"/>
            <w:vAlign w:val="top"/>
          </w:tcPr>
          <w:p>
            <w:pPr>
              <w:spacing w:after="40" w:before="0" w:line="259" w:lineRule="auto"/>
            </w:pPr>
            <w:r>
              <w:rPr>
                <w:rFonts w:ascii="Calibri" w:hAnsi="Calibri"/>
                <w:b w:val="0"/>
                <w:i w:val="0"/>
                <w:color w:val="212121"/>
                <w:sz w:val="16"/>
              </w:rPr>
              <w:t>Febrile children &amp; adults with compatible illness, travellers</w:t>
            </w:r>
          </w:p>
        </w:tc>
        <w:tc>
          <w:tcPr>
            <w:tcW w:type="dxa" w:w="720"/>
            <w:vAlign w:val="top"/>
          </w:tcPr>
          <w:p>
            <w:pPr>
              <w:spacing w:after="40" w:before="0" w:line="259" w:lineRule="auto"/>
            </w:pPr>
            <w:r>
              <w:rPr>
                <w:rFonts w:ascii="Calibri" w:hAnsi="Calibri"/>
                <w:b w:val="0"/>
                <w:i w:val="0"/>
                <w:color w:val="212121"/>
                <w:sz w:val="16"/>
              </w:rPr>
              <w:t>Water; Food; 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Single sample only ~50-66% sensitive; take adequate volume, ideally before antibiotics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Bone-marrow culture</w:t>
            </w:r>
          </w:p>
        </w:tc>
        <w:tc>
          <w:tcPr>
            <w:tcW w:type="dxa" w:w="892"/>
            <w:vAlign w:val="top"/>
          </w:tcPr>
          <w:p>
            <w:pPr>
              <w:spacing w:after="40" w:before="0" w:line="259" w:lineRule="auto"/>
            </w:pPr>
            <w:r>
              <w:rPr>
                <w:rFonts w:ascii="Calibri" w:hAnsi="Calibri"/>
                <w:b w:val="0"/>
                <w:i w:val="0"/>
                <w:color w:val="212121"/>
                <w:sz w:val="16"/>
              </w:rPr>
              <w:t>Culture &amp; sensitivity</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Growth of S. Typhi/Paratyphi</w:t>
            </w:r>
          </w:p>
        </w:tc>
        <w:tc>
          <w:tcPr>
            <w:tcW w:type="dxa" w:w="1036"/>
            <w:vAlign w:val="top"/>
          </w:tcPr>
          <w:p>
            <w:pPr>
              <w:spacing w:after="40" w:before="0" w:line="259" w:lineRule="auto"/>
            </w:pPr>
            <w:r>
              <w:rPr>
                <w:rFonts w:ascii="Calibri" w:hAnsi="Calibri"/>
                <w:b w:val="0"/>
                <w:i w:val="0"/>
                <w:color w:val="212121"/>
                <w:sz w:val="16"/>
              </w:rPr>
              <w:t>Most sensitive test; retains yield despite prior antibiotics</w:t>
            </w:r>
          </w:p>
        </w:tc>
        <w:tc>
          <w:tcPr>
            <w:tcW w:type="dxa" w:w="1036"/>
            <w:vAlign w:val="top"/>
          </w:tcPr>
          <w:p>
            <w:pPr>
              <w:spacing w:after="40" w:before="0" w:line="259" w:lineRule="auto"/>
            </w:pPr>
            <w:r>
              <w:rPr>
                <w:rFonts w:ascii="Calibri" w:hAnsi="Calibri"/>
                <w:b w:val="0"/>
                <w:i w:val="0"/>
                <w:color w:val="212121"/>
                <w:sz w:val="16"/>
              </w:rPr>
              <w:t>Culture-negative or pre-treated patients with high clinical suspicion</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Sensitivity 80-96%; invasive, reserved for difficult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Serological / Rapid</w:t>
            </w:r>
          </w:p>
        </w:tc>
        <w:tc>
          <w:tcPr>
            <w:tcW w:type="dxa" w:w="1036"/>
            <w:vAlign w:val="top"/>
          </w:tcPr>
          <w:p>
            <w:pPr>
              <w:spacing w:after="40" w:before="0" w:line="259" w:lineRule="auto"/>
            </w:pPr>
            <w:r>
              <w:rPr>
                <w:rFonts w:ascii="Calibri" w:hAnsi="Calibri"/>
                <w:b w:val="0"/>
                <w:i w:val="0"/>
                <w:color w:val="212121"/>
                <w:sz w:val="16"/>
              </w:rPr>
              <w:t>Widal test (O &amp; H agglutinins)</w:t>
            </w:r>
          </w:p>
        </w:tc>
        <w:tc>
          <w:tcPr>
            <w:tcW w:type="dxa" w:w="892"/>
            <w:vAlign w:val="top"/>
          </w:tcPr>
          <w:p>
            <w:pPr>
              <w:spacing w:after="40" w:before="0" w:line="259" w:lineRule="auto"/>
            </w:pPr>
            <w:r>
              <w:rPr>
                <w:rFonts w:ascii="Calibri" w:hAnsi="Calibri"/>
                <w:b w:val="0"/>
                <w:i w:val="0"/>
                <w:color w:val="212121"/>
                <w:sz w:val="16"/>
              </w:rPr>
              <w:t>Serology</w:t>
            </w:r>
          </w:p>
        </w:tc>
        <w:tc>
          <w:tcPr>
            <w:tcW w:type="dxa" w:w="950"/>
            <w:vAlign w:val="top"/>
          </w:tcPr>
          <w:p>
            <w:pPr>
              <w:spacing w:after="40" w:before="0" w:line="259" w:lineRule="auto"/>
            </w:pPr>
            <w:r>
              <w:rPr>
                <w:rFonts w:ascii="Calibri" w:hAnsi="Calibri"/>
                <w:b w:val="0"/>
                <w:i w:val="0"/>
                <w:color w:val="212121"/>
                <w:sz w:val="16"/>
              </w:rPr>
              <w:t>Titres below validated local cut-off</w:t>
            </w:r>
          </w:p>
        </w:tc>
        <w:tc>
          <w:tcPr>
            <w:tcW w:type="dxa" w:w="950"/>
            <w:vAlign w:val="top"/>
          </w:tcPr>
          <w:p>
            <w:pPr>
              <w:spacing w:after="40" w:before="0" w:line="259" w:lineRule="auto"/>
            </w:pPr>
            <w:r>
              <w:rPr>
                <w:rFonts w:ascii="Calibri" w:hAnsi="Calibri"/>
                <w:b w:val="0"/>
                <w:i w:val="0"/>
                <w:color w:val="212121"/>
                <w:sz w:val="16"/>
              </w:rPr>
              <w:t>Fourfold rise in paired sera or high single O/H titre</w:t>
            </w:r>
          </w:p>
        </w:tc>
        <w:tc>
          <w:tcPr>
            <w:tcW w:type="dxa" w:w="1036"/>
            <w:vAlign w:val="top"/>
          </w:tcPr>
          <w:p>
            <w:pPr>
              <w:spacing w:after="40" w:before="0" w:line="259" w:lineRule="auto"/>
            </w:pPr>
            <w:r>
              <w:rPr>
                <w:rFonts w:ascii="Calibri" w:hAnsi="Calibri"/>
                <w:b w:val="0"/>
                <w:i w:val="0"/>
                <w:color w:val="212121"/>
                <w:sz w:val="16"/>
              </w:rPr>
              <w:t>Supportive only; must be read against local baseline as endemic exposure/vaccination raise titres</w:t>
            </w:r>
          </w:p>
        </w:tc>
        <w:tc>
          <w:tcPr>
            <w:tcW w:type="dxa" w:w="1036"/>
            <w:vAlign w:val="top"/>
          </w:tcPr>
          <w:p>
            <w:pPr>
              <w:spacing w:after="40" w:before="0" w:line="259" w:lineRule="auto"/>
            </w:pPr>
            <w:r>
              <w:rPr>
                <w:rFonts w:ascii="Calibri" w:hAnsi="Calibri"/>
                <w:b w:val="0"/>
                <w:i w:val="0"/>
                <w:color w:val="212121"/>
                <w:sz w:val="16"/>
              </w:rPr>
              <w:t>Endemic-area patients where culture is unavailable</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Poor specificity; never diagnostic on a single sample alone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Serological / Rapid</w:t>
            </w:r>
          </w:p>
        </w:tc>
        <w:tc>
          <w:tcPr>
            <w:tcW w:type="dxa" w:w="1036"/>
            <w:vAlign w:val="top"/>
          </w:tcPr>
          <w:p>
            <w:pPr>
              <w:spacing w:after="40" w:before="0" w:line="259" w:lineRule="auto"/>
            </w:pPr>
            <w:r>
              <w:rPr>
                <w:rFonts w:ascii="Calibri" w:hAnsi="Calibri"/>
                <w:b w:val="0"/>
                <w:i w:val="0"/>
                <w:color w:val="212121"/>
                <w:sz w:val="16"/>
              </w:rPr>
              <w:t>Rapid antibody test (Typhidot IgM / Tubex)</w:t>
            </w:r>
          </w:p>
        </w:tc>
        <w:tc>
          <w:tcPr>
            <w:tcW w:type="dxa" w:w="892"/>
            <w:vAlign w:val="top"/>
          </w:tcPr>
          <w:p>
            <w:pPr>
              <w:spacing w:after="40" w:before="0" w:line="259" w:lineRule="auto"/>
            </w:pPr>
            <w:r>
              <w:rPr>
                <w:rFonts w:ascii="Calibri" w:hAnsi="Calibri"/>
                <w:b w:val="0"/>
                <w:i w:val="0"/>
                <w:color w:val="212121"/>
                <w:sz w:val="16"/>
              </w:rPr>
              <w:t>Rapid immunoassay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IgM against S. Typhi antigens</w:t>
            </w:r>
          </w:p>
        </w:tc>
        <w:tc>
          <w:tcPr>
            <w:tcW w:type="dxa" w:w="1036"/>
            <w:vAlign w:val="top"/>
          </w:tcPr>
          <w:p>
            <w:pPr>
              <w:spacing w:after="40" w:before="0" w:line="259" w:lineRule="auto"/>
            </w:pPr>
            <w:r>
              <w:rPr>
                <w:rFonts w:ascii="Calibri" w:hAnsi="Calibri"/>
                <w:b w:val="0"/>
                <w:i w:val="0"/>
                <w:color w:val="212121"/>
                <w:sz w:val="16"/>
              </w:rPr>
              <w:t>Earlier positivity than Widal; supports diagnosis pending culture</w:t>
            </w:r>
          </w:p>
        </w:tc>
        <w:tc>
          <w:tcPr>
            <w:tcW w:type="dxa" w:w="1036"/>
            <w:vAlign w:val="top"/>
          </w:tcPr>
          <w:p>
            <w:pPr>
              <w:spacing w:after="40" w:before="0" w:line="259" w:lineRule="auto"/>
            </w:pPr>
            <w:r>
              <w:rPr>
                <w:rFonts w:ascii="Calibri" w:hAnsi="Calibri"/>
                <w:b w:val="0"/>
                <w:i w:val="0"/>
                <w:color w:val="212121"/>
                <w:sz w:val="16"/>
              </w:rPr>
              <w:t>Point-of-care/peripheral settings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Around 73.8% sensitivity, 94.5% specificity; confirm with culture where possible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CBC with differential</w:t>
            </w:r>
          </w:p>
        </w:tc>
        <w:tc>
          <w:tcPr>
            <w:tcW w:type="dxa" w:w="950"/>
            <w:vAlign w:val="top"/>
          </w:tcPr>
          <w:p>
            <w:pPr>
              <w:spacing w:after="40" w:before="0" w:line="259" w:lineRule="auto"/>
            </w:pPr>
            <w:r>
              <w:rPr>
                <w:rFonts w:ascii="Calibri" w:hAnsi="Calibri"/>
                <w:b w:val="0"/>
                <w:i w:val="0"/>
                <w:color w:val="212121"/>
                <w:sz w:val="16"/>
              </w:rPr>
              <w:t>Normal counts</w:t>
            </w:r>
          </w:p>
        </w:tc>
        <w:tc>
          <w:tcPr>
            <w:tcW w:type="dxa" w:w="950"/>
            <w:vAlign w:val="top"/>
          </w:tcPr>
          <w:p>
            <w:pPr>
              <w:spacing w:after="40" w:before="0" w:line="259" w:lineRule="auto"/>
            </w:pPr>
            <w:r>
              <w:rPr>
                <w:rFonts w:ascii="Calibri" w:hAnsi="Calibri"/>
                <w:b w:val="0"/>
                <w:i w:val="0"/>
                <w:color w:val="212121"/>
                <w:sz w:val="16"/>
              </w:rPr>
              <w:t>Leukopenia or normal WBC, relative lymphocytosis, eosinopenia, anaemia, thrombocytopenia</w:t>
            </w:r>
          </w:p>
        </w:tc>
        <w:tc>
          <w:tcPr>
            <w:tcW w:type="dxa" w:w="1036"/>
            <w:vAlign w:val="top"/>
          </w:tcPr>
          <w:p>
            <w:pPr>
              <w:spacing w:after="40" w:before="0" w:line="259" w:lineRule="auto"/>
            </w:pPr>
            <w:r>
              <w:rPr>
                <w:rFonts w:ascii="Calibri" w:hAnsi="Calibri"/>
                <w:b w:val="0"/>
                <w:i w:val="0"/>
                <w:color w:val="212121"/>
                <w:sz w:val="16"/>
              </w:rPr>
              <w:t>Typical pattern supports enteric fever; falling platelets/leucocytosis may flag complications</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Adjunctive</w:t>
            </w:r>
          </w:p>
        </w:tc>
        <w:tc>
          <w:tcPr>
            <w:tcW w:type="dxa" w:w="720"/>
            <w:vAlign w:val="top"/>
          </w:tcPr>
          <w:p>
            <w:pPr>
              <w:spacing w:after="40" w:before="0" w:line="259" w:lineRule="auto"/>
            </w:pPr>
            <w:r>
              <w:rPr>
                <w:rFonts w:ascii="Calibri" w:hAnsi="Calibri"/>
                <w:b w:val="0"/>
                <w:i w:val="0"/>
                <w:color w:val="212121"/>
                <w:sz w:val="16"/>
              </w:rPr>
              <w:t>Leukopenia with prolonged fever is a useful clue in endemic settings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Liver function tests</w:t>
            </w:r>
          </w:p>
        </w:tc>
        <w:tc>
          <w:tcPr>
            <w:tcW w:type="dxa" w:w="892"/>
            <w:vAlign w:val="top"/>
          </w:tcPr>
          <w:p>
            <w:pPr>
              <w:spacing w:after="40" w:before="0" w:line="259" w:lineRule="auto"/>
            </w:pPr>
            <w:r>
              <w:rPr>
                <w:rFonts w:ascii="Calibri" w:hAnsi="Calibri"/>
                <w:b w:val="0"/>
                <w:i w:val="0"/>
                <w:color w:val="212121"/>
                <w:sz w:val="16"/>
              </w:rPr>
              <w:t>LFT panel</w:t>
            </w:r>
          </w:p>
        </w:tc>
        <w:tc>
          <w:tcPr>
            <w:tcW w:type="dxa" w:w="950"/>
            <w:vAlign w:val="top"/>
          </w:tcPr>
          <w:p>
            <w:pPr>
              <w:spacing w:after="40" w:before="0" w:line="259" w:lineRule="auto"/>
            </w:pPr>
            <w:r>
              <w:rPr>
                <w:rFonts w:ascii="Calibri" w:hAnsi="Calibri"/>
                <w:b w:val="0"/>
                <w:i w:val="0"/>
                <w:color w:val="212121"/>
                <w:sz w:val="16"/>
              </w:rPr>
              <w:t>Normal transaminases/bilirubin</w:t>
            </w:r>
          </w:p>
        </w:tc>
        <w:tc>
          <w:tcPr>
            <w:tcW w:type="dxa" w:w="950"/>
            <w:vAlign w:val="top"/>
          </w:tcPr>
          <w:p>
            <w:pPr>
              <w:spacing w:after="40" w:before="0" w:line="259" w:lineRule="auto"/>
            </w:pPr>
            <w:r>
              <w:rPr>
                <w:rFonts w:ascii="Calibri" w:hAnsi="Calibri"/>
                <w:b w:val="0"/>
                <w:i w:val="0"/>
                <w:color w:val="212121"/>
                <w:sz w:val="16"/>
              </w:rPr>
              <w:t>Mild-to-moderate transaminase elevation, mild hyperbilirubinaemia</w:t>
            </w:r>
          </w:p>
        </w:tc>
        <w:tc>
          <w:tcPr>
            <w:tcW w:type="dxa" w:w="1036"/>
            <w:vAlign w:val="top"/>
          </w:tcPr>
          <w:p>
            <w:pPr>
              <w:spacing w:after="40" w:before="0" w:line="259" w:lineRule="auto"/>
            </w:pPr>
            <w:r>
              <w:rPr>
                <w:rFonts w:ascii="Calibri" w:hAnsi="Calibri"/>
                <w:b w:val="0"/>
                <w:i w:val="0"/>
                <w:color w:val="212121"/>
                <w:sz w:val="16"/>
              </w:rPr>
              <w:t>Reflects typhoid hepatitis; guides avoidance of hepatotoxic drugs and alcohol</w:t>
            </w:r>
          </w:p>
        </w:tc>
        <w:tc>
          <w:tcPr>
            <w:tcW w:type="dxa" w:w="1036"/>
            <w:vAlign w:val="top"/>
          </w:tcPr>
          <w:p>
            <w:pPr>
              <w:spacing w:after="40" w:before="0" w:line="259" w:lineRule="auto"/>
            </w:pPr>
            <w:r>
              <w:rPr>
                <w:rFonts w:ascii="Calibri" w:hAnsi="Calibri"/>
                <w:b w:val="0"/>
                <w:i w:val="0"/>
                <w:color w:val="212121"/>
                <w:sz w:val="16"/>
              </w:rPr>
              <w:t>Patients with hepatomegaly or jaundice</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Adjunctive</w:t>
            </w:r>
          </w:p>
        </w:tc>
        <w:tc>
          <w:tcPr>
            <w:tcW w:type="dxa" w:w="720"/>
            <w:vAlign w:val="top"/>
          </w:tcPr>
          <w:p>
            <w:pPr>
              <w:spacing w:after="40" w:before="0" w:line="259" w:lineRule="auto"/>
            </w:pPr>
            <w:r>
              <w:rPr>
                <w:rFonts w:ascii="Calibri" w:hAnsi="Calibri"/>
                <w:b w:val="0"/>
                <w:i w:val="0"/>
                <w:color w:val="212121"/>
                <w:sz w:val="16"/>
              </w:rPr>
              <w:t>Usually resolves with treatment of the 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Stool &amp; urine culture</w:t>
            </w:r>
          </w:p>
        </w:tc>
        <w:tc>
          <w:tcPr>
            <w:tcW w:type="dxa" w:w="892"/>
            <w:vAlign w:val="top"/>
          </w:tcPr>
          <w:p>
            <w:pPr>
              <w:spacing w:after="40" w:before="0" w:line="259" w:lineRule="auto"/>
            </w:pPr>
            <w:r>
              <w:rPr>
                <w:rFonts w:ascii="Calibri" w:hAnsi="Calibri"/>
                <w:b w:val="0"/>
                <w:i w:val="0"/>
                <w:color w:val="212121"/>
                <w:sz w:val="16"/>
              </w:rPr>
              <w:t>Culture</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Growth of S. Typhi/Paratyphi</w:t>
            </w:r>
          </w:p>
        </w:tc>
        <w:tc>
          <w:tcPr>
            <w:tcW w:type="dxa" w:w="1036"/>
            <w:vAlign w:val="top"/>
          </w:tcPr>
          <w:p>
            <w:pPr>
              <w:spacing w:after="40" w:before="0" w:line="259" w:lineRule="auto"/>
            </w:pPr>
            <w:r>
              <w:rPr>
                <w:rFonts w:ascii="Calibri" w:hAnsi="Calibri"/>
                <w:b w:val="0"/>
                <w:i w:val="0"/>
                <w:color w:val="212121"/>
                <w:sz w:val="16"/>
              </w:rPr>
              <w:t>Yield rises in week 2-3; key for detecting convalescent and chronic carriers</w:t>
            </w:r>
          </w:p>
        </w:tc>
        <w:tc>
          <w:tcPr>
            <w:tcW w:type="dxa" w:w="1036"/>
            <w:vAlign w:val="top"/>
          </w:tcPr>
          <w:p>
            <w:pPr>
              <w:spacing w:after="40" w:before="0" w:line="259" w:lineRule="auto"/>
            </w:pPr>
            <w:r>
              <w:rPr>
                <w:rFonts w:ascii="Calibri" w:hAnsi="Calibri"/>
                <w:b w:val="0"/>
                <w:i w:val="0"/>
                <w:color w:val="212121"/>
                <w:sz w:val="16"/>
              </w:rPr>
              <w:t>Persistent/relapsing cases, food handlers, suspected carriers</w:t>
            </w:r>
          </w:p>
        </w:tc>
        <w:tc>
          <w:tcPr>
            <w:tcW w:type="dxa" w:w="720"/>
            <w:vAlign w:val="top"/>
          </w:tcPr>
          <w:p>
            <w:pPr>
              <w:spacing w:after="40" w:before="0" w:line="259" w:lineRule="auto"/>
            </w:pPr>
            <w:r>
              <w:rPr>
                <w:rFonts w:ascii="Calibri" w:hAnsi="Calibri"/>
                <w:b w:val="0"/>
                <w:i w:val="0"/>
                <w:color w:val="212121"/>
                <w:sz w:val="16"/>
              </w:rPr>
              <w:t>Hygiene; Food</w:t>
            </w:r>
          </w:p>
        </w:tc>
        <w:tc>
          <w:tcPr>
            <w:tcW w:type="dxa" w:w="720"/>
            <w:vAlign w:val="top"/>
          </w:tcPr>
          <w:p>
            <w:pPr>
              <w:spacing w:after="40" w:before="0" w:line="259" w:lineRule="auto"/>
            </w:pPr>
            <w:r>
              <w:rPr>
                <w:rFonts w:ascii="Calibri" w:hAnsi="Calibri"/>
                <w:b w:val="0"/>
                <w:i w:val="0"/>
                <w:color w:val="212121"/>
                <w:sz w:val="16"/>
              </w:rPr>
              <w:t>Carrier screening</w:t>
            </w:r>
          </w:p>
        </w:tc>
        <w:tc>
          <w:tcPr>
            <w:tcW w:type="dxa" w:w="720"/>
            <w:vAlign w:val="top"/>
          </w:tcPr>
          <w:p>
            <w:pPr>
              <w:spacing w:after="40" w:before="0" w:line="259" w:lineRule="auto"/>
            </w:pPr>
            <w:r>
              <w:rPr>
                <w:rFonts w:ascii="Calibri" w:hAnsi="Calibri"/>
                <w:b w:val="0"/>
                <w:i w:val="0"/>
                <w:color w:val="212121"/>
                <w:sz w:val="16"/>
              </w:rPr>
              <w:t>Repeated positive stool &gt;12 months defines chronic carriage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Antimicrobial-susceptibility testing (incl. XDR panel)</w:t>
            </w:r>
          </w:p>
        </w:tc>
        <w:tc>
          <w:tcPr>
            <w:tcW w:type="dxa" w:w="892"/>
            <w:vAlign w:val="top"/>
          </w:tcPr>
          <w:p>
            <w:pPr>
              <w:spacing w:after="40" w:before="0" w:line="259" w:lineRule="auto"/>
            </w:pPr>
            <w:r>
              <w:rPr>
                <w:rFonts w:ascii="Calibri" w:hAnsi="Calibri"/>
                <w:b w:val="0"/>
                <w:i w:val="0"/>
                <w:color w:val="212121"/>
                <w:sz w:val="16"/>
              </w:rPr>
              <w:t>AST</w:t>
            </w:r>
          </w:p>
        </w:tc>
        <w:tc>
          <w:tcPr>
            <w:tcW w:type="dxa" w:w="950"/>
            <w:vAlign w:val="top"/>
          </w:tcPr>
          <w:p>
            <w:pPr>
              <w:spacing w:after="40" w:before="0" w:line="259" w:lineRule="auto"/>
            </w:pPr>
            <w:r>
              <w:rPr>
                <w:rFonts w:ascii="Calibri" w:hAnsi="Calibri"/>
                <w:b w:val="0"/>
                <w:i w:val="0"/>
                <w:color w:val="212121"/>
                <w:sz w:val="16"/>
              </w:rPr>
              <w:t>Pan-susceptible isolate</w:t>
            </w:r>
          </w:p>
        </w:tc>
        <w:tc>
          <w:tcPr>
            <w:tcW w:type="dxa" w:w="950"/>
            <w:vAlign w:val="top"/>
          </w:tcPr>
          <w:p>
            <w:pPr>
              <w:spacing w:after="40" w:before="0" w:line="259" w:lineRule="auto"/>
            </w:pPr>
            <w:r>
              <w:rPr>
                <w:rFonts w:ascii="Calibri" w:hAnsi="Calibri"/>
                <w:b w:val="0"/>
                <w:i w:val="0"/>
                <w:color w:val="212121"/>
                <w:sz w:val="16"/>
              </w:rPr>
              <w:t>Fluoroquinolone non-susceptibility, MDR or XDR pattern</w:t>
            </w:r>
          </w:p>
        </w:tc>
        <w:tc>
          <w:tcPr>
            <w:tcW w:type="dxa" w:w="1036"/>
            <w:vAlign w:val="top"/>
          </w:tcPr>
          <w:p>
            <w:pPr>
              <w:spacing w:after="40" w:before="0" w:line="259" w:lineRule="auto"/>
            </w:pPr>
            <w:r>
              <w:rPr>
                <w:rFonts w:ascii="Calibri" w:hAnsi="Calibri"/>
                <w:b w:val="0"/>
                <w:i w:val="0"/>
                <w:color w:val="212121"/>
                <w:sz w:val="16"/>
              </w:rPr>
              <w:t>Directs choice between fluoroquinolone, azithromycin, ceftriaxone or carbapenem</w:t>
            </w:r>
          </w:p>
        </w:tc>
        <w:tc>
          <w:tcPr>
            <w:tcW w:type="dxa" w:w="1036"/>
            <w:vAlign w:val="top"/>
          </w:tcPr>
          <w:p>
            <w:pPr>
              <w:spacing w:after="40" w:before="0" w:line="259" w:lineRule="auto"/>
            </w:pPr>
            <w:r>
              <w:rPr>
                <w:rFonts w:ascii="Calibri" w:hAnsi="Calibri"/>
                <w:b w:val="0"/>
                <w:i w:val="0"/>
                <w:color w:val="212121"/>
                <w:sz w:val="16"/>
              </w:rPr>
              <w:t>All culture-positive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Management-critical</w:t>
            </w:r>
          </w:p>
        </w:tc>
        <w:tc>
          <w:tcPr>
            <w:tcW w:type="dxa" w:w="720"/>
            <w:vAlign w:val="top"/>
          </w:tcPr>
          <w:p>
            <w:pPr>
              <w:spacing w:after="40" w:before="0" w:line="259" w:lineRule="auto"/>
            </w:pPr>
            <w:r>
              <w:rPr>
                <w:rFonts w:ascii="Calibri" w:hAnsi="Calibri"/>
                <w:b w:val="0"/>
                <w:i w:val="0"/>
                <w:color w:val="212121"/>
                <w:sz w:val="16"/>
              </w:rPr>
              <w:t>More than two-thirds of Indian isolates are fluoroquinolone-resistant, so AST guides therapy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Fever pattern &amp; duration</w:t>
            </w:r>
          </w:p>
        </w:tc>
        <w:tc>
          <w:tcPr>
            <w:tcW w:type="dxa" w:w="979"/>
            <w:vAlign w:val="top"/>
          </w:tcPr>
          <w:p>
            <w:pPr>
              <w:spacing w:after="40" w:before="0" w:line="259" w:lineRule="auto"/>
            </w:pPr>
            <w:r>
              <w:rPr>
                <w:rFonts w:ascii="Calibri" w:hAnsi="Calibri"/>
                <w:b w:val="0"/>
                <w:i w:val="0"/>
                <w:color w:val="212121"/>
                <w:sz w:val="16"/>
              </w:rPr>
              <w:t>Sustained stepwise fever &gt; 3-7 days</w:t>
            </w:r>
          </w:p>
        </w:tc>
        <w:tc>
          <w:tcPr>
            <w:tcW w:type="dxa" w:w="950"/>
            <w:vAlign w:val="top"/>
          </w:tcPr>
          <w:p>
            <w:pPr>
              <w:spacing w:after="40" w:before="0" w:line="259" w:lineRule="auto"/>
            </w:pPr>
            <w:r>
              <w:rPr>
                <w:rFonts w:ascii="Calibri" w:hAnsi="Calibri"/>
                <w:b w:val="0"/>
                <w:i w:val="0"/>
                <w:color w:val="212121"/>
                <w:sz w:val="16"/>
              </w:rPr>
              <w:t>No prolonged fever</w:t>
            </w:r>
          </w:p>
        </w:tc>
        <w:tc>
          <w:tcPr>
            <w:tcW w:type="dxa" w:w="950"/>
            <w:vAlign w:val="top"/>
          </w:tcPr>
          <w:p>
            <w:pPr>
              <w:spacing w:after="40" w:before="0" w:line="259" w:lineRule="auto"/>
            </w:pPr>
            <w:r>
              <w:rPr>
                <w:rFonts w:ascii="Calibri" w:hAnsi="Calibri"/>
                <w:b w:val="0"/>
                <w:i w:val="0"/>
                <w:color w:val="212121"/>
                <w:sz w:val="16"/>
              </w:rPr>
              <w:t>Progressive, sustained high-grade fever</w:t>
            </w:r>
          </w:p>
        </w:tc>
        <w:tc>
          <w:tcPr>
            <w:tcW w:type="dxa" w:w="1036"/>
            <w:vAlign w:val="top"/>
          </w:tcPr>
          <w:p>
            <w:pPr>
              <w:spacing w:after="40" w:before="0" w:line="259" w:lineRule="auto"/>
            </w:pPr>
            <w:r>
              <w:rPr>
                <w:rFonts w:ascii="Calibri" w:hAnsi="Calibri"/>
                <w:b w:val="0"/>
                <w:i w:val="0"/>
                <w:color w:val="212121"/>
                <w:sz w:val="16"/>
              </w:rPr>
              <w:t>Prolonged fever without an obvious focus in an endemic area strongly suggests enteric fever</w:t>
            </w:r>
          </w:p>
        </w:tc>
        <w:tc>
          <w:tcPr>
            <w:tcW w:type="dxa" w:w="1036"/>
            <w:vAlign w:val="top"/>
          </w:tcPr>
          <w:p>
            <w:pPr>
              <w:spacing w:after="40" w:before="0" w:line="259" w:lineRule="auto"/>
            </w:pPr>
            <w:r>
              <w:rPr>
                <w:rFonts w:ascii="Calibri" w:hAnsi="Calibri"/>
                <w:b w:val="0"/>
                <w:i w:val="0"/>
                <w:color w:val="212121"/>
                <w:sz w:val="16"/>
              </w:rPr>
              <w:t>Children and adults with undifferentiated fever</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Classic stepwise ('staircase') rise over the first week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history</w:t>
            </w:r>
          </w:p>
        </w:tc>
        <w:tc>
          <w:tcPr>
            <w:tcW w:type="dxa" w:w="979"/>
            <w:vAlign w:val="top"/>
          </w:tcPr>
          <w:p>
            <w:pPr>
              <w:spacing w:after="40" w:before="0" w:line="259" w:lineRule="auto"/>
            </w:pPr>
            <w:r>
              <w:rPr>
                <w:rFonts w:ascii="Calibri" w:hAnsi="Calibri"/>
                <w:b w:val="0"/>
                <w:i w:val="0"/>
                <w:color w:val="212121"/>
                <w:sz w:val="16"/>
              </w:rPr>
              <w:t>Untreated water, street/raw food, travel, contact with case/carrier</w:t>
            </w:r>
          </w:p>
        </w:tc>
        <w:tc>
          <w:tcPr>
            <w:tcW w:type="dxa" w:w="950"/>
            <w:vAlign w:val="top"/>
          </w:tcPr>
          <w:p>
            <w:pPr>
              <w:spacing w:after="40" w:before="0" w:line="259" w:lineRule="auto"/>
            </w:pPr>
            <w:r>
              <w:rPr>
                <w:rFonts w:ascii="Calibri" w:hAnsi="Calibri"/>
                <w:b w:val="0"/>
                <w:i w:val="0"/>
                <w:color w:val="212121"/>
                <w:sz w:val="16"/>
              </w:rPr>
              <w:t>No identifiable exposure</w:t>
            </w:r>
          </w:p>
        </w:tc>
        <w:tc>
          <w:tcPr>
            <w:tcW w:type="dxa" w:w="950"/>
            <w:vAlign w:val="top"/>
          </w:tcPr>
          <w:p>
            <w:pPr>
              <w:spacing w:after="40" w:before="0" w:line="259" w:lineRule="auto"/>
            </w:pPr>
            <w:r>
              <w:rPr>
                <w:rFonts w:ascii="Calibri" w:hAnsi="Calibri"/>
                <w:b w:val="0"/>
                <w:i w:val="0"/>
                <w:color w:val="212121"/>
                <w:sz w:val="16"/>
              </w:rPr>
              <w:t>One or more risk exposures present</w:t>
            </w:r>
          </w:p>
        </w:tc>
        <w:tc>
          <w:tcPr>
            <w:tcW w:type="dxa" w:w="1036"/>
            <w:vAlign w:val="top"/>
          </w:tcPr>
          <w:p>
            <w:pPr>
              <w:spacing w:after="40" w:before="0" w:line="259" w:lineRule="auto"/>
            </w:pPr>
            <w:r>
              <w:rPr>
                <w:rFonts w:ascii="Calibri" w:hAnsi="Calibri"/>
                <w:b w:val="0"/>
                <w:i w:val="0"/>
                <w:color w:val="212121"/>
                <w:sz w:val="16"/>
              </w:rPr>
              <w:t>Establishes epidemiological plausibility and guides prevention advice</w:t>
            </w:r>
          </w:p>
        </w:tc>
        <w:tc>
          <w:tcPr>
            <w:tcW w:type="dxa" w:w="1036"/>
            <w:vAlign w:val="top"/>
          </w:tcPr>
          <w:p>
            <w:pPr>
              <w:spacing w:after="40" w:before="0" w:line="259" w:lineRule="auto"/>
            </w:pPr>
            <w:r>
              <w:rPr>
                <w:rFonts w:ascii="Calibri" w:hAnsi="Calibri"/>
                <w:b w:val="0"/>
                <w:i w:val="0"/>
                <w:color w:val="212121"/>
                <w:sz w:val="16"/>
              </w:rPr>
              <w:t>All suspected cases, travellers, household contacts</w:t>
            </w:r>
          </w:p>
        </w:tc>
        <w:tc>
          <w:tcPr>
            <w:tcW w:type="dxa" w:w="720"/>
            <w:vAlign w:val="top"/>
          </w:tcPr>
          <w:p>
            <w:pPr>
              <w:spacing w:after="40" w:before="0" w:line="259" w:lineRule="auto"/>
            </w:pPr>
            <w:r>
              <w:rPr>
                <w:rFonts w:ascii="Calibri" w:hAnsi="Calibri"/>
                <w:b w:val="0"/>
                <w:i w:val="0"/>
                <w:color w:val="212121"/>
                <w:sz w:val="16"/>
              </w:rPr>
              <w:t>Water; Food;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specifically about drinking-water source and street food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Vaccination status</w:t>
            </w:r>
          </w:p>
        </w:tc>
        <w:tc>
          <w:tcPr>
            <w:tcW w:type="dxa" w:w="979"/>
            <w:vAlign w:val="top"/>
          </w:tcPr>
          <w:p>
            <w:pPr>
              <w:spacing w:after="40" w:before="0" w:line="259" w:lineRule="auto"/>
            </w:pPr>
            <w:r>
              <w:rPr>
                <w:rFonts w:ascii="Calibri" w:hAnsi="Calibri"/>
                <w:b w:val="0"/>
                <w:i w:val="0"/>
                <w:color w:val="212121"/>
                <w:sz w:val="16"/>
              </w:rPr>
              <w:t>Typhoid conjugate / Ty21a / Vi-polysaccharide vaccine</w:t>
            </w:r>
          </w:p>
        </w:tc>
        <w:tc>
          <w:tcPr>
            <w:tcW w:type="dxa" w:w="950"/>
            <w:vAlign w:val="top"/>
          </w:tcPr>
          <w:p>
            <w:pPr>
              <w:spacing w:after="40" w:before="0" w:line="259" w:lineRule="auto"/>
            </w:pPr>
            <w:r>
              <w:rPr>
                <w:rFonts w:ascii="Calibri" w:hAnsi="Calibri"/>
                <w:b w:val="0"/>
                <w:i w:val="0"/>
                <w:color w:val="212121"/>
                <w:sz w:val="16"/>
              </w:rPr>
              <w:t>Recently vaccinated</w:t>
            </w:r>
          </w:p>
        </w:tc>
        <w:tc>
          <w:tcPr>
            <w:tcW w:type="dxa" w:w="950"/>
            <w:vAlign w:val="top"/>
          </w:tcPr>
          <w:p>
            <w:pPr>
              <w:spacing w:after="40" w:before="0" w:line="259" w:lineRule="auto"/>
            </w:pPr>
            <w:r>
              <w:rPr>
                <w:rFonts w:ascii="Calibri" w:hAnsi="Calibri"/>
                <w:b w:val="0"/>
                <w:i w:val="0"/>
                <w:color w:val="212121"/>
                <w:sz w:val="16"/>
              </w:rPr>
              <w:t>Unvaccinated or remote/incomplete vaccination</w:t>
            </w:r>
          </w:p>
        </w:tc>
        <w:tc>
          <w:tcPr>
            <w:tcW w:type="dxa" w:w="1036"/>
            <w:vAlign w:val="top"/>
          </w:tcPr>
          <w:p>
            <w:pPr>
              <w:spacing w:after="40" w:before="0" w:line="259" w:lineRule="auto"/>
            </w:pPr>
            <w:r>
              <w:rPr>
                <w:rFonts w:ascii="Calibri" w:hAnsi="Calibri"/>
                <w:b w:val="0"/>
                <w:i w:val="0"/>
                <w:color w:val="212121"/>
                <w:sz w:val="16"/>
              </w:rPr>
              <w:t>Modifies pre-test probability and highlights prevention gap; Vi-TCV is highly protective</w:t>
            </w:r>
          </w:p>
        </w:tc>
        <w:tc>
          <w:tcPr>
            <w:tcW w:type="dxa" w:w="1036"/>
            <w:vAlign w:val="top"/>
          </w:tcPr>
          <w:p>
            <w:pPr>
              <w:spacing w:after="40" w:before="0" w:line="259" w:lineRule="auto"/>
            </w:pPr>
            <w:r>
              <w:rPr>
                <w:rFonts w:ascii="Calibri" w:hAnsi="Calibri"/>
                <w:b w:val="0"/>
                <w:i w:val="0"/>
                <w:color w:val="212121"/>
                <w:sz w:val="16"/>
              </w:rPr>
              <w:t>Children, travellers, high-risk urban residents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Prognostic/Preventive</w:t>
            </w:r>
          </w:p>
        </w:tc>
        <w:tc>
          <w:tcPr>
            <w:tcW w:type="dxa" w:w="720"/>
            <w:vAlign w:val="top"/>
          </w:tcPr>
          <w:p>
            <w:pPr>
              <w:spacing w:after="40" w:before="0" w:line="259" w:lineRule="auto"/>
            </w:pPr>
            <w:r>
              <w:rPr>
                <w:rFonts w:ascii="Calibri" w:hAnsi="Calibri"/>
                <w:b w:val="0"/>
                <w:i w:val="0"/>
                <w:color w:val="212121"/>
                <w:sz w:val="16"/>
              </w:rPr>
              <w:t>Vi-TCV efficacy ~81.6% in phase-3 trial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Temperature-pulse relationship</w:t>
            </w:r>
          </w:p>
        </w:tc>
        <w:tc>
          <w:tcPr>
            <w:tcW w:type="dxa" w:w="979"/>
            <w:vAlign w:val="top"/>
          </w:tcPr>
          <w:p>
            <w:pPr>
              <w:spacing w:after="40" w:before="0" w:line="259" w:lineRule="auto"/>
            </w:pPr>
            <w:r>
              <w:rPr>
                <w:rFonts w:ascii="Calibri" w:hAnsi="Calibri"/>
                <w:b w:val="0"/>
                <w:i w:val="0"/>
                <w:color w:val="212121"/>
                <w:sz w:val="16"/>
              </w:rPr>
              <w:t>Relative bradycardia (Faget sign)</w:t>
            </w:r>
          </w:p>
        </w:tc>
        <w:tc>
          <w:tcPr>
            <w:tcW w:type="dxa" w:w="950"/>
            <w:vAlign w:val="top"/>
          </w:tcPr>
          <w:p>
            <w:pPr>
              <w:spacing w:after="40" w:before="0" w:line="259" w:lineRule="auto"/>
            </w:pPr>
            <w:r>
              <w:rPr>
                <w:rFonts w:ascii="Calibri" w:hAnsi="Calibri"/>
                <w:b w:val="0"/>
                <w:i w:val="0"/>
                <w:color w:val="212121"/>
                <w:sz w:val="16"/>
              </w:rPr>
              <w:t>Pulse rises appropriately with fever</w:t>
            </w:r>
          </w:p>
        </w:tc>
        <w:tc>
          <w:tcPr>
            <w:tcW w:type="dxa" w:w="950"/>
            <w:vAlign w:val="top"/>
          </w:tcPr>
          <w:p>
            <w:pPr>
              <w:spacing w:after="40" w:before="0" w:line="259" w:lineRule="auto"/>
            </w:pPr>
            <w:r>
              <w:rPr>
                <w:rFonts w:ascii="Calibri" w:hAnsi="Calibri"/>
                <w:b w:val="0"/>
                <w:i w:val="0"/>
                <w:color w:val="212121"/>
                <w:sz w:val="16"/>
              </w:rPr>
              <w:t>Pulse inappropriately slow for the height of fever</w:t>
            </w:r>
          </w:p>
        </w:tc>
        <w:tc>
          <w:tcPr>
            <w:tcW w:type="dxa" w:w="1036"/>
            <w:vAlign w:val="top"/>
          </w:tcPr>
          <w:p>
            <w:pPr>
              <w:spacing w:after="40" w:before="0" w:line="259" w:lineRule="auto"/>
            </w:pPr>
            <w:r>
              <w:rPr>
                <w:rFonts w:ascii="Calibri" w:hAnsi="Calibri"/>
                <w:b w:val="0"/>
                <w:i w:val="0"/>
                <w:color w:val="212121"/>
                <w:sz w:val="16"/>
              </w:rPr>
              <w:t>Classic, though not universal, bedside clue to enteric fever</w:t>
            </w:r>
          </w:p>
        </w:tc>
        <w:tc>
          <w:tcPr>
            <w:tcW w:type="dxa" w:w="1036"/>
            <w:vAlign w:val="top"/>
          </w:tcPr>
          <w:p>
            <w:pPr>
              <w:spacing w:after="40" w:before="0" w:line="259" w:lineRule="auto"/>
            </w:pPr>
            <w:r>
              <w:rPr>
                <w:rFonts w:ascii="Calibri" w:hAnsi="Calibri"/>
                <w:b w:val="0"/>
                <w:i w:val="0"/>
                <w:color w:val="212121"/>
                <w:sz w:val="16"/>
              </w:rPr>
              <w:t>Febrile patients under evaluation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Also seen in some other infections; interpret with the whole picture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Hepatosplenomegaly, diffuse tenderness, distension</w:t>
            </w:r>
          </w:p>
        </w:tc>
        <w:tc>
          <w:tcPr>
            <w:tcW w:type="dxa" w:w="950"/>
            <w:vAlign w:val="top"/>
          </w:tcPr>
          <w:p>
            <w:pPr>
              <w:spacing w:after="40" w:before="0" w:line="259" w:lineRule="auto"/>
            </w:pPr>
            <w:r>
              <w:rPr>
                <w:rFonts w:ascii="Calibri" w:hAnsi="Calibri"/>
                <w:b w:val="0"/>
                <w:i w:val="0"/>
                <w:color w:val="212121"/>
                <w:sz w:val="16"/>
              </w:rPr>
              <w:t>Soft, non-tender abdomen, no organomegaly</w:t>
            </w:r>
          </w:p>
        </w:tc>
        <w:tc>
          <w:tcPr>
            <w:tcW w:type="dxa" w:w="950"/>
            <w:vAlign w:val="top"/>
          </w:tcPr>
          <w:p>
            <w:pPr>
              <w:spacing w:after="40" w:before="0" w:line="259" w:lineRule="auto"/>
            </w:pPr>
            <w:r>
              <w:rPr>
                <w:rFonts w:ascii="Calibri" w:hAnsi="Calibri"/>
                <w:b w:val="0"/>
                <w:i w:val="0"/>
                <w:color w:val="212121"/>
                <w:sz w:val="16"/>
              </w:rPr>
              <w:t>Tender abdomen with hepatomegaly and/or splenomegaly</w:t>
            </w:r>
          </w:p>
        </w:tc>
        <w:tc>
          <w:tcPr>
            <w:tcW w:type="dxa" w:w="1036"/>
            <w:vAlign w:val="top"/>
          </w:tcPr>
          <w:p>
            <w:pPr>
              <w:spacing w:after="40" w:before="0" w:line="259" w:lineRule="auto"/>
            </w:pPr>
            <w:r>
              <w:rPr>
                <w:rFonts w:ascii="Calibri" w:hAnsi="Calibri"/>
                <w:b w:val="0"/>
                <w:i w:val="0"/>
                <w:color w:val="212121"/>
                <w:sz w:val="16"/>
              </w:rPr>
              <w:t>Reflects reticuloendothelial involvement; new guarding/rigidity warns of perforation</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Screening/Monitoring</w:t>
            </w:r>
          </w:p>
        </w:tc>
        <w:tc>
          <w:tcPr>
            <w:tcW w:type="dxa" w:w="720"/>
            <w:vAlign w:val="top"/>
          </w:tcPr>
          <w:p>
            <w:pPr>
              <w:spacing w:after="40" w:before="0" w:line="259" w:lineRule="auto"/>
            </w:pPr>
            <w:r>
              <w:rPr>
                <w:rFonts w:ascii="Calibri" w:hAnsi="Calibri"/>
                <w:b w:val="0"/>
                <w:i w:val="0"/>
                <w:color w:val="212121"/>
                <w:sz w:val="16"/>
              </w:rPr>
              <w:t>Hepatosplenomegaly present in roughly 29-50% of cases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Skin &amp; general inspection</w:t>
            </w:r>
          </w:p>
        </w:tc>
        <w:tc>
          <w:tcPr>
            <w:tcW w:type="dxa" w:w="979"/>
            <w:vAlign w:val="top"/>
          </w:tcPr>
          <w:p>
            <w:pPr>
              <w:spacing w:after="40" w:before="0" w:line="259" w:lineRule="auto"/>
            </w:pPr>
            <w:r>
              <w:rPr>
                <w:rFonts w:ascii="Calibri" w:hAnsi="Calibri"/>
                <w:b w:val="0"/>
                <w:i w:val="0"/>
                <w:color w:val="212121"/>
                <w:sz w:val="16"/>
              </w:rPr>
              <w:t>Rose spots, coated tongue, toxic/apathetic appearance</w:t>
            </w:r>
          </w:p>
        </w:tc>
        <w:tc>
          <w:tcPr>
            <w:tcW w:type="dxa" w:w="950"/>
            <w:vAlign w:val="top"/>
          </w:tcPr>
          <w:p>
            <w:pPr>
              <w:spacing w:after="40" w:before="0" w:line="259" w:lineRule="auto"/>
            </w:pPr>
            <w:r>
              <w:rPr>
                <w:rFonts w:ascii="Calibri" w:hAnsi="Calibri"/>
                <w:b w:val="0"/>
                <w:i w:val="0"/>
                <w:color w:val="212121"/>
                <w:sz w:val="16"/>
              </w:rPr>
              <w:t>Normal skin and sensorium</w:t>
            </w:r>
          </w:p>
        </w:tc>
        <w:tc>
          <w:tcPr>
            <w:tcW w:type="dxa" w:w="950"/>
            <w:vAlign w:val="top"/>
          </w:tcPr>
          <w:p>
            <w:pPr>
              <w:spacing w:after="40" w:before="0" w:line="259" w:lineRule="auto"/>
            </w:pPr>
            <w:r>
              <w:rPr>
                <w:rFonts w:ascii="Calibri" w:hAnsi="Calibri"/>
                <w:b w:val="0"/>
                <w:i w:val="0"/>
                <w:color w:val="212121"/>
                <w:sz w:val="16"/>
              </w:rPr>
              <w:t>Blanching 2-4 mm rose spots on trunk; thickly coated tongue; apathy/delirium</w:t>
            </w:r>
          </w:p>
        </w:tc>
        <w:tc>
          <w:tcPr>
            <w:tcW w:type="dxa" w:w="1036"/>
            <w:vAlign w:val="top"/>
          </w:tcPr>
          <w:p>
            <w:pPr>
              <w:spacing w:after="40" w:before="0" w:line="259" w:lineRule="auto"/>
            </w:pPr>
            <w:r>
              <w:rPr>
                <w:rFonts w:ascii="Calibri" w:hAnsi="Calibri"/>
                <w:b w:val="0"/>
                <w:i w:val="0"/>
                <w:color w:val="212121"/>
                <w:sz w:val="16"/>
              </w:rPr>
              <w:t>Rose spots are specific but seen in under a quarter of cases; altered sensorium signals the typhoid state</w:t>
            </w:r>
          </w:p>
        </w:tc>
        <w:tc>
          <w:tcPr>
            <w:tcW w:type="dxa" w:w="1036"/>
            <w:vAlign w:val="top"/>
          </w:tcPr>
          <w:p>
            <w:pPr>
              <w:spacing w:after="40" w:before="0" w:line="259" w:lineRule="auto"/>
            </w:pPr>
            <w:r>
              <w:rPr>
                <w:rFonts w:ascii="Calibri" w:hAnsi="Calibri"/>
                <w:b w:val="0"/>
                <w:i w:val="0"/>
                <w:color w:val="212121"/>
                <w:sz w:val="16"/>
              </w:rPr>
              <w:t>Patients in the second week of illness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Rose spots present in &lt;25% of patients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Signs of complications</w:t>
            </w:r>
          </w:p>
        </w:tc>
        <w:tc>
          <w:tcPr>
            <w:tcW w:type="dxa" w:w="979"/>
            <w:vAlign w:val="top"/>
          </w:tcPr>
          <w:p>
            <w:pPr>
              <w:spacing w:after="40" w:before="0" w:line="259" w:lineRule="auto"/>
            </w:pPr>
            <w:r>
              <w:rPr>
                <w:rFonts w:ascii="Calibri" w:hAnsi="Calibri"/>
                <w:b w:val="0"/>
                <w:i w:val="0"/>
                <w:color w:val="212121"/>
                <w:sz w:val="16"/>
              </w:rPr>
              <w:t>Peritonism, GI bleeding, altered consciousness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Rigidity/rebound (perforation), melaena/haematochezia, encephalopathy</w:t>
            </w:r>
          </w:p>
        </w:tc>
        <w:tc>
          <w:tcPr>
            <w:tcW w:type="dxa" w:w="1036"/>
            <w:vAlign w:val="top"/>
          </w:tcPr>
          <w:p>
            <w:pPr>
              <w:spacing w:after="40" w:before="0" w:line="259" w:lineRule="auto"/>
            </w:pPr>
            <w:r>
              <w:rPr>
                <w:rFonts w:ascii="Calibri" w:hAnsi="Calibri"/>
                <w:b w:val="0"/>
                <w:i w:val="0"/>
                <w:color w:val="212121"/>
                <w:sz w:val="16"/>
              </w:rPr>
              <w:t>Identifies life-threatening complications requiring urgent surgical/critical care</w:t>
            </w:r>
          </w:p>
        </w:tc>
        <w:tc>
          <w:tcPr>
            <w:tcW w:type="dxa" w:w="1036"/>
            <w:vAlign w:val="top"/>
          </w:tcPr>
          <w:p>
            <w:pPr>
              <w:spacing w:after="40" w:before="0" w:line="259" w:lineRule="auto"/>
            </w:pPr>
            <w:r>
              <w:rPr>
                <w:rFonts w:ascii="Calibri" w:hAnsi="Calibri"/>
                <w:b w:val="0"/>
                <w:i w:val="0"/>
                <w:color w:val="212121"/>
                <w:sz w:val="16"/>
              </w:rPr>
              <w:t>Untreated or late-presenting patients in week 2-3</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Emergency triage</w:t>
            </w:r>
          </w:p>
        </w:tc>
        <w:tc>
          <w:tcPr>
            <w:tcW w:type="dxa" w:w="720"/>
            <w:vAlign w:val="top"/>
          </w:tcPr>
          <w:p>
            <w:pPr>
              <w:spacing w:after="40" w:before="0" w:line="259" w:lineRule="auto"/>
            </w:pPr>
            <w:r>
              <w:rPr>
                <w:rFonts w:ascii="Calibri" w:hAnsi="Calibri"/>
                <w:b w:val="0"/>
                <w:i w:val="0"/>
                <w:color w:val="212121"/>
                <w:sz w:val="16"/>
              </w:rPr>
              <w:t>Perforation typically develops about two weeks after symptom onset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Prolonged, stepwise 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Sustained fever rising over the first week to 39-40 C is the cardinal feature of enteric fever.</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Frontal headache is nearly universal and often prominent early in the illness.</w:t>
            </w:r>
          </w:p>
        </w:tc>
      </w:tr>
      <w:tr>
        <w:trPr>
          <w:cantSplit/>
        </w:trPr>
        <w:tc>
          <w:tcPr>
            <w:tcW w:type="dxa" w:w="2304"/>
            <w:vAlign w:val="top"/>
          </w:tcPr>
          <w:p>
            <w:pPr>
              <w:spacing w:after="40" w:before="0" w:line="259" w:lineRule="auto"/>
            </w:pPr>
            <w:r>
              <w:rPr>
                <w:rFonts w:ascii="Calibri" w:hAnsi="Calibri"/>
                <w:b/>
                <w:i w:val="0"/>
                <w:color w:val="212121"/>
                <w:sz w:val="19"/>
              </w:rPr>
              <w:t>Anorexia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appetite accompanies the systemic toxaemia and contributes to weight loss.</w:t>
            </w:r>
          </w:p>
        </w:tc>
      </w:tr>
      <w:tr>
        <w:trPr>
          <w:cantSplit/>
        </w:trPr>
        <w:tc>
          <w:tcPr>
            <w:tcW w:type="dxa" w:w="2304"/>
            <w:vAlign w:val="top"/>
          </w:tcPr>
          <w:p>
            <w:pPr>
              <w:spacing w:after="40" w:before="0" w:line="259" w:lineRule="auto"/>
            </w:pPr>
            <w:r>
              <w:rPr>
                <w:rFonts w:ascii="Calibri" w:hAnsi="Calibri"/>
                <w:b/>
                <w:i w:val="0"/>
                <w:color w:val="212121"/>
                <w:sz w:val="19"/>
              </w:rPr>
              <w:t>Malaise &amp;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Profound tiredness and prostration reflect sustained bacteraemia and cytokine release.</w:t>
            </w:r>
          </w:p>
        </w:tc>
      </w:tr>
      <w:tr>
        <w:trPr>
          <w:cantSplit/>
        </w:trPr>
        <w:tc>
          <w:tcPr>
            <w:tcW w:type="dxa" w:w="2304"/>
            <w:vAlign w:val="top"/>
          </w:tcPr>
          <w:p>
            <w:pPr>
              <w:spacing w:after="40" w:before="0" w:line="259" w:lineRule="auto"/>
            </w:pPr>
            <w:r>
              <w:rPr>
                <w:rFonts w:ascii="Calibri" w:hAnsi="Calibri"/>
                <w:b/>
                <w:i w:val="0"/>
                <w:color w:val="212121"/>
                <w:sz w:val="19"/>
              </w:rPr>
              <w:t>Abdominal pain / discomfort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Diffuse or right-iliac-fossa discomfort with bloating from gut lymphoid involvement.</w:t>
            </w:r>
          </w:p>
        </w:tc>
      </w:tr>
      <w:tr>
        <w:trPr>
          <w:cantSplit/>
        </w:trPr>
        <w:tc>
          <w:tcPr>
            <w:tcW w:type="dxa" w:w="2304"/>
            <w:vAlign w:val="top"/>
          </w:tcPr>
          <w:p>
            <w:pPr>
              <w:spacing w:after="40" w:before="0" w:line="259" w:lineRule="auto"/>
            </w:pPr>
            <w:r>
              <w:rPr>
                <w:rFonts w:ascii="Calibri" w:hAnsi="Calibri"/>
                <w:b/>
                <w:i w:val="0"/>
                <w:color w:val="212121"/>
                <w:sz w:val="19"/>
              </w:rPr>
              <w:t>Altered bowel habit (constipation or diarrhoea)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Adults more often constipated; young children more often have loose stools ('pea-soup' diarrhoea).</w:t>
            </w:r>
          </w:p>
        </w:tc>
      </w:tr>
      <w:tr>
        <w:trPr>
          <w:cantSplit/>
        </w:trPr>
        <w:tc>
          <w:tcPr>
            <w:tcW w:type="dxa" w:w="2304"/>
            <w:vAlign w:val="top"/>
          </w:tcPr>
          <w:p>
            <w:pPr>
              <w:spacing w:after="40" w:before="0" w:line="259" w:lineRule="auto"/>
            </w:pPr>
            <w:r>
              <w:rPr>
                <w:rFonts w:ascii="Calibri" w:hAnsi="Calibri"/>
                <w:b/>
                <w:i w:val="0"/>
                <w:color w:val="212121"/>
                <w:sz w:val="19"/>
              </w:rPr>
              <w:t>Dry 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nonproductive cough is frequent in the first week and can mimic a respiratory infection.</w:t>
            </w:r>
          </w:p>
        </w:tc>
      </w:tr>
      <w:tr>
        <w:trPr>
          <w:cantSplit/>
        </w:trPr>
        <w:tc>
          <w:tcPr>
            <w:tcW w:type="dxa" w:w="2304"/>
            <w:vAlign w:val="top"/>
          </w:tcPr>
          <w:p>
            <w:pPr>
              <w:spacing w:after="40" w:before="0" w:line="259" w:lineRule="auto"/>
            </w:pPr>
            <w:r>
              <w:rPr>
                <w:rFonts w:ascii="Calibri" w:hAnsi="Calibri"/>
                <w:b/>
                <w:i w:val="0"/>
                <w:color w:val="212121"/>
                <w:sz w:val="19"/>
              </w:rPr>
              <w:t>Coated tongue &amp; bad taste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thickly furred tongue with relatively clear red tip and edges is characteristic.</w:t>
            </w:r>
          </w:p>
        </w:tc>
      </w:tr>
      <w:tr>
        <w:trPr>
          <w:cantSplit/>
        </w:trPr>
        <w:tc>
          <w:tcPr>
            <w:tcW w:type="dxa" w:w="2304"/>
            <w:vAlign w:val="top"/>
          </w:tcPr>
          <w:p>
            <w:pPr>
              <w:spacing w:after="40" w:before="0" w:line="259" w:lineRule="auto"/>
            </w:pPr>
            <w:r>
              <w:rPr>
                <w:rFonts w:ascii="Calibri" w:hAnsi="Calibri"/>
                <w:b/>
                <w:i w:val="0"/>
                <w:color w:val="212121"/>
                <w:sz w:val="19"/>
              </w:rPr>
              <w:t>Chills &amp; myalgia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Generalised body aches and chills accompany the febrile phase.</w:t>
            </w:r>
          </w:p>
        </w:tc>
      </w:tr>
      <w:tr>
        <w:trPr>
          <w:cantSplit/>
        </w:trPr>
        <w:tc>
          <w:tcPr>
            <w:tcW w:type="dxa" w:w="2304"/>
            <w:vAlign w:val="top"/>
          </w:tcPr>
          <w:p>
            <w:pPr>
              <w:spacing w:after="40" w:before="0" w:line="259" w:lineRule="auto"/>
            </w:pPr>
            <w:r>
              <w:rPr>
                <w:rFonts w:ascii="Calibri" w:hAnsi="Calibri"/>
                <w:b/>
                <w:i w:val="0"/>
                <w:color w:val="212121"/>
                <w:sz w:val="19"/>
              </w:rPr>
              <w:t>Nausea &amp; vomiting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More frequent in children and in disease with prominent gastrointestinal involvement.</w:t>
            </w:r>
          </w:p>
        </w:tc>
      </w:tr>
      <w:tr>
        <w:trPr>
          <w:cantSplit/>
        </w:trPr>
        <w:tc>
          <w:tcPr>
            <w:tcW w:type="dxa" w:w="2304"/>
            <w:vAlign w:val="top"/>
          </w:tcPr>
          <w:p>
            <w:pPr>
              <w:spacing w:after="40" w:before="0" w:line="259" w:lineRule="auto"/>
            </w:pPr>
            <w:r>
              <w:rPr>
                <w:rFonts w:ascii="Calibri" w:hAnsi="Calibri"/>
                <w:b/>
                <w:i w:val="0"/>
                <w:color w:val="212121"/>
                <w:sz w:val="19"/>
              </w:rPr>
              <w:t>Confusion / apathy (typhoid state)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Delirium, marked apathy or a 'coma-vigil' indicate severe disease; delirium affects up to a quarter of hospitalised patients.</w:t>
            </w:r>
          </w:p>
        </w:tc>
      </w:tr>
      <w:tr>
        <w:trPr>
          <w:cantSplit/>
        </w:trPr>
        <w:tc>
          <w:tcPr>
            <w:tcW w:type="dxa" w:w="2304"/>
            <w:vAlign w:val="top"/>
          </w:tcPr>
          <w:p>
            <w:pPr>
              <w:spacing w:after="40" w:before="0" w:line="259" w:lineRule="auto"/>
            </w:pPr>
            <w:r>
              <w:rPr>
                <w:rFonts w:ascii="Calibri" w:hAnsi="Calibri"/>
                <w:b/>
                <w:i w:val="0"/>
                <w:color w:val="212121"/>
                <w:sz w:val="19"/>
              </w:rPr>
              <w:t>Rose-coloured rash spots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Crops of blanching pink macules on the trunk in the second week; reported in fewer than 25% of cases.</w:t>
            </w:r>
          </w:p>
        </w:tc>
      </w:tr>
      <w:tr>
        <w:trPr>
          <w:cantSplit/>
        </w:trPr>
        <w:tc>
          <w:tcPr>
            <w:tcW w:type="dxa" w:w="2304"/>
            <w:vAlign w:val="top"/>
          </w:tcPr>
          <w:p>
            <w:pPr>
              <w:spacing w:after="40" w:before="0" w:line="259" w:lineRule="auto"/>
            </w:pPr>
            <w:r>
              <w:rPr>
                <w:rFonts w:ascii="Calibri" w:hAnsi="Calibri"/>
                <w:b/>
                <w:i w:val="0"/>
                <w:color w:val="212121"/>
                <w:sz w:val="19"/>
              </w:rPr>
              <w:t>Gastrointestinal bleeding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Melaena or haematochezia from ulcerated Peyer's patches signals a serious complication.</w:t>
            </w:r>
          </w:p>
        </w:tc>
      </w:tr>
      <w:tr>
        <w:trPr>
          <w:cantSplit/>
        </w:trPr>
        <w:tc>
          <w:tcPr>
            <w:tcW w:type="dxa" w:w="2304"/>
            <w:vAlign w:val="top"/>
          </w:tcPr>
          <w:p>
            <w:pPr>
              <w:spacing w:after="40" w:before="0" w:line="259" w:lineRule="auto"/>
            </w:pPr>
            <w:r>
              <w:rPr>
                <w:rFonts w:ascii="Calibri" w:hAnsi="Calibri"/>
                <w:b/>
                <w:i w:val="0"/>
                <w:color w:val="212121"/>
                <w:sz w:val="19"/>
              </w:rPr>
              <w:t>Sudden severe abdominal pain (perforation)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Acute worsening with a rigid abdomen suggests intestinal perforation and peritonitis - a surgical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Sustained high-grade pyrexia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Persistent fever, classically with a stepwise rise, is the central objective sign.</w:t>
            </w:r>
          </w:p>
        </w:tc>
      </w:tr>
      <w:tr>
        <w:trPr>
          <w:cantSplit/>
        </w:trPr>
        <w:tc>
          <w:tcPr>
            <w:tcW w:type="dxa" w:w="3456"/>
            <w:vAlign w:val="top"/>
          </w:tcPr>
          <w:p>
            <w:pPr>
              <w:spacing w:after="40" w:before="0" w:line="259" w:lineRule="auto"/>
            </w:pPr>
            <w:r>
              <w:rPr>
                <w:rFonts w:ascii="Calibri" w:hAnsi="Calibri"/>
                <w:b/>
                <w:i w:val="0"/>
                <w:color w:val="212121"/>
                <w:sz w:val="19"/>
              </w:rPr>
              <w:t>Relative bradycardia (Faget sign)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Pulse rate inappropriately low for the height of fever; a classic bedside clue.</w:t>
            </w:r>
          </w:p>
        </w:tc>
      </w:tr>
      <w:tr>
        <w:trPr>
          <w:cantSplit/>
        </w:trPr>
        <w:tc>
          <w:tcPr>
            <w:tcW w:type="dxa" w:w="3456"/>
            <w:vAlign w:val="top"/>
          </w:tcPr>
          <w:p>
            <w:pPr>
              <w:spacing w:after="40" w:before="0" w:line="259" w:lineRule="auto"/>
            </w:pPr>
            <w:r>
              <w:rPr>
                <w:rFonts w:ascii="Calibri" w:hAnsi="Calibri"/>
                <w:b/>
                <w:i w:val="0"/>
                <w:color w:val="212121"/>
                <w:sz w:val="19"/>
              </w:rPr>
              <w:t>Coated tongue with clear red margins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Central white-brown fur with a red tip and edges is characteristic of enteric fever.</w:t>
            </w:r>
          </w:p>
        </w:tc>
      </w:tr>
      <w:tr>
        <w:trPr>
          <w:cantSplit/>
        </w:trPr>
        <w:tc>
          <w:tcPr>
            <w:tcW w:type="dxa" w:w="3456"/>
            <w:vAlign w:val="top"/>
          </w:tcPr>
          <w:p>
            <w:pPr>
              <w:spacing w:after="40" w:before="0" w:line="259" w:lineRule="auto"/>
            </w:pPr>
            <w:r>
              <w:rPr>
                <w:rFonts w:ascii="Calibri" w:hAnsi="Calibri"/>
                <w:b/>
                <w:i w:val="0"/>
                <w:color w:val="212121"/>
                <w:sz w:val="19"/>
              </w:rPr>
              <w:t>Hepatosplenomegaly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Tender enlargement of liver and/or spleen from reticuloendothelial involvement; present in ~29-50% of cases.</w:t>
            </w:r>
          </w:p>
        </w:tc>
      </w:tr>
      <w:tr>
        <w:trPr>
          <w:cantSplit/>
        </w:trPr>
        <w:tc>
          <w:tcPr>
            <w:tcW w:type="dxa" w:w="3456"/>
            <w:vAlign w:val="top"/>
          </w:tcPr>
          <w:p>
            <w:pPr>
              <w:spacing w:after="40" w:before="0" w:line="259" w:lineRule="auto"/>
            </w:pPr>
            <w:r>
              <w:rPr>
                <w:rFonts w:ascii="Calibri" w:hAnsi="Calibri"/>
                <w:b/>
                <w:i w:val="0"/>
                <w:color w:val="212121"/>
                <w:sz w:val="19"/>
              </w:rPr>
              <w:t>Abdominal tenderness &amp; distension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Diffuse tenderness with bloating; new guarding heralds perforation.</w:t>
            </w:r>
          </w:p>
        </w:tc>
      </w:tr>
      <w:tr>
        <w:trPr>
          <w:cantSplit/>
        </w:trPr>
        <w:tc>
          <w:tcPr>
            <w:tcW w:type="dxa" w:w="3456"/>
            <w:vAlign w:val="top"/>
          </w:tcPr>
          <w:p>
            <w:pPr>
              <w:spacing w:after="40" w:before="0" w:line="259" w:lineRule="auto"/>
            </w:pPr>
            <w:r>
              <w:rPr>
                <w:rFonts w:ascii="Calibri" w:hAnsi="Calibri"/>
                <w:b/>
                <w:i w:val="0"/>
                <w:color w:val="212121"/>
                <w:sz w:val="19"/>
              </w:rPr>
              <w:t>Toxic / apathetic facies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dull, listless, unwell appearance reflects systemic toxaemia.</w:t>
            </w:r>
          </w:p>
        </w:tc>
      </w:tr>
      <w:tr>
        <w:trPr>
          <w:cantSplit/>
        </w:trPr>
        <w:tc>
          <w:tcPr>
            <w:tcW w:type="dxa" w:w="3456"/>
            <w:vAlign w:val="top"/>
          </w:tcPr>
          <w:p>
            <w:pPr>
              <w:spacing w:after="40" w:before="0" w:line="259" w:lineRule="auto"/>
            </w:pPr>
            <w:r>
              <w:rPr>
                <w:rFonts w:ascii="Calibri" w:hAnsi="Calibri"/>
                <w:b/>
                <w:i w:val="0"/>
                <w:color w:val="212121"/>
                <w:sz w:val="19"/>
              </w:rPr>
              <w:t>Rose spots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2-4 mm blanching erythematous maculopapules on chest and abdomen; specific but seen in &lt;25%.</w:t>
            </w:r>
          </w:p>
        </w:tc>
      </w:tr>
      <w:tr>
        <w:trPr>
          <w:cantSplit/>
        </w:trPr>
        <w:tc>
          <w:tcPr>
            <w:tcW w:type="dxa" w:w="3456"/>
            <w:vAlign w:val="top"/>
          </w:tcPr>
          <w:p>
            <w:pPr>
              <w:spacing w:after="40" w:before="0" w:line="259" w:lineRule="auto"/>
            </w:pPr>
            <w:r>
              <w:rPr>
                <w:rFonts w:ascii="Calibri" w:hAnsi="Calibri"/>
                <w:b/>
                <w:i w:val="0"/>
                <w:color w:val="212121"/>
                <w:sz w:val="19"/>
              </w:rPr>
              <w:t>Signs of dehydration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Dry mucosae, tachycardia and reduced skin turgor, especially in children with diarrhoea and poor intake.</w:t>
            </w:r>
          </w:p>
        </w:tc>
      </w:tr>
      <w:tr>
        <w:trPr>
          <w:cantSplit/>
        </w:trPr>
        <w:tc>
          <w:tcPr>
            <w:tcW w:type="dxa" w:w="3456"/>
            <w:vAlign w:val="top"/>
          </w:tcPr>
          <w:p>
            <w:pPr>
              <w:spacing w:after="40" w:before="0" w:line="259" w:lineRule="auto"/>
            </w:pPr>
            <w:r>
              <w:rPr>
                <w:rFonts w:ascii="Calibri" w:hAnsi="Calibri"/>
                <w:b/>
                <w:i w:val="0"/>
                <w:color w:val="212121"/>
                <w:sz w:val="19"/>
              </w:rPr>
              <w:t>Peritoneal signs (guarding, rigidity, rebound)</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Indicate intestinal perforation and generalised peritonitis - a surgical emergency.</w:t>
            </w:r>
          </w:p>
        </w:tc>
      </w:tr>
      <w:tr>
        <w:trPr>
          <w:cantSplit/>
        </w:trPr>
        <w:tc>
          <w:tcPr>
            <w:tcW w:type="dxa" w:w="3456"/>
            <w:vAlign w:val="top"/>
          </w:tcPr>
          <w:p>
            <w:pPr>
              <w:spacing w:after="40" w:before="0" w:line="259" w:lineRule="auto"/>
            </w:pPr>
            <w:r>
              <w:rPr>
                <w:rFonts w:ascii="Calibri" w:hAnsi="Calibri"/>
                <w:b/>
                <w:i w:val="0"/>
                <w:color w:val="212121"/>
                <w:sz w:val="19"/>
              </w:rPr>
              <w:t>Neurological signs (delirium, tremor, meningism)</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Encephalopathy, coarse tremor or meningitis-like signs in the severe typhoid state.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Sustained bacteraemia and systemic toxaemia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and electrolyte imbalance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Typhoid state / encephalopathy (delirium, apathy, altered sensorium)</w:t>
            </w:r>
          </w:p>
        </w:tc>
        <w:tc>
          <w:tcPr>
            <w:tcW w:type="dxa" w:w="2980"/>
            <w:vAlign w:val="top"/>
          </w:tcPr>
          <w:p>
            <w:pPr>
              <w:spacing w:after="40" w:before="0" w:line="259" w:lineRule="auto"/>
            </w:pPr>
            <w:r>
              <w:rPr>
                <w:rFonts w:ascii="Calibri" w:hAnsi="Calibri"/>
                <w:b w:val="0"/>
                <w:i w:val="0"/>
                <w:color w:val="212121"/>
                <w:sz w:val="19"/>
              </w:rPr>
              <w:t>Direct consequences of prolonged bacteraemia and reticuloendothelial infection during the acute illness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Intestinal (terminal-ileum) perforation - occurs in about 1.3% of hospitalised cases, typically in week 2-3</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Gastrointestinal haemorrhage from ulcerated Peyer's patches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Typhoid hepatitis and acalculous cholecystitis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Myocarditis, pneumonia, nephritis and, rarely, meningitis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Relapse of fever after apparent recovery</w:t>
            </w:r>
          </w:p>
        </w:tc>
        <w:tc>
          <w:tcPr>
            <w:tcW w:type="dxa" w:w="2980"/>
            <w:vAlign w:val="top"/>
          </w:tcPr>
          <w:p>
            <w:pPr>
              <w:spacing w:after="40" w:before="0" w:line="259" w:lineRule="auto"/>
            </w:pPr>
            <w:r>
              <w:rPr>
                <w:rFonts w:ascii="Calibri" w:hAnsi="Calibri"/>
                <w:b w:val="0"/>
                <w:i w:val="0"/>
                <w:color w:val="212121"/>
                <w:sz w:val="19"/>
              </w:rPr>
              <w:t>Arise mainly in the second-third week from tissue invasion, ulceration and metastatic seeding if untreated</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biliary carrier state (1-4% of patients) sustaining community transmission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Gallbladder carcinoma in long-term carriers (relative risk ~4.6)</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from perforation, haemorrhage or overwhelming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Post-illness growth faltering and prolonged convalescence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Antimicrobial-resistant (MDR/XDR) infection limiting treatment options</w:t>
            </w:r>
          </w:p>
        </w:tc>
        <w:tc>
          <w:tcPr>
            <w:tcW w:type="dxa" w:w="2980"/>
            <w:vAlign w:val="top"/>
          </w:tcPr>
          <w:p>
            <w:pPr>
              <w:spacing w:after="40" w:before="0" w:line="259" w:lineRule="auto"/>
            </w:pPr>
            <w:r>
              <w:rPr>
                <w:rFonts w:ascii="Calibri" w:hAnsi="Calibri"/>
                <w:b w:val="0"/>
                <w:i w:val="0"/>
                <w:color w:val="212121"/>
                <w:sz w:val="19"/>
              </w:rPr>
              <w:t>Irreversible or long-term outcomes of untreated, recurrent or drug-resistant disease and persistent carriage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Chronic biliary carrier state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1-4% of patients continue to excrete S. Typhi from a gallstone-laden gallbladder for over a year, becoming the key human reservoir.</w:t>
            </w:r>
          </w:p>
          <w:p>
            <w:pPr>
              <w:spacing w:after="40" w:before="0" w:line="259" w:lineRule="auto"/>
            </w:pPr>
            <w:r>
              <w:rPr>
                <w:rFonts w:ascii="Calibri" w:hAnsi="Calibri"/>
                <w:b/>
                <w:i w:val="0"/>
                <w:color w:val="212121"/>
                <w:sz w:val="19"/>
              </w:rPr>
              <w:t>Up to 4%</w:t>
            </w:r>
          </w:p>
        </w:tc>
      </w:tr>
      <w:tr>
        <w:trPr>
          <w:cantSplit/>
        </w:trPr>
        <w:tc>
          <w:tcPr>
            <w:tcW w:type="dxa" w:w="2232"/>
            <w:vAlign w:val="top"/>
          </w:tcPr>
          <w:p>
            <w:pPr>
              <w:spacing w:after="40" w:before="0" w:line="259" w:lineRule="auto"/>
            </w:pPr>
            <w:r>
              <w:rPr>
                <w:rFonts w:ascii="Calibri" w:hAnsi="Calibri"/>
                <w:b/>
                <w:i w:val="0"/>
                <w:color w:val="212121"/>
                <w:sz w:val="19"/>
              </w:rPr>
              <w:t>Cholelithiasis / gallstones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Gallstones provide a biofilm niche that fosters chronic carriage; their presence markedly raises the chance of persistent infection.</w:t>
            </w:r>
          </w:p>
        </w:tc>
      </w:tr>
      <w:tr>
        <w:trPr>
          <w:cantSplit/>
        </w:trPr>
        <w:tc>
          <w:tcPr>
            <w:tcW w:type="dxa" w:w="2232"/>
            <w:vAlign w:val="top"/>
          </w:tcPr>
          <w:p>
            <w:pPr>
              <w:spacing w:after="40" w:before="0" w:line="259" w:lineRule="auto"/>
            </w:pPr>
            <w:r>
              <w:rPr>
                <w:rFonts w:ascii="Calibri" w:hAnsi="Calibri"/>
                <w:b/>
                <w:i w:val="0"/>
                <w:color w:val="212121"/>
                <w:sz w:val="19"/>
              </w:rPr>
              <w:t>Gallbladder carcinoma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Decades of chronic S. Typhi carriage and inflammation predispose to gallbladder cancer (pooled relative risk ~4.6, 95% CI 3.1-6.8).</w:t>
            </w:r>
          </w:p>
        </w:tc>
      </w:tr>
      <w:tr>
        <w:trPr>
          <w:cantSplit/>
        </w:trPr>
        <w:tc>
          <w:tcPr>
            <w:tcW w:type="dxa" w:w="2232"/>
            <w:vAlign w:val="top"/>
          </w:tcPr>
          <w:p>
            <w:pPr>
              <w:spacing w:after="40" w:before="0" w:line="259" w:lineRule="auto"/>
            </w:pPr>
            <w:r>
              <w:rPr>
                <w:rFonts w:ascii="Calibri" w:hAnsi="Calibri"/>
                <w:b/>
                <w:i w:val="0"/>
                <w:color w:val="212121"/>
                <w:sz w:val="19"/>
              </w:rPr>
              <w:t>Intestinal perforation &amp; peritonitis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Ulceration of Peyer's patches perforates the terminal ileum in about 1.3% of hospitalised cases, usually in week 2-3.</w:t>
            </w:r>
          </w:p>
          <w:p>
            <w:pPr>
              <w:spacing w:after="40" w:before="0" w:line="259" w:lineRule="auto"/>
            </w:pPr>
            <w:r>
              <w:rPr>
                <w:rFonts w:ascii="Calibri" w:hAnsi="Calibri"/>
                <w:b/>
                <w:i w:val="0"/>
                <w:color w:val="212121"/>
                <w:sz w:val="19"/>
              </w:rPr>
              <w:t>About 1.3% of hospitalised cases</w:t>
            </w:r>
          </w:p>
        </w:tc>
      </w:tr>
      <w:tr>
        <w:trPr>
          <w:cantSplit/>
        </w:trPr>
        <w:tc>
          <w:tcPr>
            <w:tcW w:type="dxa" w:w="2232"/>
            <w:vAlign w:val="top"/>
          </w:tcPr>
          <w:p>
            <w:pPr>
              <w:spacing w:after="40" w:before="0" w:line="259" w:lineRule="auto"/>
            </w:pPr>
            <w:r>
              <w:rPr>
                <w:rFonts w:ascii="Calibri" w:hAnsi="Calibri"/>
                <w:b/>
                <w:i w:val="0"/>
                <w:color w:val="212121"/>
                <w:sz w:val="19"/>
              </w:rPr>
              <w:t>Antimicrobial-resistant enteric fever (MDR/XDR)</w:t>
            </w:r>
          </w:p>
        </w:tc>
        <w:tc>
          <w:tcPr>
            <w:tcW w:type="dxa" w:w="2520"/>
            <w:vAlign w:val="top"/>
          </w:tcPr>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More than two-thirds of Indian isolates are fluoroquinolone-resistant, and XDR strains are emerging, forcing use of azithromycin, ceftriaxone or carbapenems.</w:t>
            </w:r>
          </w:p>
          <w:p>
            <w:pPr>
              <w:spacing w:after="40" w:before="0" w:line="259" w:lineRule="auto"/>
            </w:pPr>
            <w:r>
              <w:rPr>
                <w:rFonts w:ascii="Calibri" w:hAnsi="Calibri"/>
                <w:b/>
                <w:i w:val="0"/>
                <w:color w:val="212121"/>
                <w:sz w:val="19"/>
              </w:rPr>
              <w:t>Fluoroquinolone resistance &gt;60%</w:t>
            </w:r>
          </w:p>
        </w:tc>
      </w:tr>
      <w:tr>
        <w:trPr>
          <w:cantSplit/>
        </w:trPr>
        <w:tc>
          <w:tcPr>
            <w:tcW w:type="dxa" w:w="2232"/>
            <w:vAlign w:val="top"/>
          </w:tcPr>
          <w:p>
            <w:pPr>
              <w:spacing w:after="40" w:before="0" w:line="259" w:lineRule="auto"/>
            </w:pPr>
            <w:r>
              <w:rPr>
                <w:rFonts w:ascii="Calibri" w:hAnsi="Calibri"/>
                <w:b/>
                <w:i w:val="0"/>
                <w:color w:val="212121"/>
                <w:sz w:val="19"/>
              </w:rPr>
              <w:t>Reduced gastric acidity (H. pylori, PPI/antacid use)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Loss of the gastric-acid barrier lowers the infectious dose, increasing susceptibility to enteric fever.</w:t>
            </w:r>
          </w:p>
        </w:tc>
      </w:tr>
      <w:tr>
        <w:trPr>
          <w:cantSplit/>
        </w:trPr>
        <w:tc>
          <w:tcPr>
            <w:tcW w:type="dxa" w:w="2232"/>
            <w:vAlign w:val="top"/>
          </w:tcPr>
          <w:p>
            <w:pPr>
              <w:spacing w:after="40" w:before="0" w:line="259" w:lineRule="auto"/>
            </w:pPr>
            <w:r>
              <w:rPr>
                <w:rFonts w:ascii="Calibri" w:hAnsi="Calibri"/>
                <w:b/>
                <w:i w:val="0"/>
                <w:color w:val="212121"/>
                <w:sz w:val="19"/>
              </w:rPr>
              <w:t>HIV / immunosuppression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cell-mediated immunity leads to more severe, prolonged and relapsing disease and complicates clearance.</w:t>
            </w:r>
          </w:p>
        </w:tc>
      </w:tr>
      <w:tr>
        <w:trPr>
          <w:cantSplit/>
        </w:trPr>
        <w:tc>
          <w:tcPr>
            <w:tcW w:type="dxa" w:w="2232"/>
            <w:vAlign w:val="top"/>
          </w:tcPr>
          <w:p>
            <w:pPr>
              <w:spacing w:after="40" w:before="0" w:line="259" w:lineRule="auto"/>
            </w:pPr>
            <w:r>
              <w:rPr>
                <w:rFonts w:ascii="Calibri" w:hAnsi="Calibri"/>
                <w:b/>
                <w:i w:val="0"/>
                <w:color w:val="212121"/>
                <w:sz w:val="19"/>
              </w:rPr>
              <w:t>Malnutrition &amp; anaemia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Undernutrition weakens mucosal and cell-mediated immunity and predisposes to severe disease, while the illness worsens nutritional status.</w:t>
            </w:r>
          </w:p>
        </w:tc>
      </w:tr>
      <w:tr>
        <w:trPr>
          <w:cantSplit/>
        </w:trPr>
        <w:tc>
          <w:tcPr>
            <w:tcW w:type="dxa" w:w="2232"/>
            <w:vAlign w:val="top"/>
          </w:tcPr>
          <w:p>
            <w:pPr>
              <w:spacing w:after="40" w:before="0" w:line="259" w:lineRule="auto"/>
            </w:pPr>
            <w:r>
              <w:rPr>
                <w:rFonts w:ascii="Calibri" w:hAnsi="Calibri"/>
                <w:b/>
                <w:i w:val="0"/>
                <w:color w:val="212121"/>
                <w:sz w:val="19"/>
              </w:rPr>
              <w:t>Co-endemic febrile illness (malaria, dengue, leptospirosis)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Overlapping presentation and geography in India can cause diagnostic confusion or co-infection, altering work-up and treatment.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the typhoid conjugate vaccine (Vi-TCV) for children and high-risk urban residents; a single dose showed about 81.6% efficacy against confirmed typhoid.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only safe water - boiled, filtered, chlorinated or reverse-osmosis treated - and store it in a covered narrow-mouthed container.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hands with soap after using the toilet, after changing nappies and before preparing or eating food.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street food, cut fruit, raw salads, ice and unbottled cold drinks, especially during the monsoon.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clean, private toilet and dispose of faeces safely; discourage open defecation in the community.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(prolonged fever, severe abdominal pain, black stools, confusion) and seek prompt medical care with blood culture rather than self-medicating.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slum &amp; low-income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School-age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 to 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 handlers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of a case or carrier</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antibiotic course even after the fever settles to prevent relapse and carriage.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susceptibility-guided treatment, as most Indian strains are fluoroquinolone-resistant and some are MDR/XDR.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follow-up and provide stool cultures where advised to confirm clearance and detect chronic carriage.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 handlers and carers must stay away from food preparation until cleared to protect 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early any severe abdominal pain, distension or bleeding - these may signal perforation or haemorrhage.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confirmed enteric fever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 handlers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carriers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freshly cooked food served piping hot; follow the 'boil it, cook it, peel it or forget it' rule.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Peel fruit yourself and wash vegetables in safe water; avoid pre-cut fruit and roadside salads.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only pasteurised or freshly boiled milk and dairy.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ice and cold beverages from vendors unless made with treated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flies off food, cover cooked dishes, and reheat leftovers thoroughly.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&amp;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street-food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with safe fluids and oral rehydration solution during fever.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small, frequent, soft, easily digestible high-calorie meals to counter anorexia and weight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 bulky high-fibre or gas-forming diet during the second-third week when perforation risk is highest.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and unnecessary hepatotoxic foods/drugs while the liver is inflamed.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enteric fever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poor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Convalescent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during the acute febrile phase; avoid strenuous exertion and heavy lifting.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especially cautious in the second-third week when the bowel is most fragile and perforation can occur.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to normal activity gradually as fever and abdominal symptoms fully resolve.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enteric fever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Convalescent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adequate rest and sleep to support immune recovery during the prolonged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new insomnia, day-night reversal or restlessness, which can be early signs of the typhoid state.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enteric fever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Convalescent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during illness and recovery, as typhoid causes hepatitis and many antibiotics are hepatotoxic.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consume drinks or ice prepared with untreated water, which can themselves transmit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enteric fever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in endemic areas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during the illness to reduce respiratory complications and support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share bidis, cigarettes, hookah mouthpieces or utensils, which can transmit the organism between people.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enteric fever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and orientation for patients who become confused or apathetic during severe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and promptly report delirium or agitation (typhoid encephalopathy/psychosis), which need urgent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the family through the prolonged recovery and any hospitalisation.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severe enteric fever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Hospitalised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re.amsterdamumc.nl/en/publications/burden-of-typhoid-and-paratyphoid-fever-in-india" TargetMode="External"/><Relationship Id="rId10" Type="http://schemas.openxmlformats.org/officeDocument/2006/relationships/hyperlink" Target="https://www.lshtm.ac.uk/newsevents/news/2026/typhoid-fever-still-affects-millions-india-new-study-warns" TargetMode="External"/><Relationship Id="rId11" Type="http://schemas.openxmlformats.org/officeDocument/2006/relationships/hyperlink" Target="https://pmc.ncbi.nlm.nih.gov/articles/PMC8892545/" TargetMode="External"/><Relationship Id="rId12" Type="http://schemas.openxmlformats.org/officeDocument/2006/relationships/hyperlink" Target="https://theindianpractitioner.com/india-recorded-nearly-4-9-million-typhoid-cases-in-2023-study/" TargetMode="External"/><Relationship Id="rId13" Type="http://schemas.openxmlformats.org/officeDocument/2006/relationships/hyperlink" Target="https://www.ncbi.nlm.nih.gov/books/NBK557513/" TargetMode="External"/><Relationship Id="rId14" Type="http://schemas.openxmlformats.org/officeDocument/2006/relationships/hyperlink" Target="https://www.coalitionagainsttyphoid.org/publications/salmonella-enterica-serovar-typhi-and-gallbladder-cancer-a-case-control-study-and-meta-analysis/" TargetMode="External"/><Relationship Id="rId15" Type="http://schemas.openxmlformats.org/officeDocument/2006/relationships/hyperlink" Target="https://www.cidrap.umn.edu/typhoid/typhoid-vaccine-shows-protection-phase-3-t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