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H5N1 Avian Influenza</w:t>
      </w:r>
    </w:p>
    <w:p>
      <w:pPr>
        <w:spacing w:before="0" w:after="160"/>
      </w:pPr>
      <w:r>
        <w:rPr>
          <w:rFonts w:ascii="Calibri" w:hAnsi="Calibri"/>
          <w:b/>
          <w:i w:val="0"/>
          <w:color w:val="212121"/>
          <w:sz w:val="22"/>
        </w:rPr>
        <w:t xml:space="preserve">AKA </w:t>
      </w:r>
      <w:r>
        <w:rPr>
          <w:rFonts w:ascii="Calibri" w:hAnsi="Calibri"/>
          <w:b w:val="0"/>
          <w:i w:val="0"/>
          <w:color w:val="212121"/>
          <w:sz w:val="22"/>
        </w:rPr>
        <w:t>i.e., Bird flu, Avian flu, Highly pathogenic avian influenza (HPAI) A(H5N1), Fowl plague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H5N1 avian influenza (“bird flu”) is a zoonotic respiratory infection caused by highly pathogenic avian influenza (HPAI) virus of the influenza A subtype H5N1, an enveloped, segmented single-stranded RNA orthomyxovirus whose natural reservoir is wild aquatic birds and which is amplified in domestic poultry. Humans are usually infected through close, unprotected contact with infected or dead birds, their secretions or droppings, contaminated environments, or by handling and eating raw/undercooked poultry. Because the virus preferentially binds avian-type (α-2,3-linked sialic acid) receptors deep in the lower respiratory tract, human disease tends to be a severe, rapidly progressive viral pneumonia with acute respiratory distress syndrome and multi-organ failure, carrying a case-fatality of around 50%. Sustained human-to-human transmission has not been established, but the ongoing global spread of clade 2.3.4.4b into mammals makes H5N1 a leading emerging pandemic threat.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Human H5N1 infection is very rare in India but almost uniformly severe: only two laboratory-confirmed human cases have ever been recorded, both fatal—an 11-year-old boy in Haryana in 2021 and a 2-year-old girl in Mangalagiri, Andhra Pradesh in March 2025 (a separate 2024 West Bengal child had the milder H9N2 subtype and recovered). This sits against a large and recurring animal burden: India has reported HPAI poultry outbreaks almost every year since the first at Navapur, Maharashtra in 2006, with roughly 312 outbreaks documented between 2006 and 2024 and more than 9 million birds culled. Outbreaks cluster sharply in winter and early spring—about 33% occur in January alone—and are concentrated in Kerala, Maharashtra, Odisha, West Bengal and, more recently, Andhra Pradesh. Globally, WHO recorded 964 confirmed human A(H5N1) cases with 466 deaths (case-fatality ≈ 48%) between 2003 and January 2025, the burden falling most heavily on Indonesia, Vietnam and Cambodia.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H5N1 is a notifiable infection diagnosed by combining a compatible acute illness and a bird/poultry exposure history with laboratory confirmation; a high index of suspicion is essential in any patient with severe or rapidly progressive respiratory illness and recent contact with sick or dead birds. Confirmation in India is undertaken at the ICMR-National Institute of Virology (NIV), Pune and the VRDL network, and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Real-time reverse-transcription PCR (rRT-PCR) positive for influenza A with H5 (and N1) subtype — the reference test; a respiratory specimen positive for influenza A that cannot be subtyped as seasonal human H1 or H3 should be treated as presumptive novel/avian influenza and referred urgently for H5 subtyping;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Preferred specimens — lower respiratory tract samples (endotracheal aspirate, bronchoalveolar lavage) give the highest yield in pneumonia, supplemented by nasopharyngeal and throat swabs, and a conjunctival swab when there is conjunctivitis;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Viral isolation of influenza A(H5N1) in culture — performed only in designated BSL-3 reference laboratories;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Whole-genome sequencing / clade characterisation — to identify the clade (e.g., 2.3.2.1a in South Asia, 2.3.4.4b in the current global panzootic) and screen for mammalian-adaptation and antiviral-resistance markers;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four-fold or greater rise in H5-specific neutralising antibody between paired acute and convalescent sera — for retrospective/epidemiological confirmation;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epidemiological criteria — onset within about 7 days of contact with sick/dead poultry or wild birds, visiting a live-bird market, culling, or consuming raw poultry/eggs in an area with known avian influenza activity.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Avian influenza viruses are classified by their surface haemagglutinin (H) and neuraminidase (N) proteins, by pathogenicity in poultry, and—for H5—by haemagglutinin clade; the clinical illness is further graded by severity:</w:t>
      </w:r>
    </w:p>
    <w:p>
      <w:pPr>
        <w:spacing w:before="0" w:after="80"/>
      </w:pPr>
      <w:r>
        <w:rPr>
          <w:rFonts w:ascii="Calibri" w:hAnsi="Calibri"/>
          <w:b w:val="0"/>
          <w:i w:val="0"/>
          <w:color w:val="212121"/>
          <w:sz w:val="21"/>
        </w:rPr>
        <w:t>(1) Highly pathogenic vs low-pathogenic avian influenza (HPAI vs LPAI) — H5N1 is an HPAI virus, defined by a polybasic cleavage site in the haemagglutinin that allows systemic spread and mass mortality in poultry, in contrast to LPAI viruses (e.g., H9N2) that cause mild avian disease and usually mild human illness;</w:t>
      </w:r>
    </w:p>
    <w:p>
      <w:pPr>
        <w:spacing w:before="0" w:after="80"/>
      </w:pPr>
      <w:r>
        <w:rPr>
          <w:rFonts w:ascii="Calibri" w:hAnsi="Calibri"/>
          <w:b w:val="0"/>
          <w:i w:val="0"/>
          <w:color w:val="212121"/>
          <w:sz w:val="21"/>
        </w:rPr>
        <w:t>(2) Clade 2.3.2.1a — an older South-Asian H5N1 lineage that circulates in poultry across India and Bangladesh and was implicated in India's human cases;</w:t>
      </w:r>
    </w:p>
    <w:p>
      <w:pPr>
        <w:spacing w:before="0" w:after="80"/>
      </w:pPr>
      <w:r>
        <w:rPr>
          <w:rFonts w:ascii="Calibri" w:hAnsi="Calibri"/>
          <w:b w:val="0"/>
          <w:i w:val="0"/>
          <w:color w:val="212121"/>
          <w:sz w:val="21"/>
        </w:rPr>
        <w:t>(3) Clade 2.3.4.4b — the lineage driving the current global panzootic: it emerged from H5N8 reassortment, spread since 2020 across Europe, Asia, Africa, the Americas and even Antarctica, and has crossed into many mammals, including a large 2024 outbreak in US dairy cattle with cow-to-human spillover—the basis for its designation as an emerging pandemic threat;</w:t>
      </w:r>
    </w:p>
    <w:p>
      <w:pPr>
        <w:spacing w:before="0" w:after="80"/>
      </w:pPr>
      <w:r>
        <w:rPr>
          <w:rFonts w:ascii="Calibri" w:hAnsi="Calibri"/>
          <w:b w:val="0"/>
          <w:i w:val="0"/>
          <w:color w:val="212121"/>
          <w:sz w:val="21"/>
        </w:rPr>
        <w:t>(4) Clinical severity spectrum — ranging from mild conjunctivitis or an influenza-like upper-respiratory illness (more typical of recent clade 2.3.4.4b human cases) through to fulminant primary viral pneumonia, ARDS and multi-organ failure (the classic Asian H5N1 presentation);</w:t>
      </w:r>
    </w:p>
    <w:p>
      <w:pPr>
        <w:spacing w:before="0" w:after="80"/>
      </w:pPr>
      <w:r>
        <w:rPr>
          <w:rFonts w:ascii="Calibri" w:hAnsi="Calibri"/>
          <w:b w:val="0"/>
          <w:i w:val="0"/>
          <w:color w:val="212121"/>
          <w:sz w:val="21"/>
        </w:rPr>
        <w:t>(5) Related zoonotic avian subtypes — other avian influenza A viruses that infect humans include H5N6, H7N9, H9N2 and H10N8, considered in the differential of a patient with bird exposure and acute respiratory illness.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Causative agent: highly pathogenic influenza A(H5N1) virus — an enveloped, segmented, single-stranded RNA orthomyxovirus whose polybasic haemagglutinin cleavage site confers high virulence and systemic spread.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Reservoir and amplifying hosts: wild aquatic birds (ducks, geese, shorebirds) are the natural reservoir, while domestic chickens, ducks and turkeys amplify the virus and bring it into contact with people.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Route of entry: inhalation of, or mucosal (eye/nose/mouth) contact with, virus in respiratory secretions, saliva and faeces of infected birds, contaminated surfaces, water or dust, and preparation or consumption of raw/undercooked poultry, eggs or (for clade 2.3.4.4b) unpasteurised milk.</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Receptor tropism: H5N1 binds avian-type α-2,3-linked sialic acid receptors concentrated in the human lower respiratory tract, explaining the tendency to severe pneumonia and the current inefficiency of person-to-person spread.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Occupational and behavioural exposure: poultry farming, culling and disposal of infected flocks, live-bird-market work, backyard poultry keeping, slaughtering and defeathering sick birds, and veterinary/wildlife contact.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immune response: a dysregulated, exaggerated pro-inflammatory cytokine response (“cytokine storm”) with lymphopenia drives the diffuse alveolar damage and multi-organ injury of severe disease.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Viral evolution: antigenic shift through reassortment with seasonal or swine influenza and acquisition of mammalian-adaptive mutations (e.g., PB2 E627K) could yield a strain capable of efficient human transmission—the core pandemic concern.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and young adults</w:t>
            </w:r>
          </w:p>
        </w:tc>
        <w:tc>
          <w:tcPr>
            <w:tcW w:type="dxa" w:w="4276"/>
            <w:vAlign w:val="top"/>
          </w:tcPr>
          <w:p>
            <w:pPr>
              <w:spacing w:after="60" w:line="259" w:lineRule="auto"/>
            </w:pPr>
            <w:r>
              <w:rPr>
                <w:rFonts w:ascii="Calibri" w:hAnsi="Calibri"/>
                <w:b w:val="0"/>
                <w:i w:val="0"/>
                <w:color w:val="212121"/>
                <w:sz w:val="19"/>
              </w:rPr>
              <w:t>Historically the great majority of human H5N1 cases have clustered in children and young adults, partly reflecting more frequent close contact with backyard poultry and sick birds and possibly age-related differences in immune response. Severe primary viral pneumonia can develop within days.</w:t>
            </w:r>
          </w:p>
          <w:p>
            <w:pPr>
              <w:spacing w:after="40" w:before="60" w:line="259" w:lineRule="auto"/>
            </w:pPr>
            <w:r>
              <w:rPr>
                <w:rFonts w:ascii="Calibri" w:hAnsi="Calibri"/>
                <w:b w:val="0"/>
                <w:i w:val="0"/>
                <w:color w:val="212121"/>
                <w:sz w:val="19"/>
              </w:rPr>
              <w:t>Across confirmed H5N1 cases the median age is about 18 years, with 29% aged 10–19, 26% aged 0–9 and 23% aged 20–29—a skew toward the young that holds across sex, region and outcome.</w:t>
            </w:r>
          </w:p>
          <w:p>
            <w:pPr>
              <w:spacing w:after="40" w:line="252" w:lineRule="auto"/>
            </w:pPr>
            <w:hyperlink r:id="rId9">
              <w:r>
                <w:rPr>
                  <w:rFonts w:ascii="Calibri" w:hAnsi="Calibri" w:cs="Calibri"/>
                  <w:sz w:val="18"/>
                  <w:color w:val="1155CC"/>
                  <w:u w:val="single"/>
                </w:rPr>
                <w:t xml:space="preserve">wwwnc.cdc.gov/eid — H5N1 age distribution in humans</w:t>
              </w:r>
            </w:hyperlink>
          </w:p>
          <w:p>
            <w:pPr>
              <w:spacing w:before="60" w:after="40"/>
            </w:pPr>
            <w:r>
              <w:rPr>
                <w:rFonts w:ascii="Calibri" w:hAnsi="Calibri"/>
                <w:b w:val="0"/>
                <w:i w:val="0"/>
                <w:color w:val="5A5A5A"/>
                <w:sz w:val="18"/>
              </w:rPr>
              <w:t>#H5N1  #birdflu  #children  #youngadults  #zoonosis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Young children under 5 years</w:t>
            </w:r>
          </w:p>
        </w:tc>
        <w:tc>
          <w:tcPr>
            <w:tcW w:type="dxa" w:w="4276"/>
            <w:vAlign w:val="top"/>
          </w:tcPr>
          <w:p>
            <w:pPr>
              <w:spacing w:after="60" w:line="259" w:lineRule="auto"/>
            </w:pPr>
            <w:r>
              <w:rPr>
                <w:rFonts w:ascii="Calibri" w:hAnsi="Calibri"/>
                <w:b w:val="0"/>
                <w:i w:val="0"/>
                <w:color w:val="212121"/>
                <w:sz w:val="19"/>
              </w:rPr>
              <w:t>Very young children are especially vulnerable because of intense hand-to-mouth behaviour, close contact with household poultry, and limited ability to avoid exposure; both of India's human cases were young.</w:t>
            </w:r>
          </w:p>
          <w:p>
            <w:pPr>
              <w:spacing w:after="40" w:before="60" w:line="259" w:lineRule="auto"/>
            </w:pPr>
            <w:r>
              <w:rPr>
                <w:rFonts w:ascii="Calibri" w:hAnsi="Calibri"/>
                <w:b w:val="0"/>
                <w:i w:val="0"/>
                <w:color w:val="212121"/>
                <w:sz w:val="19"/>
              </w:rPr>
              <w:t>India's only two human H5N1 cases were an 11-year-old boy (Haryana, 2021) and a 2-year-old girl (Andhra Pradesh, March 2025), both of whom died.</w:t>
            </w:r>
          </w:p>
          <w:p>
            <w:pPr>
              <w:spacing w:after="40" w:line="252" w:lineRule="auto"/>
            </w:pPr>
            <w:hyperlink r:id="rId10">
              <w:r>
                <w:rPr>
                  <w:rFonts w:ascii="Calibri" w:hAnsi="Calibri" w:cs="Calibri"/>
                  <w:sz w:val="18"/>
                  <w:color w:val="1155CC"/>
                  <w:u w:val="single"/>
                </w:rPr>
                <w:t xml:space="preserve">cidrap.umn.edu — fatal H5N1 case, Andhra Pradesh</w:t>
              </w:r>
            </w:hyperlink>
          </w:p>
          <w:p>
            <w:pPr>
              <w:spacing w:before="60" w:after="40"/>
            </w:pPr>
            <w:r>
              <w:rPr>
                <w:rFonts w:ascii="Calibri" w:hAnsi="Calibri"/>
                <w:b w:val="0"/>
                <w:i w:val="0"/>
                <w:color w:val="5A5A5A"/>
                <w:sz w:val="18"/>
              </w:rPr>
              <w:t>#underfive  #paediatric  #India  #fatal  #handtomouth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Men in poultry/animal trades</w:t>
            </w:r>
          </w:p>
        </w:tc>
        <w:tc>
          <w:tcPr>
            <w:tcW w:type="dxa" w:w="4276"/>
            <w:vAlign w:val="top"/>
          </w:tcPr>
          <w:p>
            <w:pPr>
              <w:spacing w:after="60" w:line="259" w:lineRule="auto"/>
            </w:pPr>
            <w:r>
              <w:rPr>
                <w:rFonts w:ascii="Calibri" w:hAnsi="Calibri"/>
                <w:b w:val="0"/>
                <w:i w:val="0"/>
                <w:color w:val="212121"/>
                <w:sz w:val="19"/>
              </w:rPr>
              <w:t>While the overall age skew of H5N1 transcends sex, occupational exposure is heavily male-dominated in India, so working-age men predominate among those with sustained high-risk poultry, slaughter and live-bird-market contact.</w:t>
            </w:r>
          </w:p>
          <w:p>
            <w:pPr>
              <w:spacing w:after="40" w:before="60" w:line="259" w:lineRule="auto"/>
            </w:pPr>
            <w:r>
              <w:rPr>
                <w:rFonts w:ascii="Calibri" w:hAnsi="Calibri"/>
                <w:b w:val="0"/>
                <w:i w:val="0"/>
                <w:color w:val="212121"/>
                <w:sz w:val="19"/>
              </w:rPr>
              <w:t>India's 2021 Haryana case lived with a family member who ran a butchery, illustrating how animal-trade households concentrate exposure.</w:t>
            </w:r>
          </w:p>
          <w:p>
            <w:pPr>
              <w:spacing w:after="40" w:line="252" w:lineRule="auto"/>
            </w:pPr>
            <w:hyperlink r:id="rId11">
              <w:r>
                <w:rPr>
                  <w:rFonts w:ascii="Calibri" w:hAnsi="Calibri" w:cs="Calibri"/>
                  <w:sz w:val="18"/>
                  <w:color w:val="1155CC"/>
                  <w:u w:val="single"/>
                </w:rPr>
                <w:t xml:space="preserve">who.int — human infection with avian influenza A(H5N1), India</w:t>
              </w:r>
            </w:hyperlink>
          </w:p>
          <w:p>
            <w:pPr>
              <w:spacing w:before="60" w:after="40"/>
            </w:pPr>
            <w:r>
              <w:rPr>
                <w:rFonts w:ascii="Calibri" w:hAnsi="Calibri"/>
                <w:b w:val="0"/>
                <w:i w:val="0"/>
                <w:color w:val="5A5A5A"/>
                <w:sz w:val="18"/>
              </w:rPr>
              <w:t>#male  #occupational  #butchery  #poultrytrade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Rural and low-income backyard-poultry households</w:t>
            </w:r>
          </w:p>
        </w:tc>
        <w:tc>
          <w:tcPr>
            <w:tcW w:type="dxa" w:w="4276"/>
            <w:vAlign w:val="top"/>
          </w:tcPr>
          <w:p>
            <w:pPr>
              <w:spacing w:after="60" w:line="259" w:lineRule="auto"/>
            </w:pPr>
            <w:r>
              <w:rPr>
                <w:rFonts w:ascii="Calibri" w:hAnsi="Calibri"/>
                <w:b w:val="0"/>
                <w:i w:val="0"/>
                <w:color w:val="212121"/>
                <w:sz w:val="19"/>
              </w:rPr>
              <w:t>Free-ranging backyard flocks kept in and around the home for food and income create constant, unprotected human-poultry contact, and sick or dying birds are often handled, slaughtered or eaten rather than reported—maximising spillover risk in poorer rural communities.</w:t>
            </w:r>
          </w:p>
          <w:p>
            <w:pPr>
              <w:spacing w:after="40" w:before="60" w:line="259" w:lineRule="auto"/>
            </w:pPr>
            <w:r>
              <w:rPr>
                <w:rFonts w:ascii="Calibri" w:hAnsi="Calibri"/>
                <w:b w:val="0"/>
                <w:i w:val="0"/>
                <w:color w:val="212121"/>
                <w:sz w:val="19"/>
              </w:rPr>
              <w:t>India has a very large backyard poultry sector alongside commercial farms, and is the world's third largest egg producer—a scale that sustains extensive human-poultry contact.</w:t>
            </w:r>
          </w:p>
          <w:p>
            <w:pPr>
              <w:spacing w:after="40" w:line="252" w:lineRule="auto"/>
            </w:pPr>
            <w:hyperlink r:id="rId12">
              <w:r>
                <w:rPr>
                  <w:rFonts w:ascii="Calibri" w:hAnsi="Calibri" w:cs="Calibri"/>
                  <w:sz w:val="18"/>
                  <w:color w:val="1155CC"/>
                  <w:u w:val="single"/>
                </w:rPr>
                <w:t xml:space="preserve">gavi.org — how likely is a bird flu pandemic in India?</w:t>
              </w:r>
            </w:hyperlink>
          </w:p>
          <w:p>
            <w:pPr>
              <w:spacing w:before="60" w:after="40"/>
            </w:pPr>
            <w:r>
              <w:rPr>
                <w:rFonts w:ascii="Calibri" w:hAnsi="Calibri"/>
                <w:b w:val="0"/>
                <w:i w:val="0"/>
                <w:color w:val="5A5A5A"/>
                <w:sz w:val="18"/>
              </w:rPr>
              <w:t>#backyardpoultry  #rural  #poverty  #biosecurity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Kerala, Maharashtra, Odisha, West Bengal &amp; Andhra Pradesh</w:t>
            </w:r>
          </w:p>
        </w:tc>
        <w:tc>
          <w:tcPr>
            <w:tcW w:type="dxa" w:w="4276"/>
            <w:vAlign w:val="top"/>
          </w:tcPr>
          <w:p>
            <w:pPr>
              <w:spacing w:after="60" w:line="259" w:lineRule="auto"/>
            </w:pPr>
            <w:r>
              <w:rPr>
                <w:rFonts w:ascii="Calibri" w:hAnsi="Calibri"/>
                <w:b w:val="0"/>
                <w:i w:val="0"/>
                <w:color w:val="212121"/>
                <w:sz w:val="19"/>
              </w:rPr>
              <w:t>A handful of states bear most of India's HPAI activity because of dense poultry populations, duck farming, wetlands and repeated introductions, so people living near recurrent poultry outbreaks face the greatest exposure.</w:t>
            </w:r>
          </w:p>
          <w:p>
            <w:pPr>
              <w:spacing w:after="40" w:before="60" w:line="259" w:lineRule="auto"/>
            </w:pPr>
            <w:r>
              <w:rPr>
                <w:rFonts w:ascii="Calibri" w:hAnsi="Calibri"/>
                <w:b w:val="0"/>
                <w:i w:val="0"/>
                <w:color w:val="212121"/>
                <w:sz w:val="19"/>
              </w:rPr>
              <w:t>Of about 312 HPAI outbreaks in India during 2006–2024, Kerala recorded 51 (39 in Alappuzha alone) and Maharashtra 49 (26 in Jalgaon), with Odisha and West Bengal also heavily affected.</w:t>
            </w:r>
          </w:p>
          <w:p>
            <w:pPr>
              <w:spacing w:after="40" w:line="252" w:lineRule="auto"/>
            </w:pPr>
            <w:hyperlink r:id="rId13">
              <w:r>
                <w:rPr>
                  <w:rFonts w:ascii="Calibri" w:hAnsi="Calibri" w:cs="Calibri"/>
                  <w:sz w:val="18"/>
                  <w:color w:val="1155CC"/>
                  <w:u w:val="single"/>
                </w:rPr>
                <w:t xml:space="preserve">nature.com — spatiotemporal dynamics of HPAI H5N1 outbreaks in India</w:t>
              </w:r>
            </w:hyperlink>
          </w:p>
          <w:p>
            <w:pPr>
              <w:spacing w:before="60" w:after="40"/>
            </w:pPr>
            <w:r>
              <w:rPr>
                <w:rFonts w:ascii="Calibri" w:hAnsi="Calibri"/>
                <w:b w:val="0"/>
                <w:i w:val="0"/>
                <w:color w:val="5A5A5A"/>
                <w:sz w:val="18"/>
              </w:rPr>
              <w:t>#Kerala  #Maharashtra  #Odisha  #WestBengal  #outbreakstates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Migratory flyways &amp; wetlands</w:t>
            </w:r>
          </w:p>
        </w:tc>
        <w:tc>
          <w:tcPr>
            <w:tcW w:type="dxa" w:w="2160"/>
            <w:vAlign w:val="top"/>
          </w:tcPr>
          <w:p>
            <w:pPr>
              <w:spacing w:after="40" w:before="0" w:line="259" w:lineRule="auto"/>
            </w:pPr>
            <w:r>
              <w:rPr>
                <w:rFonts w:ascii="Calibri" w:hAnsi="Calibri"/>
                <w:b w:val="0"/>
                <w:i w:val="0"/>
                <w:color w:val="212121"/>
                <w:sz w:val="19"/>
              </w:rPr>
              <w:t>Communities near wetlands on the Central Asian flyway</w:t>
            </w:r>
          </w:p>
        </w:tc>
        <w:tc>
          <w:tcPr>
            <w:tcW w:type="dxa" w:w="4276"/>
            <w:vAlign w:val="top"/>
          </w:tcPr>
          <w:p>
            <w:pPr>
              <w:spacing w:after="60" w:line="259" w:lineRule="auto"/>
            </w:pPr>
            <w:r>
              <w:rPr>
                <w:rFonts w:ascii="Calibri" w:hAnsi="Calibri"/>
                <w:b w:val="0"/>
                <w:i w:val="0"/>
                <w:color w:val="212121"/>
                <w:sz w:val="19"/>
              </w:rPr>
              <w:t>Migratory waterfowl travelling along the Central Asian flyway seed the virus into Indian wetlands and duck-farming belts each winter, creating a wild-bird–poultry interface that repeatedly reintroduces H5N1 and exposes nearby residents and farm workers.</w:t>
            </w:r>
          </w:p>
          <w:p>
            <w:pPr>
              <w:spacing w:after="40" w:before="60" w:line="259" w:lineRule="auto"/>
            </w:pPr>
            <w:r>
              <w:rPr>
                <w:rFonts w:ascii="Calibri" w:hAnsi="Calibri"/>
                <w:b w:val="0"/>
                <w:i w:val="0"/>
                <w:color w:val="212121"/>
                <w:sz w:val="19"/>
              </w:rPr>
              <w:t>Indian HPAI outbreaks peak sharply in winter and early spring—about 33% in January, 17% in March and 14% in December—mirroring the arrival of migratory birds, and fall below 1% during the monsoon.</w:t>
            </w:r>
          </w:p>
          <w:p>
            <w:pPr>
              <w:spacing w:after="40" w:line="252" w:lineRule="auto"/>
            </w:pPr>
            <w:hyperlink r:id="rId13">
              <w:r>
                <w:rPr>
                  <w:rFonts w:ascii="Calibri" w:hAnsi="Calibri" w:cs="Calibri"/>
                  <w:sz w:val="18"/>
                  <w:color w:val="1155CC"/>
                  <w:u w:val="single"/>
                </w:rPr>
                <w:t xml:space="preserve">nature.com — seasonality of HPAI H5N1 outbreaks in India</w:t>
              </w:r>
            </w:hyperlink>
          </w:p>
          <w:p>
            <w:pPr>
              <w:spacing w:before="60" w:after="40"/>
            </w:pPr>
            <w:r>
              <w:rPr>
                <w:rFonts w:ascii="Calibri" w:hAnsi="Calibri"/>
                <w:b w:val="0"/>
                <w:i w:val="0"/>
                <w:color w:val="5A5A5A"/>
                <w:sz w:val="18"/>
              </w:rPr>
              <w:t>#migratorybirds  #flyway  #wetlands  #winter  #wildbirdinterface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 — poultry &amp; culling work</w:t>
            </w:r>
          </w:p>
        </w:tc>
        <w:tc>
          <w:tcPr>
            <w:tcW w:type="dxa" w:w="2160"/>
            <w:vAlign w:val="top"/>
          </w:tcPr>
          <w:p>
            <w:pPr>
              <w:spacing w:after="40" w:before="0" w:line="259" w:lineRule="auto"/>
            </w:pPr>
            <w:r>
              <w:rPr>
                <w:rFonts w:ascii="Calibri" w:hAnsi="Calibri"/>
                <w:b w:val="0"/>
                <w:i w:val="0"/>
                <w:color w:val="212121"/>
                <w:sz w:val="19"/>
              </w:rPr>
              <w:t>Poultry-farm workers, cullers, live-bird-market &amp; veterinary staff</w:t>
            </w:r>
          </w:p>
        </w:tc>
        <w:tc>
          <w:tcPr>
            <w:tcW w:type="dxa" w:w="4276"/>
            <w:vAlign w:val="top"/>
          </w:tcPr>
          <w:p>
            <w:pPr>
              <w:spacing w:after="60" w:line="259" w:lineRule="auto"/>
            </w:pPr>
            <w:r>
              <w:rPr>
                <w:rFonts w:ascii="Calibri" w:hAnsi="Calibri"/>
                <w:b w:val="0"/>
                <w:i w:val="0"/>
                <w:color w:val="212121"/>
                <w:sz w:val="19"/>
              </w:rPr>
              <w:t>Direct, often prolonged and unprotected contact with infected birds, their tissues, blood, faeces and aerosols during farming, mass culling and market handling gives these workers by far the highest risk of acquiring H5N1.</w:t>
            </w:r>
          </w:p>
          <w:p>
            <w:pPr>
              <w:spacing w:after="40" w:before="60" w:line="259" w:lineRule="auto"/>
            </w:pPr>
            <w:r>
              <w:rPr>
                <w:rFonts w:ascii="Calibri" w:hAnsi="Calibri"/>
                <w:b w:val="0"/>
                <w:i w:val="0"/>
                <w:color w:val="212121"/>
                <w:sz w:val="19"/>
              </w:rPr>
              <w:t>Poultry and live-bird-market workers, cullers and veterinarians are consistently identified by WHO and ECDC as the principal at-risk group; PPE and post-exposure monitoring are recommended for them.</w:t>
            </w:r>
          </w:p>
          <w:p>
            <w:pPr>
              <w:spacing w:after="40" w:line="252" w:lineRule="auto"/>
            </w:pPr>
            <w:hyperlink r:id="rId14">
              <w:r>
                <w:rPr>
                  <w:rFonts w:ascii="Calibri" w:hAnsi="Calibri" w:cs="Calibri"/>
                  <w:sz w:val="18"/>
                  <w:color w:val="1155CC"/>
                  <w:u w:val="single"/>
                </w:rPr>
                <w:t xml:space="preserve">ecdc.europa.eu — factsheet on A(H5N1)</w:t>
              </w:r>
            </w:hyperlink>
          </w:p>
          <w:p>
            <w:pPr>
              <w:spacing w:before="60" w:after="40"/>
            </w:pPr>
            <w:r>
              <w:rPr>
                <w:rFonts w:ascii="Calibri" w:hAnsi="Calibri"/>
                <w:b w:val="0"/>
                <w:i w:val="0"/>
                <w:color w:val="5A5A5A"/>
                <w:sz w:val="18"/>
              </w:rPr>
              <w:t>#poultryworkers  #culling  #livebirdmarket  #PPE  #occupationalrisk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 — slaughter &amp; butchery</w:t>
            </w:r>
          </w:p>
        </w:tc>
        <w:tc>
          <w:tcPr>
            <w:tcW w:type="dxa" w:w="2160"/>
            <w:vAlign w:val="top"/>
          </w:tcPr>
          <w:p>
            <w:pPr>
              <w:spacing w:after="40" w:before="0" w:line="259" w:lineRule="auto"/>
            </w:pPr>
            <w:r>
              <w:rPr>
                <w:rFonts w:ascii="Calibri" w:hAnsi="Calibri"/>
                <w:b w:val="0"/>
                <w:i w:val="0"/>
                <w:color w:val="212121"/>
                <w:sz w:val="19"/>
              </w:rPr>
              <w:t>Butchers and people who slaughter/defeather sick birds</w:t>
            </w:r>
          </w:p>
        </w:tc>
        <w:tc>
          <w:tcPr>
            <w:tcW w:type="dxa" w:w="4276"/>
            <w:vAlign w:val="top"/>
          </w:tcPr>
          <w:p>
            <w:pPr>
              <w:spacing w:after="60" w:line="259" w:lineRule="auto"/>
            </w:pPr>
            <w:r>
              <w:rPr>
                <w:rFonts w:ascii="Calibri" w:hAnsi="Calibri"/>
                <w:b w:val="0"/>
                <w:i w:val="0"/>
                <w:color w:val="212121"/>
                <w:sz w:val="19"/>
              </w:rPr>
              <w:t>Home or market slaughter, plucking and defeathering of visibly sick or dead birds generates infectious aerosols and heavy hand contamination, a classic route of human H5N1 infection.</w:t>
            </w:r>
          </w:p>
          <w:p>
            <w:pPr>
              <w:spacing w:after="40" w:before="60" w:line="259" w:lineRule="auto"/>
            </w:pPr>
            <w:r>
              <w:rPr>
                <w:rFonts w:ascii="Calibri" w:hAnsi="Calibri"/>
                <w:b w:val="0"/>
                <w:i w:val="0"/>
                <w:color w:val="212121"/>
                <w:sz w:val="19"/>
              </w:rPr>
              <w:t>India's 2021 fatal case was linked to a household butchery, and slaughtering or defeathering diseased poultry is a well-recognised exposure for human H5N1.</w:t>
            </w:r>
          </w:p>
          <w:p>
            <w:pPr>
              <w:spacing w:after="40" w:line="252" w:lineRule="auto"/>
            </w:pPr>
            <w:hyperlink r:id="rId11">
              <w:r>
                <w:rPr>
                  <w:rFonts w:ascii="Calibri" w:hAnsi="Calibri" w:cs="Calibri"/>
                  <w:sz w:val="18"/>
                  <w:color w:val="1155CC"/>
                  <w:u w:val="single"/>
                </w:rPr>
                <w:t xml:space="preserve">who.int — human infection with avian influenza A(H5N1), India</w:t>
              </w:r>
            </w:hyperlink>
          </w:p>
          <w:p>
            <w:pPr>
              <w:spacing w:before="60" w:after="40"/>
            </w:pPr>
            <w:r>
              <w:rPr>
                <w:rFonts w:ascii="Calibri" w:hAnsi="Calibri"/>
                <w:b w:val="0"/>
                <w:i w:val="0"/>
                <w:color w:val="5A5A5A"/>
                <w:sz w:val="18"/>
              </w:rPr>
              <w:t>#butchery  #slaughter  #defeathering  #aerosol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Behaviour — handling sick/dead birds</w:t>
            </w:r>
          </w:p>
        </w:tc>
        <w:tc>
          <w:tcPr>
            <w:tcW w:type="dxa" w:w="2160"/>
            <w:vAlign w:val="top"/>
          </w:tcPr>
          <w:p>
            <w:pPr>
              <w:spacing w:after="40" w:before="0" w:line="259" w:lineRule="auto"/>
            </w:pPr>
            <w:r>
              <w:rPr>
                <w:rFonts w:ascii="Calibri" w:hAnsi="Calibri"/>
                <w:b w:val="0"/>
                <w:i w:val="0"/>
                <w:color w:val="212121"/>
                <w:sz w:val="19"/>
              </w:rPr>
              <w:t>Backyard keepers who touch or dispose of dying birds without protection</w:t>
            </w:r>
          </w:p>
        </w:tc>
        <w:tc>
          <w:tcPr>
            <w:tcW w:type="dxa" w:w="4276"/>
            <w:vAlign w:val="top"/>
          </w:tcPr>
          <w:p>
            <w:pPr>
              <w:spacing w:after="60" w:line="259" w:lineRule="auto"/>
            </w:pPr>
            <w:r>
              <w:rPr>
                <w:rFonts w:ascii="Calibri" w:hAnsi="Calibri"/>
                <w:b w:val="0"/>
                <w:i w:val="0"/>
                <w:color w:val="212121"/>
                <w:sz w:val="19"/>
              </w:rPr>
              <w:t>Picking up, nursing, moving or burying sick and dead birds barehanded—common when a backyard flock starts dying—brings hands, eyes and airway into direct contact with high viral loads.</w:t>
            </w:r>
          </w:p>
          <w:p>
            <w:pPr>
              <w:spacing w:after="40" w:before="60" w:line="259" w:lineRule="auto"/>
            </w:pPr>
            <w:r>
              <w:rPr>
                <w:rFonts w:ascii="Calibri" w:hAnsi="Calibri"/>
                <w:b w:val="0"/>
                <w:i w:val="0"/>
                <w:color w:val="212121"/>
                <w:sz w:val="19"/>
              </w:rPr>
              <w:t>H5N1 is transmitted to humans mainly through direct contact with infected birds' bodily fluids or contaminated environments; no sustained human-to-human transmission has been identified.</w:t>
            </w:r>
          </w:p>
          <w:p>
            <w:pPr>
              <w:spacing w:after="40" w:line="252" w:lineRule="auto"/>
            </w:pPr>
            <w:hyperlink r:id="rId14">
              <w:r>
                <w:rPr>
                  <w:rFonts w:ascii="Calibri" w:hAnsi="Calibri" w:cs="Calibri"/>
                  <w:sz w:val="18"/>
                  <w:color w:val="1155CC"/>
                  <w:u w:val="single"/>
                </w:rPr>
                <w:t xml:space="preserve">ecdc.europa.eu — factsheet on A(H5N1)</w:t>
              </w:r>
            </w:hyperlink>
          </w:p>
          <w:p>
            <w:pPr>
              <w:spacing w:before="60" w:after="40"/>
            </w:pPr>
            <w:r>
              <w:rPr>
                <w:rFonts w:ascii="Calibri" w:hAnsi="Calibri"/>
                <w:b w:val="0"/>
                <w:i w:val="0"/>
                <w:color w:val="5A5A5A"/>
                <w:sz w:val="18"/>
              </w:rPr>
              <w:t>#deadbirds  #barehanded  #directcontact  #backyardflock</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Raw/undercooked poultry &amp; eggs</w:t>
            </w:r>
          </w:p>
        </w:tc>
        <w:tc>
          <w:tcPr>
            <w:tcW w:type="dxa" w:w="2160"/>
            <w:vAlign w:val="top"/>
          </w:tcPr>
          <w:p>
            <w:pPr>
              <w:spacing w:after="40" w:before="0" w:line="259" w:lineRule="auto"/>
            </w:pPr>
            <w:r>
              <w:rPr>
                <w:rFonts w:ascii="Calibri" w:hAnsi="Calibri"/>
                <w:b w:val="0"/>
                <w:i w:val="0"/>
                <w:color w:val="212121"/>
                <w:sz w:val="19"/>
              </w:rPr>
              <w:t>People eating raw or undercooked chicken, blood or eggs</w:t>
            </w:r>
          </w:p>
        </w:tc>
        <w:tc>
          <w:tcPr>
            <w:tcW w:type="dxa" w:w="4276"/>
            <w:vAlign w:val="top"/>
          </w:tcPr>
          <w:p>
            <w:pPr>
              <w:spacing w:after="60" w:line="259" w:lineRule="auto"/>
            </w:pPr>
            <w:r>
              <w:rPr>
                <w:rFonts w:ascii="Calibri" w:hAnsi="Calibri"/>
                <w:b w:val="0"/>
                <w:i w:val="0"/>
                <w:color w:val="212121"/>
                <w:sz w:val="19"/>
              </w:rPr>
              <w:t>Preparing and eating raw or undercooked poultry, poultry blood or partially cooked eggs from infected birds can introduce virus through the mouth and airway; thorough cooking inactivates it.</w:t>
            </w:r>
          </w:p>
          <w:p>
            <w:pPr>
              <w:spacing w:after="40" w:before="60" w:line="259" w:lineRule="auto"/>
            </w:pPr>
            <w:r>
              <w:rPr>
                <w:rFonts w:ascii="Calibri" w:hAnsi="Calibri"/>
                <w:b w:val="0"/>
                <w:i w:val="0"/>
                <w:color w:val="212121"/>
                <w:sz w:val="19"/>
              </w:rPr>
              <w:t>India's March 2025 fatal case, a 2-year-old girl in Andhra Pradesh, is believed to have been infected after eating raw chicken.</w:t>
            </w:r>
          </w:p>
          <w:p>
            <w:pPr>
              <w:spacing w:after="40" w:line="252" w:lineRule="auto"/>
            </w:pPr>
            <w:hyperlink r:id="rId15">
              <w:r>
                <w:rPr>
                  <w:rFonts w:ascii="Calibri" w:hAnsi="Calibri" w:cs="Calibri"/>
                  <w:sz w:val="18"/>
                  <w:color w:val="1155CC"/>
                  <w:u w:val="single"/>
                </w:rPr>
                <w:t xml:space="preserve">downtoearth.org.in — Andhra girl dies of H5N1 after raw chicken</w:t>
              </w:r>
            </w:hyperlink>
          </w:p>
          <w:p>
            <w:pPr>
              <w:spacing w:before="60" w:after="40"/>
            </w:pPr>
            <w:r>
              <w:rPr>
                <w:rFonts w:ascii="Calibri" w:hAnsi="Calibri"/>
                <w:b w:val="0"/>
                <w:i w:val="0"/>
                <w:color w:val="5A5A5A"/>
                <w:sz w:val="18"/>
              </w:rPr>
              <w:t>#rawchicken  #undercooked  #foodsafety  #eggs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Unpasteurised animal products</w:t>
            </w:r>
          </w:p>
        </w:tc>
        <w:tc>
          <w:tcPr>
            <w:tcW w:type="dxa" w:w="2160"/>
            <w:vAlign w:val="top"/>
          </w:tcPr>
          <w:p>
            <w:pPr>
              <w:spacing w:after="40" w:before="0" w:line="259" w:lineRule="auto"/>
            </w:pPr>
            <w:r>
              <w:rPr>
                <w:rFonts w:ascii="Calibri" w:hAnsi="Calibri"/>
                <w:b w:val="0"/>
                <w:i w:val="0"/>
                <w:color w:val="212121"/>
                <w:sz w:val="19"/>
              </w:rPr>
              <w:t>Consumers of raw/unpasteurised milk in dairy-affected settings</w:t>
            </w:r>
          </w:p>
        </w:tc>
        <w:tc>
          <w:tcPr>
            <w:tcW w:type="dxa" w:w="4276"/>
            <w:vAlign w:val="top"/>
          </w:tcPr>
          <w:p>
            <w:pPr>
              <w:spacing w:after="60" w:line="259" w:lineRule="auto"/>
            </w:pPr>
            <w:r>
              <w:rPr>
                <w:rFonts w:ascii="Calibri" w:hAnsi="Calibri"/>
                <w:b w:val="0"/>
                <w:i w:val="0"/>
                <w:color w:val="212121"/>
                <w:sz w:val="19"/>
              </w:rPr>
              <w:t>With clade 2.3.4.4b now infecting dairy cattle and being shed in high titres in raw milk, drinking unpasteurised milk has become a novel exposure route; pasteurisation inactivates the virus.</w:t>
            </w:r>
          </w:p>
          <w:p>
            <w:pPr>
              <w:spacing w:after="40" w:before="60" w:line="259" w:lineRule="auto"/>
            </w:pPr>
            <w:r>
              <w:rPr>
                <w:rFonts w:ascii="Calibri" w:hAnsi="Calibri"/>
                <w:b w:val="0"/>
                <w:i w:val="0"/>
                <w:color w:val="212121"/>
                <w:sz w:val="19"/>
              </w:rPr>
              <w:t>The 2024 US dairy-cattle outbreak of clade 2.3.4.4b produced cow-to-human spillover, with infected cattle shedding virus in milk—prompting warnings against raw-milk consumption.</w:t>
            </w:r>
          </w:p>
          <w:p>
            <w:pPr>
              <w:spacing w:after="40" w:line="252" w:lineRule="auto"/>
            </w:pPr>
            <w:hyperlink r:id="rId16">
              <w:r>
                <w:rPr>
                  <w:rFonts w:ascii="Calibri" w:hAnsi="Calibri" w:cs="Calibri"/>
                  <w:sz w:val="18"/>
                  <w:color w:val="1155CC"/>
                  <w:u w:val="single"/>
                </w:rPr>
                <w:t xml:space="preserve">mdpi.com — H5N1 clade 2.3.4.4b: global spread &amp; host range</w:t>
              </w:r>
            </w:hyperlink>
          </w:p>
          <w:p>
            <w:pPr>
              <w:spacing w:before="60" w:after="40"/>
            </w:pPr>
            <w:r>
              <w:rPr>
                <w:rFonts w:ascii="Calibri" w:hAnsi="Calibri"/>
                <w:b w:val="0"/>
                <w:i w:val="0"/>
                <w:color w:val="5A5A5A"/>
                <w:sz w:val="18"/>
              </w:rPr>
              <w:t>#rawmilk  #unpasteurised  #dairycattle  #2344b</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susceptibility</w:t>
            </w:r>
          </w:p>
        </w:tc>
        <w:tc>
          <w:tcPr>
            <w:tcW w:type="dxa" w:w="2160"/>
            <w:vAlign w:val="top"/>
          </w:tcPr>
          <w:p>
            <w:pPr>
              <w:spacing w:after="40" w:before="0" w:line="259" w:lineRule="auto"/>
            </w:pPr>
            <w:r>
              <w:rPr>
                <w:rFonts w:ascii="Calibri" w:hAnsi="Calibri"/>
                <w:b w:val="0"/>
                <w:i w:val="0"/>
                <w:color w:val="212121"/>
                <w:sz w:val="19"/>
              </w:rPr>
              <w:t>Individuals with susceptible immune-response genotypes</w:t>
            </w:r>
          </w:p>
        </w:tc>
        <w:tc>
          <w:tcPr>
            <w:tcW w:type="dxa" w:w="4276"/>
            <w:vAlign w:val="top"/>
          </w:tcPr>
          <w:p>
            <w:pPr>
              <w:spacing w:after="60" w:line="259" w:lineRule="auto"/>
            </w:pPr>
            <w:r>
              <w:rPr>
                <w:rFonts w:ascii="Calibri" w:hAnsi="Calibri"/>
                <w:b w:val="0"/>
                <w:i w:val="0"/>
                <w:color w:val="212121"/>
                <w:sz w:val="19"/>
              </w:rPr>
              <w:t>Host genetic variation is thought to help explain why, with similar exposure, most people are not infected while a few develop fulminant disease; particular immune-response and interferon-pathway variants have been linked to severe influenza, and rare familial clusters raise the possibility of shared genetic susceptibility.</w:t>
            </w:r>
          </w:p>
          <w:p>
            <w:pPr>
              <w:spacing w:after="40" w:before="60" w:line="259" w:lineRule="auto"/>
            </w:pPr>
            <w:r>
              <w:rPr>
                <w:rFonts w:ascii="Calibri" w:hAnsi="Calibri"/>
                <w:b w:val="0"/>
                <w:i w:val="0"/>
                <w:color w:val="212121"/>
                <w:sz w:val="19"/>
              </w:rPr>
              <w:t>Human H5N1 cases remain extraordinarily uncommon despite widespread poultry infection, consistent with a strong host-barrier and probable genetic contribution to susceptibility.</w:t>
            </w:r>
          </w:p>
          <w:p>
            <w:pPr>
              <w:spacing w:after="40" w:line="252" w:lineRule="auto"/>
            </w:pPr>
            <w:hyperlink r:id="rId14">
              <w:r>
                <w:rPr>
                  <w:rFonts w:ascii="Calibri" w:hAnsi="Calibri" w:cs="Calibri"/>
                  <w:sz w:val="18"/>
                  <w:color w:val="1155CC"/>
                  <w:u w:val="single"/>
                </w:rPr>
                <w:t xml:space="preserve">ecdc.europa.eu — factsheet on A(H5N1)</w:t>
              </w:r>
            </w:hyperlink>
          </w:p>
          <w:p>
            <w:pPr>
              <w:spacing w:before="60" w:after="40"/>
            </w:pPr>
            <w:r>
              <w:rPr>
                <w:rFonts w:ascii="Calibri" w:hAnsi="Calibri"/>
                <w:b w:val="0"/>
                <w:i w:val="0"/>
                <w:color w:val="5A5A5A"/>
                <w:sz w:val="18"/>
              </w:rPr>
              <w:t>#hostgenetics  #susceptibility  #interferon  #familialcluster</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Immunocompromise / chronic illness</w:t>
            </w:r>
          </w:p>
        </w:tc>
        <w:tc>
          <w:tcPr>
            <w:tcW w:type="dxa" w:w="2160"/>
            <w:vAlign w:val="top"/>
          </w:tcPr>
          <w:p>
            <w:pPr>
              <w:spacing w:after="40" w:before="0" w:line="259" w:lineRule="auto"/>
            </w:pPr>
            <w:r>
              <w:rPr>
                <w:rFonts w:ascii="Calibri" w:hAnsi="Calibri"/>
                <w:b w:val="0"/>
                <w:i w:val="0"/>
                <w:color w:val="212121"/>
                <w:sz w:val="19"/>
              </w:rPr>
              <w:t>Patients with underlying medical conditions</w:t>
            </w:r>
          </w:p>
        </w:tc>
        <w:tc>
          <w:tcPr>
            <w:tcW w:type="dxa" w:w="4276"/>
            <w:vAlign w:val="top"/>
          </w:tcPr>
          <w:p>
            <w:pPr>
              <w:spacing w:after="60" w:line="259" w:lineRule="auto"/>
            </w:pPr>
            <w:r>
              <w:rPr>
                <w:rFonts w:ascii="Calibri" w:hAnsi="Calibri"/>
                <w:b w:val="0"/>
                <w:i w:val="0"/>
                <w:color w:val="212121"/>
                <w:sz w:val="19"/>
              </w:rPr>
              <w:t>Impaired immunity and reduced physiological reserve blunt viral clearance and predispose to severe, complicated H5N1 with a higher risk of progression to ARDS and death.</w:t>
            </w:r>
          </w:p>
          <w:p>
            <w:pPr>
              <w:spacing w:after="40" w:before="60" w:line="259" w:lineRule="auto"/>
            </w:pPr>
            <w:r>
              <w:rPr>
                <w:rFonts w:ascii="Calibri" w:hAnsi="Calibri"/>
                <w:b w:val="0"/>
                <w:i w:val="0"/>
                <w:color w:val="212121"/>
                <w:sz w:val="19"/>
              </w:rPr>
              <w:t>India's 2021 fatal Haryana case was reported to have an underlying medical condition, and comorbidity is a recognised marker of poor influenza outcomes.</w:t>
            </w:r>
          </w:p>
          <w:p>
            <w:pPr>
              <w:spacing w:after="40" w:line="252" w:lineRule="auto"/>
            </w:pPr>
            <w:hyperlink r:id="rId10">
              <w:r>
                <w:rPr>
                  <w:rFonts w:ascii="Calibri" w:hAnsi="Calibri" w:cs="Calibri"/>
                  <w:sz w:val="18"/>
                  <w:color w:val="1155CC"/>
                  <w:u w:val="single"/>
                </w:rPr>
                <w:t xml:space="preserve">cidrap.umn.edu — fatal H5N1 case, India</w:t>
              </w:r>
            </w:hyperlink>
          </w:p>
          <w:p>
            <w:pPr>
              <w:spacing w:before="60" w:after="40"/>
            </w:pPr>
            <w:r>
              <w:rPr>
                <w:rFonts w:ascii="Calibri" w:hAnsi="Calibri"/>
                <w:b w:val="0"/>
                <w:i w:val="0"/>
                <w:color w:val="5A5A5A"/>
                <w:sz w:val="18"/>
              </w:rPr>
              <w:t>#immunocompromised  #comorbidity  #severe  #ARDS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respiratory disease</w:t>
            </w:r>
          </w:p>
        </w:tc>
        <w:tc>
          <w:tcPr>
            <w:tcW w:type="dxa" w:w="2160"/>
            <w:vAlign w:val="top"/>
          </w:tcPr>
          <w:p>
            <w:pPr>
              <w:spacing w:after="40" w:before="0" w:line="259" w:lineRule="auto"/>
            </w:pPr>
            <w:r>
              <w:rPr>
                <w:rFonts w:ascii="Calibri" w:hAnsi="Calibri"/>
                <w:b w:val="0"/>
                <w:i w:val="0"/>
                <w:color w:val="212121"/>
                <w:sz w:val="19"/>
              </w:rPr>
              <w:t>Patients with COPD, asthma or bronchiectasis</w:t>
            </w:r>
          </w:p>
        </w:tc>
        <w:tc>
          <w:tcPr>
            <w:tcW w:type="dxa" w:w="4276"/>
            <w:vAlign w:val="top"/>
          </w:tcPr>
          <w:p>
            <w:pPr>
              <w:spacing w:after="60" w:line="259" w:lineRule="auto"/>
            </w:pPr>
            <w:r>
              <w:rPr>
                <w:rFonts w:ascii="Calibri" w:hAnsi="Calibri"/>
                <w:b w:val="0"/>
                <w:i w:val="0"/>
                <w:color w:val="212121"/>
                <w:sz w:val="19"/>
              </w:rPr>
              <w:t>Pre-existing lung disease reduces respiratory reserve, so H5N1 viral pneumonia is more likely to precipitate hypoxaemic respiratory failure and ARDS in these patients.</w:t>
            </w:r>
          </w:p>
          <w:p>
            <w:pPr>
              <w:spacing w:after="40" w:before="60" w:line="259" w:lineRule="auto"/>
            </w:pPr>
            <w:r>
              <w:rPr>
                <w:rFonts w:ascii="Calibri" w:hAnsi="Calibri"/>
                <w:b w:val="0"/>
                <w:i w:val="0"/>
                <w:color w:val="212121"/>
                <w:sz w:val="19"/>
              </w:rPr>
              <w:t>Severe H5N1 characteristically progresses to viral pneumonia, respiratory failure and ARDS, which chronic lung disease worsens.</w:t>
            </w:r>
          </w:p>
          <w:p>
            <w:pPr>
              <w:spacing w:after="40" w:line="252" w:lineRule="auto"/>
            </w:pPr>
            <w:hyperlink r:id="rId17">
              <w:r>
                <w:rPr>
                  <w:rFonts w:ascii="Calibri" w:hAnsi="Calibri" w:cs="Calibri"/>
                  <w:sz w:val="18"/>
                  <w:color w:val="1155CC"/>
                  <w:u w:val="single"/>
                </w:rPr>
                <w:t xml:space="preserve">my.clevelandclinic.org — bird flu (H5N1)</w:t>
              </w:r>
            </w:hyperlink>
          </w:p>
          <w:p>
            <w:pPr>
              <w:spacing w:before="60" w:after="40"/>
            </w:pPr>
            <w:r>
              <w:rPr>
                <w:rFonts w:ascii="Calibri" w:hAnsi="Calibri"/>
                <w:b w:val="0"/>
                <w:i w:val="0"/>
                <w:color w:val="5A5A5A"/>
                <w:sz w:val="18"/>
              </w:rPr>
              <w:t>#COPD  #asthma  #respiratoryreserve  #pneumonia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Pregnancy is associated with more severe influenza generally because of altered immunity and reduced respiratory reserve, raising the risk of severe pneumonia and adverse fetal outcomes in avian influenza.</w:t>
            </w:r>
          </w:p>
          <w:p>
            <w:pPr>
              <w:spacing w:after="40" w:before="60" w:line="259" w:lineRule="auto"/>
            </w:pPr>
            <w:r>
              <w:rPr>
                <w:rFonts w:ascii="Calibri" w:hAnsi="Calibri"/>
                <w:b w:val="0"/>
                <w:i w:val="0"/>
                <w:color w:val="212121"/>
                <w:sz w:val="19"/>
              </w:rPr>
              <w:t>Pregnant women are a recognised high-risk group for severe influenza and are prioritised for antiviral treatment.</w:t>
            </w:r>
          </w:p>
          <w:p>
            <w:pPr>
              <w:spacing w:after="40" w:line="252" w:lineRule="auto"/>
            </w:pPr>
            <w:hyperlink r:id="rId18">
              <w:r>
                <w:rPr>
                  <w:rFonts w:ascii="Calibri" w:hAnsi="Calibri" w:cs="Calibri"/>
                  <w:sz w:val="18"/>
                  <w:color w:val="1155CC"/>
                  <w:u w:val="single"/>
                </w:rPr>
                <w:t xml:space="preserve">cdc.gov — H5N1 clinical guidance &amp; treatment</w:t>
              </w:r>
            </w:hyperlink>
          </w:p>
          <w:p>
            <w:pPr>
              <w:spacing w:before="60" w:after="40"/>
            </w:pPr>
            <w:r>
              <w:rPr>
                <w:rFonts w:ascii="Calibri" w:hAnsi="Calibri"/>
                <w:b w:val="0"/>
                <w:i w:val="0"/>
                <w:color w:val="5A5A5A"/>
                <w:sz w:val="18"/>
              </w:rPr>
              <w:t>#pregnancy  #severeinfluenza  #antivirals  #fetalrisk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 cardiovascular disease</w:t>
            </w:r>
          </w:p>
        </w:tc>
        <w:tc>
          <w:tcPr>
            <w:tcW w:type="dxa" w:w="2160"/>
            <w:vAlign w:val="top"/>
          </w:tcPr>
          <w:p>
            <w:pPr>
              <w:spacing w:after="40" w:before="0" w:line="259" w:lineRule="auto"/>
            </w:pPr>
            <w:r>
              <w:rPr>
                <w:rFonts w:ascii="Calibri" w:hAnsi="Calibri"/>
                <w:b w:val="0"/>
                <w:i w:val="0"/>
                <w:color w:val="212121"/>
                <w:sz w:val="19"/>
              </w:rPr>
              <w:t>Patients with diabetes or heart disease</w:t>
            </w:r>
          </w:p>
        </w:tc>
        <w:tc>
          <w:tcPr>
            <w:tcW w:type="dxa" w:w="4276"/>
            <w:vAlign w:val="top"/>
          </w:tcPr>
          <w:p>
            <w:pPr>
              <w:spacing w:after="60" w:line="259" w:lineRule="auto"/>
            </w:pPr>
            <w:r>
              <w:rPr>
                <w:rFonts w:ascii="Calibri" w:hAnsi="Calibri"/>
                <w:b w:val="0"/>
                <w:i w:val="0"/>
                <w:color w:val="212121"/>
                <w:sz w:val="19"/>
              </w:rPr>
              <w:t>Metabolic and cardiovascular comorbidities impair immune function and cardiopulmonary reserve, increasing the likelihood of severe disease, myocardial involvement and death from H5N1.</w:t>
            </w:r>
          </w:p>
          <w:p>
            <w:pPr>
              <w:spacing w:after="40" w:before="60" w:line="259" w:lineRule="auto"/>
            </w:pPr>
            <w:r>
              <w:rPr>
                <w:rFonts w:ascii="Calibri" w:hAnsi="Calibri"/>
                <w:b w:val="0"/>
                <w:i w:val="0"/>
                <w:color w:val="212121"/>
                <w:sz w:val="19"/>
              </w:rPr>
              <w:t>Diabetes and cardiovascular disease are established risk factors for severe and fatal influenza, and severe H5N1 can cause multi-organ dysfunction including cardiac injury.</w:t>
            </w:r>
          </w:p>
          <w:p>
            <w:pPr>
              <w:spacing w:after="40" w:line="252" w:lineRule="auto"/>
            </w:pPr>
            <w:hyperlink r:id="rId17">
              <w:r>
                <w:rPr>
                  <w:rFonts w:ascii="Calibri" w:hAnsi="Calibri" w:cs="Calibri"/>
                  <w:sz w:val="18"/>
                  <w:color w:val="1155CC"/>
                  <w:u w:val="single"/>
                </w:rPr>
                <w:t xml:space="preserve">my.clevelandclinic.org — bird flu (H5N1)</w:t>
              </w:r>
            </w:hyperlink>
          </w:p>
          <w:p>
            <w:pPr>
              <w:spacing w:before="60" w:after="40"/>
            </w:pPr>
            <w:r>
              <w:rPr>
                <w:rFonts w:ascii="Calibri" w:hAnsi="Calibri"/>
                <w:b w:val="0"/>
                <w:i w:val="0"/>
                <w:color w:val="5A5A5A"/>
                <w:sz w:val="18"/>
              </w:rPr>
              <w:t>#diabetes  #cardiovascular  #multiorgan  #severe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fitness is not directly protective; risk instead tracks the setting of activity—outdoor and occupational work handling poultry, culling flocks and cleaning coops is the physical activity that drives exposure, so it is the context rather than the intensity that matters.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Preparing or eating raw/undercooked poultry, poultry blood or partially cooked eggs—and, with clade 2.3.4.4b, unpasteurised milk—is a recognised route of infection; thorough cooking and pasteurisation inactivate the virus.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established role in acquiring H5N1, though sleeping in or beside poultry sheds can raise exposure and adequate rest supports recovery during the acute illness.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not a route of infection but, by damaging the airway epithelium and reducing pulmonary reserve, it plausibly worsens the viral pneumonia and ARDS that dominate severe H5N1.</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direct link between alcohol and H5N1 acquisition; chronic heavy use impairs immunity and organ reserve and may contribute to worse outcomes in severe infection.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Mental health has no causal role in infection, but outbreaks and mass culling generate significant anxiety, and severe disease with encephalitis or prolonged ICU care can leave neuropsychiatric sequelae.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Water bodies are central to the ecology of avian influenza—waterfowl shed virus into ponds and wetlands that infect poultry—and contaminated water or wet, soiled poultry environments are an indirect source of human exposure.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plausible or established relationship between caffeine intake and H5N1 risk or severity.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personal protective equipment, respiratory etiquette, safe disposal of dead birds and farm biosecurity are the cornerstone of prevention; poor hygiene and unprotected handling of infected birds are the main drivers of spillover.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Direct contact with infected or dead poultry, participation in culling operations, visiting live-bird markets, keeping backyard flocks and consuming raw poultry are the provoking exposures that precipitate human infection.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Use of PPE (N95/mask, gloves, goggles, coverall) during bird contact</w:t>
            </w:r>
          </w:p>
        </w:tc>
        <w:tc>
          <w:tcPr>
            <w:tcW w:type="dxa" w:w="1655"/>
            <w:vAlign w:val="top"/>
          </w:tcPr>
          <w:p>
            <w:pPr>
              <w:spacing w:after="40" w:before="0" w:line="259" w:lineRule="auto"/>
            </w:pPr>
            <w:r>
              <w:rPr>
                <w:rFonts w:ascii="Calibri" w:hAnsi="Calibri"/>
                <w:b w:val="0"/>
                <w:i w:val="0"/>
                <w:color w:val="212121"/>
                <w:sz w:val="19"/>
              </w:rPr>
              <w:t>Poultry, cull &amp; market workers</w:t>
            </w:r>
          </w:p>
        </w:tc>
        <w:tc>
          <w:tcPr>
            <w:tcW w:type="dxa" w:w="1512"/>
            <w:vAlign w:val="top"/>
          </w:tcPr>
          <w:p>
            <w:pPr>
              <w:spacing w:after="40" w:before="0" w:line="259" w:lineRule="auto"/>
            </w:pPr>
            <w:r>
              <w:rPr>
                <w:rFonts w:ascii="Calibri" w:hAnsi="Calibri"/>
                <w:b w:val="0"/>
                <w:i w:val="0"/>
                <w:color w:val="212121"/>
                <w:sz w:val="19"/>
              </w:rPr>
              <w:t>Full recommended PPE worn for all bird contact</w:t>
            </w:r>
          </w:p>
        </w:tc>
        <w:tc>
          <w:tcPr>
            <w:tcW w:type="dxa" w:w="1512"/>
            <w:vAlign w:val="top"/>
          </w:tcPr>
          <w:p>
            <w:pPr>
              <w:spacing w:after="40" w:before="0" w:line="259" w:lineRule="auto"/>
            </w:pPr>
            <w:r>
              <w:rPr>
                <w:rFonts w:ascii="Calibri" w:hAnsi="Calibri"/>
                <w:b w:val="0"/>
                <w:i w:val="0"/>
                <w:color w:val="212121"/>
                <w:sz w:val="19"/>
              </w:rPr>
              <w:t>Any unprotected handling of poultry or culling</w:t>
            </w:r>
          </w:p>
        </w:tc>
        <w:tc>
          <w:tcPr>
            <w:tcW w:type="dxa" w:w="1468"/>
            <w:vAlign w:val="top"/>
          </w:tcPr>
          <w:p>
            <w:pPr>
              <w:spacing w:after="60" w:line="259" w:lineRule="auto"/>
            </w:pPr>
            <w:r>
              <w:rPr>
                <w:rFonts w:ascii="Calibri" w:hAnsi="Calibri"/>
                <w:b w:val="0"/>
                <w:i w:val="0"/>
                <w:color w:val="212121"/>
                <w:sz w:val="19"/>
              </w:rPr>
              <w:t>Barrier protection blocks respiratory and mucosal entry and is the key preventive measure</w:t>
            </w:r>
          </w:p>
          <w:p>
            <w:pPr>
              <w:spacing w:after="40" w:line="252" w:lineRule="auto"/>
            </w:pPr>
            <w:hyperlink r:id="rId14">
              <w:r>
                <w:rPr>
                  <w:rFonts w:ascii="Calibri" w:hAnsi="Calibri" w:cs="Calibri"/>
                  <w:sz w:val="18"/>
                  <w:color w:val="1155CC"/>
                  <w:u w:val="single"/>
                </w:rPr>
                <w:t xml:space="preserve">https://www.ecdc.europa.eu/en/zoonotic-influenza/facts/factsheet-h5n1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Hand hygiene after any bird/animal contact</w:t>
            </w:r>
          </w:p>
        </w:tc>
        <w:tc>
          <w:tcPr>
            <w:tcW w:type="dxa" w:w="1655"/>
            <w:vAlign w:val="top"/>
          </w:tcPr>
          <w:p>
            <w:pPr>
              <w:spacing w:after="40" w:before="0" w:line="259" w:lineRule="auto"/>
            </w:pPr>
            <w:r>
              <w:rPr>
                <w:rFonts w:ascii="Calibri" w:hAnsi="Calibri"/>
                <w:b w:val="0"/>
                <w:i w:val="0"/>
                <w:color w:val="212121"/>
                <w:sz w:val="19"/>
              </w:rPr>
              <w:t>All exposed persons</w:t>
            </w:r>
          </w:p>
        </w:tc>
        <w:tc>
          <w:tcPr>
            <w:tcW w:type="dxa" w:w="1512"/>
            <w:vAlign w:val="top"/>
          </w:tcPr>
          <w:p>
            <w:pPr>
              <w:spacing w:after="40" w:before="0" w:line="259" w:lineRule="auto"/>
            </w:pPr>
            <w:r>
              <w:rPr>
                <w:rFonts w:ascii="Calibri" w:hAnsi="Calibri"/>
                <w:b w:val="0"/>
                <w:i w:val="0"/>
                <w:color w:val="212121"/>
                <w:sz w:val="19"/>
              </w:rPr>
              <w:t>Wash with soap/sanitise immediately after contact</w:t>
            </w:r>
          </w:p>
        </w:tc>
        <w:tc>
          <w:tcPr>
            <w:tcW w:type="dxa" w:w="1512"/>
            <w:vAlign w:val="top"/>
          </w:tcPr>
          <w:p>
            <w:pPr>
              <w:spacing w:after="40" w:before="0" w:line="259" w:lineRule="auto"/>
            </w:pPr>
            <w:r>
              <w:rPr>
                <w:rFonts w:ascii="Calibri" w:hAnsi="Calibri"/>
                <w:b w:val="0"/>
                <w:i w:val="0"/>
                <w:color w:val="212121"/>
                <w:sz w:val="19"/>
              </w:rPr>
              <w:t>Eating/touching face before washing hands</w:t>
            </w:r>
          </w:p>
        </w:tc>
        <w:tc>
          <w:tcPr>
            <w:tcW w:type="dxa" w:w="1468"/>
            <w:vAlign w:val="top"/>
          </w:tcPr>
          <w:p>
            <w:pPr>
              <w:spacing w:after="60" w:line="259" w:lineRule="auto"/>
            </w:pPr>
            <w:r>
              <w:rPr>
                <w:rFonts w:ascii="Calibri" w:hAnsi="Calibri"/>
                <w:b w:val="0"/>
                <w:i w:val="0"/>
                <w:color w:val="212121"/>
                <w:sz w:val="19"/>
              </w:rPr>
              <w:t>Hand-to-eye/mouth transfer is a major mucosal route of infection</w:t>
            </w:r>
          </w:p>
          <w:p>
            <w:pPr>
              <w:spacing w:after="40" w:line="252" w:lineRule="auto"/>
            </w:pPr>
            <w:hyperlink r:id="rId17">
              <w:r>
                <w:rPr>
                  <w:rFonts w:ascii="Calibri" w:hAnsi="Calibri" w:cs="Calibri"/>
                  <w:sz w:val="18"/>
                  <w:color w:val="1155CC"/>
                  <w:u w:val="single"/>
                </w:rPr>
                <w:t xml:space="preserve">https://my.clevelandclinic.org/health/diseases/22401-bird-flu</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Contact with sick or dead birds</w:t>
            </w:r>
          </w:p>
        </w:tc>
        <w:tc>
          <w:tcPr>
            <w:tcW w:type="dxa" w:w="1655"/>
            <w:vAlign w:val="top"/>
          </w:tcPr>
          <w:p>
            <w:pPr>
              <w:spacing w:after="40" w:before="0" w:line="259" w:lineRule="auto"/>
            </w:pPr>
            <w:r>
              <w:rPr>
                <w:rFonts w:ascii="Calibri" w:hAnsi="Calibri"/>
                <w:b w:val="0"/>
                <w:i w:val="0"/>
                <w:color w:val="212121"/>
                <w:sz w:val="19"/>
              </w:rPr>
              <w:t>Backyard keepers, farm &amp; wildlife workers</w:t>
            </w:r>
          </w:p>
        </w:tc>
        <w:tc>
          <w:tcPr>
            <w:tcW w:type="dxa" w:w="1512"/>
            <w:vAlign w:val="top"/>
          </w:tcPr>
          <w:p>
            <w:pPr>
              <w:spacing w:after="40" w:before="0" w:line="259" w:lineRule="auto"/>
            </w:pPr>
            <w:r>
              <w:rPr>
                <w:rFonts w:ascii="Calibri" w:hAnsi="Calibri"/>
                <w:b w:val="0"/>
                <w:i w:val="0"/>
                <w:color w:val="212121"/>
                <w:sz w:val="19"/>
              </w:rPr>
              <w:t>No barehanded contact; report and let trained cullers handle</w:t>
            </w:r>
          </w:p>
        </w:tc>
        <w:tc>
          <w:tcPr>
            <w:tcW w:type="dxa" w:w="1512"/>
            <w:vAlign w:val="top"/>
          </w:tcPr>
          <w:p>
            <w:pPr>
              <w:spacing w:after="40" w:before="0" w:line="259" w:lineRule="auto"/>
            </w:pPr>
            <w:r>
              <w:rPr>
                <w:rFonts w:ascii="Calibri" w:hAnsi="Calibri"/>
                <w:b w:val="0"/>
                <w:i w:val="0"/>
                <w:color w:val="212121"/>
                <w:sz w:val="19"/>
              </w:rPr>
              <w:t>Handling, slaughtering or disposing of sick/dead birds unprotected</w:t>
            </w:r>
          </w:p>
        </w:tc>
        <w:tc>
          <w:tcPr>
            <w:tcW w:type="dxa" w:w="1468"/>
            <w:vAlign w:val="top"/>
          </w:tcPr>
          <w:p>
            <w:pPr>
              <w:spacing w:after="60" w:line="259" w:lineRule="auto"/>
            </w:pPr>
            <w:r>
              <w:rPr>
                <w:rFonts w:ascii="Calibri" w:hAnsi="Calibri"/>
                <w:b w:val="0"/>
                <w:i w:val="0"/>
                <w:color w:val="212121"/>
                <w:sz w:val="19"/>
              </w:rPr>
              <w:t>Direct contact with infected birds is the dominant human exposure</w:t>
            </w:r>
          </w:p>
          <w:p>
            <w:pPr>
              <w:spacing w:after="40" w:line="252" w:lineRule="auto"/>
            </w:pPr>
            <w:hyperlink r:id="rId14">
              <w:r>
                <w:rPr>
                  <w:rFonts w:ascii="Calibri" w:hAnsi="Calibri" w:cs="Calibri"/>
                  <w:sz w:val="18"/>
                  <w:color w:val="1155CC"/>
                  <w:u w:val="single"/>
                </w:rPr>
                <w:t xml:space="preserve">https://www.ecdc.europa.eu/en/zoonotic-influenza/facts/factsheet-h5n1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Post-exposure health monitoring after unprotected bird exposure</w:t>
            </w:r>
          </w:p>
        </w:tc>
        <w:tc>
          <w:tcPr>
            <w:tcW w:type="dxa" w:w="1655"/>
            <w:vAlign w:val="top"/>
          </w:tcPr>
          <w:p>
            <w:pPr>
              <w:spacing w:after="40" w:before="0" w:line="259" w:lineRule="auto"/>
            </w:pPr>
            <w:r>
              <w:rPr>
                <w:rFonts w:ascii="Calibri" w:hAnsi="Calibri"/>
                <w:b w:val="0"/>
                <w:i w:val="0"/>
                <w:color w:val="212121"/>
                <w:sz w:val="19"/>
              </w:rPr>
              <w:t>Unprotected exposed persons</w:t>
            </w:r>
          </w:p>
        </w:tc>
        <w:tc>
          <w:tcPr>
            <w:tcW w:type="dxa" w:w="1512"/>
            <w:vAlign w:val="top"/>
          </w:tcPr>
          <w:p>
            <w:pPr>
              <w:spacing w:after="40" w:before="0" w:line="259" w:lineRule="auto"/>
            </w:pPr>
            <w:r>
              <w:rPr>
                <w:rFonts w:ascii="Calibri" w:hAnsi="Calibri"/>
                <w:b w:val="0"/>
                <w:i w:val="0"/>
                <w:color w:val="212121"/>
                <w:sz w:val="19"/>
              </w:rPr>
              <w:t>Self-monitor for 10–14 days for fever/respiratory/eye symptoms</w:t>
            </w:r>
          </w:p>
        </w:tc>
        <w:tc>
          <w:tcPr>
            <w:tcW w:type="dxa" w:w="1512"/>
            <w:vAlign w:val="top"/>
          </w:tcPr>
          <w:p>
            <w:pPr>
              <w:spacing w:after="40" w:before="0" w:line="259" w:lineRule="auto"/>
            </w:pPr>
            <w:r>
              <w:rPr>
                <w:rFonts w:ascii="Calibri" w:hAnsi="Calibri"/>
                <w:b w:val="0"/>
                <w:i w:val="0"/>
                <w:color w:val="212121"/>
                <w:sz w:val="19"/>
              </w:rPr>
              <w:t>No monitoring after high-risk exposure</w:t>
            </w:r>
          </w:p>
        </w:tc>
        <w:tc>
          <w:tcPr>
            <w:tcW w:type="dxa" w:w="1468"/>
            <w:vAlign w:val="top"/>
          </w:tcPr>
          <w:p>
            <w:pPr>
              <w:spacing w:after="60" w:line="259" w:lineRule="auto"/>
            </w:pPr>
            <w:r>
              <w:rPr>
                <w:rFonts w:ascii="Calibri" w:hAnsi="Calibri"/>
                <w:b w:val="0"/>
                <w:i w:val="0"/>
                <w:color w:val="212121"/>
                <w:sz w:val="19"/>
              </w:rPr>
              <w:t>Early recognition enables prompt antiviral treatment and isolation</w:t>
            </w:r>
          </w:p>
          <w:p>
            <w:pPr>
              <w:spacing w:after="40" w:line="252" w:lineRule="auto"/>
            </w:pPr>
            <w:hyperlink r:id="rId14">
              <w:r>
                <w:rPr>
                  <w:rFonts w:ascii="Calibri" w:hAnsi="Calibri" w:cs="Calibri"/>
                  <w:sz w:val="18"/>
                  <w:color w:val="1155CC"/>
                  <w:u w:val="single"/>
                </w:rPr>
                <w:t xml:space="preserve">https://www.ecdc.europa.eu/en/zoonotic-influenza/facts/factsheet-h5n1</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Poultry/egg cooking temperature</w:t>
            </w:r>
          </w:p>
        </w:tc>
        <w:tc>
          <w:tcPr>
            <w:tcW w:type="dxa" w:w="1655"/>
            <w:vAlign w:val="top"/>
          </w:tcPr>
          <w:p>
            <w:pPr>
              <w:spacing w:after="40" w:before="0" w:line="259" w:lineRule="auto"/>
            </w:pPr>
            <w:r>
              <w:rPr>
                <w:rFonts w:ascii="Calibri" w:hAnsi="Calibri"/>
                <w:b w:val="0"/>
                <w:i w:val="0"/>
                <w:color w:val="212121"/>
                <w:sz w:val="19"/>
              </w:rPr>
              <w:t>Households, food handlers</w:t>
            </w:r>
          </w:p>
        </w:tc>
        <w:tc>
          <w:tcPr>
            <w:tcW w:type="dxa" w:w="1512"/>
            <w:vAlign w:val="top"/>
          </w:tcPr>
          <w:p>
            <w:pPr>
              <w:spacing w:after="40" w:before="0" w:line="259" w:lineRule="auto"/>
            </w:pPr>
            <w:r>
              <w:rPr>
                <w:rFonts w:ascii="Calibri" w:hAnsi="Calibri"/>
                <w:b w:val="0"/>
                <w:i w:val="0"/>
                <w:color w:val="212121"/>
                <w:sz w:val="19"/>
              </w:rPr>
              <w:t>Cook poultry and eggs thoroughly (≥70–74°C, no pink meat/runny yolk)</w:t>
            </w:r>
          </w:p>
        </w:tc>
        <w:tc>
          <w:tcPr>
            <w:tcW w:type="dxa" w:w="1512"/>
            <w:vAlign w:val="top"/>
          </w:tcPr>
          <w:p>
            <w:pPr>
              <w:spacing w:after="40" w:before="0" w:line="259" w:lineRule="auto"/>
            </w:pPr>
            <w:r>
              <w:rPr>
                <w:rFonts w:ascii="Calibri" w:hAnsi="Calibri"/>
                <w:b w:val="0"/>
                <w:i w:val="0"/>
                <w:color w:val="212121"/>
                <w:sz w:val="19"/>
              </w:rPr>
              <w:t>Eating raw/undercooked poultry, blood or eggs</w:t>
            </w:r>
          </w:p>
        </w:tc>
        <w:tc>
          <w:tcPr>
            <w:tcW w:type="dxa" w:w="1468"/>
            <w:vAlign w:val="top"/>
          </w:tcPr>
          <w:p>
            <w:pPr>
              <w:spacing w:after="60" w:line="259" w:lineRule="auto"/>
            </w:pPr>
            <w:r>
              <w:rPr>
                <w:rFonts w:ascii="Calibri" w:hAnsi="Calibri"/>
                <w:b w:val="0"/>
                <w:i w:val="0"/>
                <w:color w:val="212121"/>
                <w:sz w:val="19"/>
              </w:rPr>
              <w:t>Adequate heat reliably inactivates the virus in food</w:t>
            </w:r>
          </w:p>
          <w:p>
            <w:pPr>
              <w:spacing w:after="40" w:line="252" w:lineRule="auto"/>
            </w:pPr>
            <w:hyperlink r:id="rId15">
              <w:r>
                <w:rPr>
                  <w:rFonts w:ascii="Calibri" w:hAnsi="Calibri" w:cs="Calibri"/>
                  <w:sz w:val="18"/>
                  <w:color w:val="1155CC"/>
                  <w:u w:val="single"/>
                </w:rPr>
                <w:t xml:space="preserve">https://www.downtoearth.org.in/health/two-year-old-andhra-girl-dies-of-h5n1-after-suspected-consumption-of-raw-chicken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Consumption of unpasteurised milk</w:t>
            </w:r>
          </w:p>
        </w:tc>
        <w:tc>
          <w:tcPr>
            <w:tcW w:type="dxa" w:w="1655"/>
            <w:vAlign w:val="top"/>
          </w:tcPr>
          <w:p>
            <w:pPr>
              <w:spacing w:after="40" w:before="0" w:line="259" w:lineRule="auto"/>
            </w:pPr>
            <w:r>
              <w:rPr>
                <w:rFonts w:ascii="Calibri" w:hAnsi="Calibri"/>
                <w:b w:val="0"/>
                <w:i w:val="0"/>
                <w:color w:val="212121"/>
                <w:sz w:val="19"/>
              </w:rPr>
              <w:t>General public in dairy-affected areas</w:t>
            </w:r>
          </w:p>
        </w:tc>
        <w:tc>
          <w:tcPr>
            <w:tcW w:type="dxa" w:w="1512"/>
            <w:vAlign w:val="top"/>
          </w:tcPr>
          <w:p>
            <w:pPr>
              <w:spacing w:after="40" w:before="0" w:line="259" w:lineRule="auto"/>
            </w:pPr>
            <w:r>
              <w:rPr>
                <w:rFonts w:ascii="Calibri" w:hAnsi="Calibri"/>
                <w:b w:val="0"/>
                <w:i w:val="0"/>
                <w:color w:val="212121"/>
                <w:sz w:val="19"/>
              </w:rPr>
              <w:t>Drink only pasteurised/boiled milk</w:t>
            </w:r>
          </w:p>
        </w:tc>
        <w:tc>
          <w:tcPr>
            <w:tcW w:type="dxa" w:w="1512"/>
            <w:vAlign w:val="top"/>
          </w:tcPr>
          <w:p>
            <w:pPr>
              <w:spacing w:after="40" w:before="0" w:line="259" w:lineRule="auto"/>
            </w:pPr>
            <w:r>
              <w:rPr>
                <w:rFonts w:ascii="Calibri" w:hAnsi="Calibri"/>
                <w:b w:val="0"/>
                <w:i w:val="0"/>
                <w:color w:val="212121"/>
                <w:sz w:val="19"/>
              </w:rPr>
              <w:t>Consuming raw/unpasteurised milk</w:t>
            </w:r>
          </w:p>
        </w:tc>
        <w:tc>
          <w:tcPr>
            <w:tcW w:type="dxa" w:w="1468"/>
            <w:vAlign w:val="top"/>
          </w:tcPr>
          <w:p>
            <w:pPr>
              <w:spacing w:after="60" w:line="259" w:lineRule="auto"/>
            </w:pPr>
            <w:r>
              <w:rPr>
                <w:rFonts w:ascii="Calibri" w:hAnsi="Calibri"/>
                <w:b w:val="0"/>
                <w:i w:val="0"/>
                <w:color w:val="212121"/>
                <w:sz w:val="19"/>
              </w:rPr>
              <w:t>Clade 2.3.4.4b is shed in raw milk from infected cattle; pasteurisation inactivates it</w:t>
            </w:r>
          </w:p>
          <w:p>
            <w:pPr>
              <w:spacing w:after="40" w:line="252" w:lineRule="auto"/>
            </w:pPr>
            <w:hyperlink r:id="rId16">
              <w:r>
                <w:rPr>
                  <w:rFonts w:ascii="Calibri" w:hAnsi="Calibri" w:cs="Calibri"/>
                  <w:sz w:val="18"/>
                  <w:color w:val="1155CC"/>
                  <w:u w:val="single"/>
                </w:rPr>
                <w:t xml:space="preserve">https://www.mdpi.com/2076-0817/14/9/929</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Antiviral post-exposure prophylaxis for high-risk exposures</w:t>
            </w:r>
          </w:p>
        </w:tc>
        <w:tc>
          <w:tcPr>
            <w:tcW w:type="dxa" w:w="1655"/>
            <w:vAlign w:val="top"/>
          </w:tcPr>
          <w:p>
            <w:pPr>
              <w:spacing w:after="40" w:before="0" w:line="259" w:lineRule="auto"/>
            </w:pPr>
            <w:r>
              <w:rPr>
                <w:rFonts w:ascii="Calibri" w:hAnsi="Calibri"/>
                <w:b w:val="0"/>
                <w:i w:val="0"/>
                <w:color w:val="212121"/>
                <w:sz w:val="19"/>
              </w:rPr>
              <w:t>Cullers/responders with significant unprotected exposure</w:t>
            </w:r>
          </w:p>
        </w:tc>
        <w:tc>
          <w:tcPr>
            <w:tcW w:type="dxa" w:w="1512"/>
            <w:vAlign w:val="top"/>
          </w:tcPr>
          <w:p>
            <w:pPr>
              <w:spacing w:after="40" w:before="0" w:line="259" w:lineRule="auto"/>
            </w:pPr>
            <w:r>
              <w:rPr>
                <w:rFonts w:ascii="Calibri" w:hAnsi="Calibri"/>
                <w:b w:val="0"/>
                <w:i w:val="0"/>
                <w:color w:val="212121"/>
                <w:sz w:val="19"/>
              </w:rPr>
              <w:t>Oseltamivir prophylaxis as advised by public-health authority</w:t>
            </w:r>
          </w:p>
        </w:tc>
        <w:tc>
          <w:tcPr>
            <w:tcW w:type="dxa" w:w="1512"/>
            <w:vAlign w:val="top"/>
          </w:tcPr>
          <w:p>
            <w:pPr>
              <w:spacing w:after="40" w:before="0" w:line="259" w:lineRule="auto"/>
            </w:pPr>
            <w:r>
              <w:rPr>
                <w:rFonts w:ascii="Calibri" w:hAnsi="Calibri"/>
                <w:b w:val="0"/>
                <w:i w:val="0"/>
                <w:color w:val="212121"/>
                <w:sz w:val="19"/>
              </w:rPr>
              <w:t>High-risk exposure managed without assessment</w:t>
            </w:r>
          </w:p>
        </w:tc>
        <w:tc>
          <w:tcPr>
            <w:tcW w:type="dxa" w:w="1468"/>
            <w:vAlign w:val="top"/>
          </w:tcPr>
          <w:p>
            <w:pPr>
              <w:spacing w:after="60" w:line="259" w:lineRule="auto"/>
            </w:pPr>
            <w:r>
              <w:rPr>
                <w:rFonts w:ascii="Calibri" w:hAnsi="Calibri"/>
                <w:b w:val="0"/>
                <w:i w:val="0"/>
                <w:color w:val="212121"/>
                <w:sz w:val="19"/>
              </w:rPr>
              <w:t>Neuraminidase-inhibitor prophylaxis may be recommended after significant exposure</w:t>
            </w:r>
          </w:p>
          <w:p>
            <w:pPr>
              <w:spacing w:after="40" w:line="252" w:lineRule="auto"/>
            </w:pPr>
            <w:hyperlink r:id="rId18">
              <w:r>
                <w:rPr>
                  <w:rFonts w:ascii="Calibri" w:hAnsi="Calibri" w:cs="Calibri"/>
                  <w:sz w:val="18"/>
                  <w:color w:val="1155CC"/>
                  <w:u w:val="single"/>
                </w:rPr>
                <w:t xml:space="preserve">https://www.cdc.gov/bird-flu/hcp/clinicians-evaluating-patients/clinical-guidance-treatment.html</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exposed workers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Any regular smoking</w:t>
            </w:r>
          </w:p>
        </w:tc>
        <w:tc>
          <w:tcPr>
            <w:tcW w:type="dxa" w:w="1468"/>
            <w:vAlign w:val="top"/>
          </w:tcPr>
          <w:p>
            <w:pPr>
              <w:spacing w:after="60" w:line="259" w:lineRule="auto"/>
            </w:pPr>
            <w:r>
              <w:rPr>
                <w:rFonts w:ascii="Calibri" w:hAnsi="Calibri"/>
                <w:b w:val="0"/>
                <w:i w:val="0"/>
                <w:color w:val="212121"/>
                <w:sz w:val="19"/>
              </w:rPr>
              <w:t>Smoking reduces pulmonary reserve and may worsen viral pneumonia/ARDS</w:t>
            </w:r>
          </w:p>
          <w:p>
            <w:pPr>
              <w:spacing w:after="40" w:line="252" w:lineRule="auto"/>
            </w:pPr>
            <w:hyperlink r:id="rId17">
              <w:r>
                <w:rPr>
                  <w:rFonts w:ascii="Calibri" w:hAnsi="Calibri" w:cs="Calibri"/>
                  <w:sz w:val="18"/>
                  <w:color w:val="1155CC"/>
                  <w:u w:val="single"/>
                </w:rPr>
                <w:t xml:space="preserve">https://my.clevelandclinic.org/health/diseases/22401-bird-flu</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Unprotected occupational bird-contact time</w:t>
            </w:r>
          </w:p>
        </w:tc>
        <w:tc>
          <w:tcPr>
            <w:tcW w:type="dxa" w:w="1655"/>
            <w:vAlign w:val="top"/>
          </w:tcPr>
          <w:p>
            <w:pPr>
              <w:spacing w:after="40" w:before="0" w:line="259" w:lineRule="auto"/>
            </w:pPr>
            <w:r>
              <w:rPr>
                <w:rFonts w:ascii="Calibri" w:hAnsi="Calibri"/>
                <w:b w:val="0"/>
                <w:i w:val="0"/>
                <w:color w:val="212121"/>
                <w:sz w:val="19"/>
              </w:rPr>
              <w:t>Poultry &amp; culling workers</w:t>
            </w:r>
          </w:p>
        </w:tc>
        <w:tc>
          <w:tcPr>
            <w:tcW w:type="dxa" w:w="1512"/>
            <w:vAlign w:val="top"/>
          </w:tcPr>
          <w:p>
            <w:pPr>
              <w:spacing w:after="40" w:before="0" w:line="259" w:lineRule="auto"/>
            </w:pPr>
            <w:r>
              <w:rPr>
                <w:rFonts w:ascii="Calibri" w:hAnsi="Calibri"/>
                <w:b w:val="0"/>
                <w:i w:val="0"/>
                <w:color w:val="212121"/>
                <w:sz w:val="19"/>
              </w:rPr>
              <w:t>Minimised; always with PPE</w:t>
            </w:r>
          </w:p>
        </w:tc>
        <w:tc>
          <w:tcPr>
            <w:tcW w:type="dxa" w:w="1512"/>
            <w:vAlign w:val="top"/>
          </w:tcPr>
          <w:p>
            <w:pPr>
              <w:spacing w:after="40" w:before="0" w:line="259" w:lineRule="auto"/>
            </w:pPr>
            <w:r>
              <w:rPr>
                <w:rFonts w:ascii="Calibri" w:hAnsi="Calibri"/>
                <w:b w:val="0"/>
                <w:i w:val="0"/>
                <w:color w:val="212121"/>
                <w:sz w:val="19"/>
              </w:rPr>
              <w:t>Prolonged unprotected handling of infected flocks</w:t>
            </w:r>
          </w:p>
        </w:tc>
        <w:tc>
          <w:tcPr>
            <w:tcW w:type="dxa" w:w="1468"/>
            <w:vAlign w:val="top"/>
          </w:tcPr>
          <w:p>
            <w:pPr>
              <w:spacing w:after="60" w:line="259" w:lineRule="auto"/>
            </w:pPr>
            <w:r>
              <w:rPr>
                <w:rFonts w:ascii="Calibri" w:hAnsi="Calibri"/>
                <w:b w:val="0"/>
                <w:i w:val="0"/>
                <w:color w:val="212121"/>
                <w:sz w:val="19"/>
              </w:rPr>
              <w:t>Duration and closeness of bird contact scale the infection risk</w:t>
            </w:r>
          </w:p>
          <w:p>
            <w:pPr>
              <w:spacing w:after="40" w:line="252" w:lineRule="auto"/>
            </w:pPr>
            <w:hyperlink r:id="rId12">
              <w:r>
                <w:rPr>
                  <w:rFonts w:ascii="Calibri" w:hAnsi="Calibri" w:cs="Calibri"/>
                  <w:sz w:val="18"/>
                  <w:color w:val="1155CC"/>
                  <w:u w:val="single"/>
                </w:rPr>
                <w:t xml:space="preserve">https://www.gavi.org/vaccineswork/sitting-ducks-how-likely-bird-flu-pandemic-india</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Influenza A H5 (N1) RNA</w:t>
            </w:r>
          </w:p>
        </w:tc>
        <w:tc>
          <w:tcPr>
            <w:tcW w:type="dxa" w:w="892"/>
            <w:vAlign w:val="top"/>
          </w:tcPr>
          <w:p>
            <w:pPr>
              <w:spacing w:after="40" w:before="0" w:line="259" w:lineRule="auto"/>
            </w:pPr>
            <w:r>
              <w:rPr>
                <w:rFonts w:ascii="Calibri" w:hAnsi="Calibri"/>
                <w:b w:val="0"/>
                <w:i w:val="0"/>
                <w:color w:val="212121"/>
                <w:sz w:val="16"/>
              </w:rPr>
              <w:t>rRT-PCR (respiratory specimen)</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Influenza A H5/N1 detected, or influenza A positive but not seasonal-subtypeable</w:t>
            </w:r>
          </w:p>
        </w:tc>
        <w:tc>
          <w:tcPr>
            <w:tcW w:type="dxa" w:w="1036"/>
            <w:vAlign w:val="top"/>
          </w:tcPr>
          <w:p>
            <w:pPr>
              <w:spacing w:after="40" w:before="0" w:line="259" w:lineRule="auto"/>
            </w:pPr>
            <w:r>
              <w:rPr>
                <w:rFonts w:ascii="Calibri" w:hAnsi="Calibri"/>
                <w:b w:val="0"/>
                <w:i w:val="0"/>
                <w:color w:val="212121"/>
                <w:sz w:val="16"/>
              </w:rPr>
              <w:t>Reference test; confirms H5N1 and flags presumptive novel/avian influenza for urgent subtyping</w:t>
            </w:r>
          </w:p>
        </w:tc>
        <w:tc>
          <w:tcPr>
            <w:tcW w:type="dxa" w:w="1036"/>
            <w:vAlign w:val="top"/>
          </w:tcPr>
          <w:p>
            <w:pPr>
              <w:spacing w:after="40" w:before="0" w:line="259" w:lineRule="auto"/>
            </w:pPr>
            <w:r>
              <w:rPr>
                <w:rFonts w:ascii="Calibri" w:hAnsi="Calibri"/>
                <w:b w:val="0"/>
                <w:i w:val="0"/>
                <w:color w:val="212121"/>
                <w:sz w:val="16"/>
              </w:rPr>
              <w:t>Severe respiratory illness with bird exposure</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Lower-respiratory samples give highest yield; confirmed at NIV Pune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Molecular/Genomic</w:t>
            </w:r>
          </w:p>
        </w:tc>
        <w:tc>
          <w:tcPr>
            <w:tcW w:type="dxa" w:w="1036"/>
            <w:vAlign w:val="top"/>
          </w:tcPr>
          <w:p>
            <w:pPr>
              <w:spacing w:after="40" w:before="0" w:line="259" w:lineRule="auto"/>
            </w:pPr>
            <w:r>
              <w:rPr>
                <w:rFonts w:ascii="Calibri" w:hAnsi="Calibri"/>
                <w:b w:val="0"/>
                <w:i w:val="0"/>
                <w:color w:val="212121"/>
                <w:sz w:val="16"/>
              </w:rPr>
              <w:t>Clade &amp; mutation profile</w:t>
            </w:r>
          </w:p>
        </w:tc>
        <w:tc>
          <w:tcPr>
            <w:tcW w:type="dxa" w:w="892"/>
            <w:vAlign w:val="top"/>
          </w:tcPr>
          <w:p>
            <w:pPr>
              <w:spacing w:after="40" w:before="0" w:line="259" w:lineRule="auto"/>
            </w:pPr>
            <w:r>
              <w:rPr>
                <w:rFonts w:ascii="Calibri" w:hAnsi="Calibri"/>
                <w:b w:val="0"/>
                <w:i w:val="0"/>
                <w:color w:val="212121"/>
                <w:sz w:val="16"/>
              </w:rPr>
              <w:t>Whole-genome sequencing</w:t>
            </w:r>
          </w:p>
        </w:tc>
        <w:tc>
          <w:tcPr>
            <w:tcW w:type="dxa" w:w="950"/>
            <w:vAlign w:val="top"/>
          </w:tcPr>
          <w:p>
            <w:pPr>
              <w:spacing w:after="40" w:before="0" w:line="259" w:lineRule="auto"/>
            </w:pPr>
            <w:r>
              <w:rPr>
                <w:rFonts w:ascii="Calibri" w:hAnsi="Calibri"/>
                <w:b w:val="0"/>
                <w:i w:val="0"/>
                <w:color w:val="212121"/>
                <w:sz w:val="16"/>
              </w:rPr>
              <w:t>NA</w:t>
            </w:r>
          </w:p>
        </w:tc>
        <w:tc>
          <w:tcPr>
            <w:tcW w:type="dxa" w:w="950"/>
            <w:vAlign w:val="top"/>
          </w:tcPr>
          <w:p>
            <w:pPr>
              <w:spacing w:after="40" w:before="0" w:line="259" w:lineRule="auto"/>
            </w:pPr>
            <w:r>
              <w:rPr>
                <w:rFonts w:ascii="Calibri" w:hAnsi="Calibri"/>
                <w:b w:val="0"/>
                <w:i w:val="0"/>
                <w:color w:val="212121"/>
                <w:sz w:val="16"/>
              </w:rPr>
              <w:t>Clade 2.3.2.1a / 2.3.4.4b; mammalian-adaptation or resistance markers</w:t>
            </w:r>
          </w:p>
        </w:tc>
        <w:tc>
          <w:tcPr>
            <w:tcW w:type="dxa" w:w="1036"/>
            <w:vAlign w:val="top"/>
          </w:tcPr>
          <w:p>
            <w:pPr>
              <w:spacing w:after="40" w:before="0" w:line="259" w:lineRule="auto"/>
            </w:pPr>
            <w:r>
              <w:rPr>
                <w:rFonts w:ascii="Calibri" w:hAnsi="Calibri"/>
                <w:b w:val="0"/>
                <w:i w:val="0"/>
                <w:color w:val="212121"/>
                <w:sz w:val="16"/>
              </w:rPr>
              <w:t>Characterises clade and screens for pandemic-relevant and antiviral-resistance mutations</w:t>
            </w:r>
          </w:p>
        </w:tc>
        <w:tc>
          <w:tcPr>
            <w:tcW w:type="dxa" w:w="1036"/>
            <w:vAlign w:val="top"/>
          </w:tcPr>
          <w:p>
            <w:pPr>
              <w:spacing w:after="40" w:before="0" w:line="259" w:lineRule="auto"/>
            </w:pPr>
            <w:r>
              <w:rPr>
                <w:rFonts w:ascii="Calibri" w:hAnsi="Calibri"/>
                <w:b w:val="0"/>
                <w:i w:val="0"/>
                <w:color w:val="212121"/>
                <w:sz w:val="16"/>
              </w:rPr>
              <w:t>Confirmed cases, outbreak investigation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Reference/epidemiological</w:t>
            </w:r>
          </w:p>
        </w:tc>
        <w:tc>
          <w:tcPr>
            <w:tcW w:type="dxa" w:w="720"/>
            <w:vAlign w:val="top"/>
          </w:tcPr>
          <w:p>
            <w:pPr>
              <w:spacing w:after="40" w:before="0" w:line="259" w:lineRule="auto"/>
            </w:pPr>
            <w:r>
              <w:rPr>
                <w:rFonts w:ascii="Calibri" w:hAnsi="Calibri"/>
                <w:b w:val="0"/>
                <w:i w:val="0"/>
                <w:color w:val="212121"/>
                <w:sz w:val="16"/>
              </w:rPr>
              <w:t>Guides risk assessment and antiviral choice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Lymphocyte &amp; platelet count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Lymphocytes 1.0–4.0 ×10⁹/L; platelets 1.5–4.5 lakh/µL</w:t>
            </w:r>
          </w:p>
        </w:tc>
        <w:tc>
          <w:tcPr>
            <w:tcW w:type="dxa" w:w="950"/>
            <w:vAlign w:val="top"/>
          </w:tcPr>
          <w:p>
            <w:pPr>
              <w:spacing w:after="40" w:before="0" w:line="259" w:lineRule="auto"/>
            </w:pPr>
            <w:r>
              <w:rPr>
                <w:rFonts w:ascii="Calibri" w:hAnsi="Calibri"/>
                <w:b w:val="0"/>
                <w:i w:val="0"/>
                <w:color w:val="212121"/>
                <w:sz w:val="16"/>
              </w:rPr>
              <w:t>Lymphopenia and thrombocytopenia</w:t>
            </w:r>
          </w:p>
        </w:tc>
        <w:tc>
          <w:tcPr>
            <w:tcW w:type="dxa" w:w="1036"/>
            <w:vAlign w:val="top"/>
          </w:tcPr>
          <w:p>
            <w:pPr>
              <w:spacing w:after="40" w:before="0" w:line="259" w:lineRule="auto"/>
            </w:pPr>
            <w:r>
              <w:rPr>
                <w:rFonts w:ascii="Calibri" w:hAnsi="Calibri"/>
                <w:b w:val="0"/>
                <w:i w:val="0"/>
                <w:color w:val="212121"/>
                <w:sz w:val="16"/>
              </w:rPr>
              <w:t>Marked lymphopenia and low platelets are characteristic and track severity</w:t>
            </w:r>
          </w:p>
        </w:tc>
        <w:tc>
          <w:tcPr>
            <w:tcW w:type="dxa" w:w="1036"/>
            <w:vAlign w:val="top"/>
          </w:tcPr>
          <w:p>
            <w:pPr>
              <w:spacing w:after="40" w:before="0" w:line="259" w:lineRule="auto"/>
            </w:pPr>
            <w:r>
              <w:rPr>
                <w:rFonts w:ascii="Calibri" w:hAnsi="Calibri"/>
                <w:b w:val="0"/>
                <w:i w:val="0"/>
                <w:color w:val="212121"/>
                <w:sz w:val="16"/>
              </w:rPr>
              <w:t>Severe/hospitalised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Leukopenia common—unlike typical bacterial pneumonia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AST/ALT, LDH</w:t>
            </w:r>
          </w:p>
        </w:tc>
        <w:tc>
          <w:tcPr>
            <w:tcW w:type="dxa" w:w="892"/>
            <w:vAlign w:val="top"/>
          </w:tcPr>
          <w:p>
            <w:pPr>
              <w:spacing w:after="40" w:before="0" w:line="259" w:lineRule="auto"/>
            </w:pPr>
            <w:r>
              <w:rPr>
                <w:rFonts w:ascii="Calibri" w:hAnsi="Calibri"/>
                <w:b w:val="0"/>
                <w:i w:val="0"/>
                <w:color w:val="212121"/>
                <w:sz w:val="16"/>
              </w:rPr>
              <w:t>Liver Function / LDH</w:t>
            </w:r>
          </w:p>
        </w:tc>
        <w:tc>
          <w:tcPr>
            <w:tcW w:type="dxa" w:w="950"/>
            <w:vAlign w:val="top"/>
          </w:tcPr>
          <w:p>
            <w:pPr>
              <w:spacing w:after="40" w:before="0" w:line="259" w:lineRule="auto"/>
            </w:pPr>
            <w:r>
              <w:rPr>
                <w:rFonts w:ascii="Calibri" w:hAnsi="Calibri"/>
                <w:b w:val="0"/>
                <w:i w:val="0"/>
                <w:color w:val="212121"/>
                <w:sz w:val="16"/>
              </w:rPr>
              <w:t>AST/ALT &lt; 40 U/L</w:t>
            </w:r>
          </w:p>
        </w:tc>
        <w:tc>
          <w:tcPr>
            <w:tcW w:type="dxa" w:w="950"/>
            <w:vAlign w:val="top"/>
          </w:tcPr>
          <w:p>
            <w:pPr>
              <w:spacing w:after="40" w:before="0" w:line="259" w:lineRule="auto"/>
            </w:pPr>
            <w:r>
              <w:rPr>
                <w:rFonts w:ascii="Calibri" w:hAnsi="Calibri"/>
                <w:b w:val="0"/>
                <w:i w:val="0"/>
                <w:color w:val="212121"/>
                <w:sz w:val="16"/>
              </w:rPr>
              <w:t>Elevated transaminases and LDH</w:t>
            </w:r>
          </w:p>
        </w:tc>
        <w:tc>
          <w:tcPr>
            <w:tcW w:type="dxa" w:w="1036"/>
            <w:vAlign w:val="top"/>
          </w:tcPr>
          <w:p>
            <w:pPr>
              <w:spacing w:after="40" w:before="0" w:line="259" w:lineRule="auto"/>
            </w:pPr>
            <w:r>
              <w:rPr>
                <w:rFonts w:ascii="Calibri" w:hAnsi="Calibri"/>
                <w:b w:val="0"/>
                <w:i w:val="0"/>
                <w:color w:val="212121"/>
                <w:sz w:val="16"/>
              </w:rPr>
              <w:t>Reflect systemic viral injury and severity</w:t>
            </w:r>
          </w:p>
        </w:tc>
        <w:tc>
          <w:tcPr>
            <w:tcW w:type="dxa" w:w="1036"/>
            <w:vAlign w:val="top"/>
          </w:tcPr>
          <w:p>
            <w:pPr>
              <w:spacing w:after="40" w:before="0" w:line="259" w:lineRule="auto"/>
            </w:pPr>
            <w:r>
              <w:rPr>
                <w:rFonts w:ascii="Calibri" w:hAnsi="Calibri"/>
                <w:b w:val="0"/>
                <w:i w:val="0"/>
                <w:color w:val="212121"/>
                <w:sz w:val="16"/>
              </w:rPr>
              <w:t>Severe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High LDH parallels lung injury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Lung infiltrates</w:t>
            </w:r>
          </w:p>
        </w:tc>
        <w:tc>
          <w:tcPr>
            <w:tcW w:type="dxa" w:w="892"/>
            <w:vAlign w:val="top"/>
          </w:tcPr>
          <w:p>
            <w:pPr>
              <w:spacing w:after="40" w:before="0" w:line="259" w:lineRule="auto"/>
            </w:pPr>
            <w:r>
              <w:rPr>
                <w:rFonts w:ascii="Calibri" w:hAnsi="Calibri"/>
                <w:b w:val="0"/>
                <w:i w:val="0"/>
                <w:color w:val="212121"/>
                <w:sz w:val="16"/>
              </w:rPr>
              <w:t>Chest X-ray / CT</w:t>
            </w:r>
          </w:p>
        </w:tc>
        <w:tc>
          <w:tcPr>
            <w:tcW w:type="dxa" w:w="950"/>
            <w:vAlign w:val="top"/>
          </w:tcPr>
          <w:p>
            <w:pPr>
              <w:spacing w:after="40" w:before="0" w:line="259" w:lineRule="auto"/>
            </w:pPr>
            <w:r>
              <w:rPr>
                <w:rFonts w:ascii="Calibri" w:hAnsi="Calibri"/>
                <w:b w:val="0"/>
                <w:i w:val="0"/>
                <w:color w:val="212121"/>
                <w:sz w:val="16"/>
              </w:rPr>
              <w:t>Clear lung fields</w:t>
            </w:r>
          </w:p>
        </w:tc>
        <w:tc>
          <w:tcPr>
            <w:tcW w:type="dxa" w:w="950"/>
            <w:vAlign w:val="top"/>
          </w:tcPr>
          <w:p>
            <w:pPr>
              <w:spacing w:after="40" w:before="0" w:line="259" w:lineRule="auto"/>
            </w:pPr>
            <w:r>
              <w:rPr>
                <w:rFonts w:ascii="Calibri" w:hAnsi="Calibri"/>
                <w:b w:val="0"/>
                <w:i w:val="0"/>
                <w:color w:val="212121"/>
                <w:sz w:val="16"/>
              </w:rPr>
              <w:t>Multifocal/bilateral consolidation, ground-glass opacities</w:t>
            </w:r>
          </w:p>
        </w:tc>
        <w:tc>
          <w:tcPr>
            <w:tcW w:type="dxa" w:w="1036"/>
            <w:vAlign w:val="top"/>
          </w:tcPr>
          <w:p>
            <w:pPr>
              <w:spacing w:after="40" w:before="0" w:line="259" w:lineRule="auto"/>
            </w:pPr>
            <w:r>
              <w:rPr>
                <w:rFonts w:ascii="Calibri" w:hAnsi="Calibri"/>
                <w:b w:val="0"/>
                <w:i w:val="0"/>
                <w:color w:val="212121"/>
                <w:sz w:val="16"/>
              </w:rPr>
              <w:t>Documents primary viral pneumonia and progression to ARDS</w:t>
            </w:r>
          </w:p>
        </w:tc>
        <w:tc>
          <w:tcPr>
            <w:tcW w:type="dxa" w:w="1036"/>
            <w:vAlign w:val="top"/>
          </w:tcPr>
          <w:p>
            <w:pPr>
              <w:spacing w:after="40" w:before="0" w:line="259" w:lineRule="auto"/>
            </w:pPr>
            <w:r>
              <w:rPr>
                <w:rFonts w:ascii="Calibri" w:hAnsi="Calibri"/>
                <w:b w:val="0"/>
                <w:i w:val="0"/>
                <w:color w:val="212121"/>
                <w:sz w:val="16"/>
              </w:rPr>
              <w:t>Patients with respiratory involvement</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Diagnostic/prognostic</w:t>
            </w:r>
          </w:p>
        </w:tc>
        <w:tc>
          <w:tcPr>
            <w:tcW w:type="dxa" w:w="720"/>
            <w:vAlign w:val="top"/>
          </w:tcPr>
          <w:p>
            <w:pPr>
              <w:spacing w:after="40" w:before="0" w:line="259" w:lineRule="auto"/>
            </w:pPr>
            <w:r>
              <w:rPr>
                <w:rFonts w:ascii="Calibri" w:hAnsi="Calibri"/>
                <w:b w:val="0"/>
                <w:i w:val="0"/>
                <w:color w:val="212121"/>
                <w:sz w:val="16"/>
              </w:rPr>
              <w:t>Can progress rapidly over 24–48 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Blood gas / oximetry</w:t>
            </w:r>
          </w:p>
        </w:tc>
        <w:tc>
          <w:tcPr>
            <w:tcW w:type="dxa" w:w="1036"/>
            <w:vAlign w:val="top"/>
          </w:tcPr>
          <w:p>
            <w:pPr>
              <w:spacing w:after="40" w:before="0" w:line="259" w:lineRule="auto"/>
            </w:pPr>
            <w:r>
              <w:rPr>
                <w:rFonts w:ascii="Calibri" w:hAnsi="Calibri"/>
                <w:b w:val="0"/>
                <w:i w:val="0"/>
                <w:color w:val="212121"/>
                <w:sz w:val="16"/>
              </w:rPr>
              <w:t>Oxygenation (SpO₂, PaO₂/FiO₂)</w:t>
            </w:r>
          </w:p>
        </w:tc>
        <w:tc>
          <w:tcPr>
            <w:tcW w:type="dxa" w:w="892"/>
            <w:vAlign w:val="top"/>
          </w:tcPr>
          <w:p>
            <w:pPr>
              <w:spacing w:after="40" w:before="0" w:line="259" w:lineRule="auto"/>
            </w:pPr>
            <w:r>
              <w:rPr>
                <w:rFonts w:ascii="Calibri" w:hAnsi="Calibri"/>
                <w:b w:val="0"/>
                <w:i w:val="0"/>
                <w:color w:val="212121"/>
                <w:sz w:val="16"/>
              </w:rPr>
              <w:t>Pulse oximetry / ABG</w:t>
            </w:r>
          </w:p>
        </w:tc>
        <w:tc>
          <w:tcPr>
            <w:tcW w:type="dxa" w:w="950"/>
            <w:vAlign w:val="top"/>
          </w:tcPr>
          <w:p>
            <w:pPr>
              <w:spacing w:after="40" w:before="0" w:line="259" w:lineRule="auto"/>
            </w:pPr>
            <w:r>
              <w:rPr>
                <w:rFonts w:ascii="Calibri" w:hAnsi="Calibri"/>
                <w:b w:val="0"/>
                <w:i w:val="0"/>
                <w:color w:val="212121"/>
                <w:sz w:val="16"/>
              </w:rPr>
              <w:t>SpO₂ ≥ 94% on air</w:t>
            </w:r>
          </w:p>
        </w:tc>
        <w:tc>
          <w:tcPr>
            <w:tcW w:type="dxa" w:w="950"/>
            <w:vAlign w:val="top"/>
          </w:tcPr>
          <w:p>
            <w:pPr>
              <w:spacing w:after="40" w:before="0" w:line="259" w:lineRule="auto"/>
            </w:pPr>
            <w:r>
              <w:rPr>
                <w:rFonts w:ascii="Calibri" w:hAnsi="Calibri"/>
                <w:b w:val="0"/>
                <w:i w:val="0"/>
                <w:color w:val="212121"/>
                <w:sz w:val="16"/>
              </w:rPr>
              <w:t>Hypoxaemia; PaO₂/FiO₂ ≤ 300 (ARDS)</w:t>
            </w:r>
          </w:p>
        </w:tc>
        <w:tc>
          <w:tcPr>
            <w:tcW w:type="dxa" w:w="1036"/>
            <w:vAlign w:val="top"/>
          </w:tcPr>
          <w:p>
            <w:pPr>
              <w:spacing w:after="40" w:before="0" w:line="259" w:lineRule="auto"/>
            </w:pPr>
            <w:r>
              <w:rPr>
                <w:rFonts w:ascii="Calibri" w:hAnsi="Calibri"/>
                <w:b w:val="0"/>
                <w:i w:val="0"/>
                <w:color w:val="212121"/>
                <w:sz w:val="16"/>
              </w:rPr>
              <w:t>Detects and grades hypoxaemic respiratory failure/ARDS</w:t>
            </w:r>
          </w:p>
        </w:tc>
        <w:tc>
          <w:tcPr>
            <w:tcW w:type="dxa" w:w="1036"/>
            <w:vAlign w:val="top"/>
          </w:tcPr>
          <w:p>
            <w:pPr>
              <w:spacing w:after="40" w:before="0" w:line="259" w:lineRule="auto"/>
            </w:pPr>
            <w:r>
              <w:rPr>
                <w:rFonts w:ascii="Calibri" w:hAnsi="Calibri"/>
                <w:b w:val="0"/>
                <w:i w:val="0"/>
                <w:color w:val="212121"/>
                <w:sz w:val="16"/>
              </w:rPr>
              <w:t>Severe cases needing oxygen/ventilation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oxygen and ventilatory support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CRP, ferritin (± cytokines)</w:t>
            </w:r>
          </w:p>
        </w:tc>
        <w:tc>
          <w:tcPr>
            <w:tcW w:type="dxa" w:w="892"/>
            <w:vAlign w:val="top"/>
          </w:tcPr>
          <w:p>
            <w:pPr>
              <w:spacing w:after="40" w:before="0" w:line="259" w:lineRule="auto"/>
            </w:pPr>
            <w:r>
              <w:rPr>
                <w:rFonts w:ascii="Calibri" w:hAnsi="Calibri"/>
                <w:b w:val="0"/>
                <w:i w:val="0"/>
                <w:color w:val="212121"/>
                <w:sz w:val="16"/>
              </w:rPr>
              <w:t>CRP / Ferritin</w:t>
            </w:r>
          </w:p>
        </w:tc>
        <w:tc>
          <w:tcPr>
            <w:tcW w:type="dxa" w:w="950"/>
            <w:vAlign w:val="top"/>
          </w:tcPr>
          <w:p>
            <w:pPr>
              <w:spacing w:after="40" w:before="0" w:line="259" w:lineRule="auto"/>
            </w:pPr>
            <w:r>
              <w:rPr>
                <w:rFonts w:ascii="Calibri" w:hAnsi="Calibri"/>
                <w:b w:val="0"/>
                <w:i w:val="0"/>
                <w:color w:val="212121"/>
                <w:sz w:val="16"/>
              </w:rPr>
              <w:t>CRP &lt; 5 mg/L; ferritin normal</w:t>
            </w:r>
          </w:p>
        </w:tc>
        <w:tc>
          <w:tcPr>
            <w:tcW w:type="dxa" w:w="950"/>
            <w:vAlign w:val="top"/>
          </w:tcPr>
          <w:p>
            <w:pPr>
              <w:spacing w:after="40" w:before="0" w:line="259" w:lineRule="auto"/>
            </w:pPr>
            <w:r>
              <w:rPr>
                <w:rFonts w:ascii="Calibri" w:hAnsi="Calibri"/>
                <w:b w:val="0"/>
                <w:i w:val="0"/>
                <w:color w:val="212121"/>
                <w:sz w:val="16"/>
              </w:rPr>
              <w:t>Markedly elevated</w:t>
            </w:r>
          </w:p>
        </w:tc>
        <w:tc>
          <w:tcPr>
            <w:tcW w:type="dxa" w:w="1036"/>
            <w:vAlign w:val="top"/>
          </w:tcPr>
          <w:p>
            <w:pPr>
              <w:spacing w:after="40" w:before="0" w:line="259" w:lineRule="auto"/>
            </w:pPr>
            <w:r>
              <w:rPr>
                <w:rFonts w:ascii="Calibri" w:hAnsi="Calibri"/>
                <w:b w:val="0"/>
                <w:i w:val="0"/>
                <w:color w:val="212121"/>
                <w:sz w:val="16"/>
              </w:rPr>
              <w:t>Very high ferritin/CRP suggest hyperinflammation (‘cytokine storm’) and secondary HLH</w:t>
            </w:r>
          </w:p>
        </w:tc>
        <w:tc>
          <w:tcPr>
            <w:tcW w:type="dxa" w:w="1036"/>
            <w:vAlign w:val="top"/>
          </w:tcPr>
          <w:p>
            <w:pPr>
              <w:spacing w:after="40" w:before="0" w:line="259" w:lineRule="auto"/>
            </w:pPr>
            <w:r>
              <w:rPr>
                <w:rFonts w:ascii="Calibri" w:hAnsi="Calibri"/>
                <w:b w:val="0"/>
                <w:i w:val="0"/>
                <w:color w:val="212121"/>
                <w:sz w:val="16"/>
              </w:rPr>
              <w:t>Severe/deteriorating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Support escalation and immunomodulation decisions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Contact with sick/dead poultry, culling, live-bird market, raw poultry/eggs, travel to outbreak area (≤7 days)</w:t>
            </w:r>
          </w:p>
        </w:tc>
        <w:tc>
          <w:tcPr>
            <w:tcW w:type="dxa" w:w="950"/>
            <w:vAlign w:val="top"/>
          </w:tcPr>
          <w:p>
            <w:pPr>
              <w:spacing w:after="40" w:before="0" w:line="259" w:lineRule="auto"/>
            </w:pPr>
            <w:r>
              <w:rPr>
                <w:rFonts w:ascii="Calibri" w:hAnsi="Calibri"/>
                <w:b w:val="0"/>
                <w:i w:val="0"/>
                <w:color w:val="212121"/>
                <w:sz w:val="16"/>
              </w:rPr>
              <w:t>No bird/poultry exposure</w:t>
            </w:r>
          </w:p>
        </w:tc>
        <w:tc>
          <w:tcPr>
            <w:tcW w:type="dxa" w:w="950"/>
            <w:vAlign w:val="top"/>
          </w:tcPr>
          <w:p>
            <w:pPr>
              <w:spacing w:after="40" w:before="0" w:line="259" w:lineRule="auto"/>
            </w:pPr>
            <w:r>
              <w:rPr>
                <w:rFonts w:ascii="Calibri" w:hAnsi="Calibri"/>
                <w:b w:val="0"/>
                <w:i w:val="0"/>
                <w:color w:val="212121"/>
                <w:sz w:val="16"/>
              </w:rPr>
              <w:t>Relevant avian exposure within incubation window</w:t>
            </w:r>
          </w:p>
        </w:tc>
        <w:tc>
          <w:tcPr>
            <w:tcW w:type="dxa" w:w="1036"/>
            <w:vAlign w:val="top"/>
          </w:tcPr>
          <w:p>
            <w:pPr>
              <w:spacing w:after="40" w:before="0" w:line="259" w:lineRule="auto"/>
            </w:pPr>
            <w:r>
              <w:rPr>
                <w:rFonts w:ascii="Calibri" w:hAnsi="Calibri"/>
                <w:b w:val="0"/>
                <w:i w:val="0"/>
                <w:color w:val="212121"/>
                <w:sz w:val="16"/>
              </w:rPr>
              <w:t>Compatible exposure is the single most important pointer and triggers avian-influenza testing</w:t>
            </w:r>
          </w:p>
        </w:tc>
        <w:tc>
          <w:tcPr>
            <w:tcW w:type="dxa" w:w="1036"/>
            <w:vAlign w:val="top"/>
          </w:tcPr>
          <w:p>
            <w:pPr>
              <w:spacing w:after="40" w:before="0" w:line="259" w:lineRule="auto"/>
            </w:pPr>
            <w:r>
              <w:rPr>
                <w:rFonts w:ascii="Calibri" w:hAnsi="Calibri"/>
                <w:b w:val="0"/>
                <w:i w:val="0"/>
                <w:color w:val="212121"/>
                <w:sz w:val="16"/>
              </w:rPr>
              <w:t>Poultry workers, backyard keepers, outbreak-area residents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Always volunteer bird contact to the laboratory so H5 testing is done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Abrupt high fever with cough and rapidly worsening breathlessness (± diarrhoea)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Classic prodrome of severe H5N1; rapid respiratory progression is a red flag</w:t>
            </w:r>
          </w:p>
        </w:tc>
        <w:tc>
          <w:tcPr>
            <w:tcW w:type="dxa" w:w="1036"/>
            <w:vAlign w:val="top"/>
          </w:tcPr>
          <w:p>
            <w:pPr>
              <w:spacing w:after="40" w:before="0" w:line="259" w:lineRule="auto"/>
            </w:pPr>
            <w:r>
              <w:rPr>
                <w:rFonts w:ascii="Calibri" w:hAnsi="Calibri"/>
                <w:b w:val="0"/>
                <w:i w:val="0"/>
                <w:color w:val="212121"/>
                <w:sz w:val="16"/>
              </w:rPr>
              <w:t>Acute febrile respiratory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GI symptoms may precede respiratory ones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Conjunctivitis</w:t>
            </w:r>
          </w:p>
        </w:tc>
        <w:tc>
          <w:tcPr>
            <w:tcW w:type="dxa" w:w="979"/>
            <w:vAlign w:val="top"/>
          </w:tcPr>
          <w:p>
            <w:pPr>
              <w:spacing w:after="40" w:before="0" w:line="259" w:lineRule="auto"/>
            </w:pPr>
            <w:r>
              <w:rPr>
                <w:rFonts w:ascii="Calibri" w:hAnsi="Calibri"/>
                <w:b w:val="0"/>
                <w:i w:val="0"/>
                <w:color w:val="212121"/>
                <w:sz w:val="16"/>
              </w:rPr>
              <w:t>Red, watery eye(s)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Conjunctival injection/conjunctivitis</w:t>
            </w:r>
          </w:p>
        </w:tc>
        <w:tc>
          <w:tcPr>
            <w:tcW w:type="dxa" w:w="1036"/>
            <w:vAlign w:val="top"/>
          </w:tcPr>
          <w:p>
            <w:pPr>
              <w:spacing w:after="40" w:before="0" w:line="259" w:lineRule="auto"/>
            </w:pPr>
            <w:r>
              <w:rPr>
                <w:rFonts w:ascii="Calibri" w:hAnsi="Calibri"/>
                <w:b w:val="0"/>
                <w:i w:val="0"/>
                <w:color w:val="212121"/>
                <w:sz w:val="16"/>
              </w:rPr>
              <w:t>A recognised presentation, especially with clade 2.3.4.4b exposure</w:t>
            </w:r>
          </w:p>
        </w:tc>
        <w:tc>
          <w:tcPr>
            <w:tcW w:type="dxa" w:w="1036"/>
            <w:vAlign w:val="top"/>
          </w:tcPr>
          <w:p>
            <w:pPr>
              <w:spacing w:after="40" w:before="0" w:line="259" w:lineRule="auto"/>
            </w:pPr>
            <w:r>
              <w:rPr>
                <w:rFonts w:ascii="Calibri" w:hAnsi="Calibri"/>
                <w:b w:val="0"/>
                <w:i w:val="0"/>
                <w:color w:val="212121"/>
                <w:sz w:val="16"/>
              </w:rPr>
              <w:t>Dairy/poultry-exposed, mild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 clue</w:t>
            </w:r>
          </w:p>
        </w:tc>
        <w:tc>
          <w:tcPr>
            <w:tcW w:type="dxa" w:w="720"/>
            <w:vAlign w:val="top"/>
          </w:tcPr>
          <w:p>
            <w:pPr>
              <w:spacing w:after="40" w:before="0" w:line="259" w:lineRule="auto"/>
            </w:pPr>
            <w:r>
              <w:rPr>
                <w:rFonts w:ascii="Calibri" w:hAnsi="Calibri"/>
                <w:b w:val="0"/>
                <w:i w:val="0"/>
                <w:color w:val="212121"/>
                <w:sz w:val="16"/>
              </w:rPr>
              <w:t>Send a conjunctival swab for H5 PCR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Respiratory exam</w:t>
            </w:r>
          </w:p>
        </w:tc>
        <w:tc>
          <w:tcPr>
            <w:tcW w:type="dxa" w:w="950"/>
            <w:vAlign w:val="top"/>
          </w:tcPr>
          <w:p>
            <w:pPr>
              <w:spacing w:after="40" w:before="0" w:line="259" w:lineRule="auto"/>
            </w:pPr>
            <w:r>
              <w:rPr>
                <w:rFonts w:ascii="Calibri" w:hAnsi="Calibri"/>
                <w:b w:val="0"/>
                <w:i w:val="0"/>
                <w:color w:val="212121"/>
                <w:sz w:val="16"/>
              </w:rPr>
              <w:t>Auscultation &amp; work of breathing</w:t>
            </w:r>
          </w:p>
        </w:tc>
        <w:tc>
          <w:tcPr>
            <w:tcW w:type="dxa" w:w="979"/>
            <w:vAlign w:val="top"/>
          </w:tcPr>
          <w:p>
            <w:pPr>
              <w:spacing w:after="40" w:before="0" w:line="259" w:lineRule="auto"/>
            </w:pPr>
            <w:r>
              <w:rPr>
                <w:rFonts w:ascii="Calibri" w:hAnsi="Calibri"/>
                <w:b w:val="0"/>
                <w:i w:val="0"/>
                <w:color w:val="212121"/>
                <w:sz w:val="16"/>
              </w:rPr>
              <w:t>Crackles, bronchial breathing, tachypnoea, accessory-muscle use</w:t>
            </w:r>
          </w:p>
        </w:tc>
        <w:tc>
          <w:tcPr>
            <w:tcW w:type="dxa" w:w="950"/>
            <w:vAlign w:val="top"/>
          </w:tcPr>
          <w:p>
            <w:pPr>
              <w:spacing w:after="40" w:before="0" w:line="259" w:lineRule="auto"/>
            </w:pPr>
            <w:r>
              <w:rPr>
                <w:rFonts w:ascii="Calibri" w:hAnsi="Calibri"/>
                <w:b w:val="0"/>
                <w:i w:val="0"/>
                <w:color w:val="212121"/>
                <w:sz w:val="16"/>
              </w:rPr>
              <w:t>Clear chest, normal effort</w:t>
            </w:r>
          </w:p>
        </w:tc>
        <w:tc>
          <w:tcPr>
            <w:tcW w:type="dxa" w:w="950"/>
            <w:vAlign w:val="top"/>
          </w:tcPr>
          <w:p>
            <w:pPr>
              <w:spacing w:after="40" w:before="0" w:line="259" w:lineRule="auto"/>
            </w:pPr>
            <w:r>
              <w:rPr>
                <w:rFonts w:ascii="Calibri" w:hAnsi="Calibri"/>
                <w:b w:val="0"/>
                <w:i w:val="0"/>
                <w:color w:val="212121"/>
                <w:sz w:val="16"/>
              </w:rPr>
              <w:t>Crackles/consolidation with respiratory distress</w:t>
            </w:r>
          </w:p>
        </w:tc>
        <w:tc>
          <w:tcPr>
            <w:tcW w:type="dxa" w:w="1036"/>
            <w:vAlign w:val="top"/>
          </w:tcPr>
          <w:p>
            <w:pPr>
              <w:spacing w:after="40" w:before="0" w:line="259" w:lineRule="auto"/>
            </w:pPr>
            <w:r>
              <w:rPr>
                <w:rFonts w:ascii="Calibri" w:hAnsi="Calibri"/>
                <w:b w:val="0"/>
                <w:i w:val="0"/>
                <w:color w:val="212121"/>
                <w:sz w:val="16"/>
              </w:rPr>
              <w:t>Signals viral pneumonia and impending respiratory failure</w:t>
            </w:r>
          </w:p>
        </w:tc>
        <w:tc>
          <w:tcPr>
            <w:tcW w:type="dxa" w:w="1036"/>
            <w:vAlign w:val="top"/>
          </w:tcPr>
          <w:p>
            <w:pPr>
              <w:spacing w:after="40" w:before="0" w:line="259" w:lineRule="auto"/>
            </w:pPr>
            <w:r>
              <w:rPr>
                <w:rFonts w:ascii="Calibri" w:hAnsi="Calibri"/>
                <w:b w:val="0"/>
                <w:i w:val="0"/>
                <w:color w:val="212121"/>
                <w:sz w:val="16"/>
              </w:rPr>
              <w:t>Patients with pneumonia</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Deterioration can be rapid—reassess frequently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Vitals &amp; monitoring</w:t>
            </w:r>
          </w:p>
        </w:tc>
        <w:tc>
          <w:tcPr>
            <w:tcW w:type="dxa" w:w="950"/>
            <w:vAlign w:val="top"/>
          </w:tcPr>
          <w:p>
            <w:pPr>
              <w:spacing w:after="40" w:before="0" w:line="259" w:lineRule="auto"/>
            </w:pPr>
            <w:r>
              <w:rPr>
                <w:rFonts w:ascii="Calibri" w:hAnsi="Calibri"/>
                <w:b w:val="0"/>
                <w:i w:val="0"/>
                <w:color w:val="212121"/>
                <w:sz w:val="16"/>
              </w:rPr>
              <w:t>SpO₂, respiratory rate, BP</w:t>
            </w:r>
          </w:p>
        </w:tc>
        <w:tc>
          <w:tcPr>
            <w:tcW w:type="dxa" w:w="979"/>
            <w:vAlign w:val="top"/>
          </w:tcPr>
          <w:p>
            <w:pPr>
              <w:spacing w:after="40" w:before="0" w:line="259" w:lineRule="auto"/>
            </w:pPr>
            <w:r>
              <w:rPr>
                <w:rFonts w:ascii="Calibri" w:hAnsi="Calibri"/>
                <w:b w:val="0"/>
                <w:i w:val="0"/>
                <w:color w:val="212121"/>
                <w:sz w:val="16"/>
              </w:rPr>
              <w:t>Hypoxia, tachypnoea, hypotension</w:t>
            </w:r>
          </w:p>
        </w:tc>
        <w:tc>
          <w:tcPr>
            <w:tcW w:type="dxa" w:w="950"/>
            <w:vAlign w:val="top"/>
          </w:tcPr>
          <w:p>
            <w:pPr>
              <w:spacing w:after="40" w:before="0" w:line="259" w:lineRule="auto"/>
            </w:pPr>
            <w:r>
              <w:rPr>
                <w:rFonts w:ascii="Calibri" w:hAnsi="Calibri"/>
                <w:b w:val="0"/>
                <w:i w:val="0"/>
                <w:color w:val="212121"/>
                <w:sz w:val="16"/>
              </w:rPr>
              <w:t>SpO₂ ≥ 94%, RR &lt; 20, normotensive</w:t>
            </w:r>
          </w:p>
        </w:tc>
        <w:tc>
          <w:tcPr>
            <w:tcW w:type="dxa" w:w="950"/>
            <w:vAlign w:val="top"/>
          </w:tcPr>
          <w:p>
            <w:pPr>
              <w:spacing w:after="40" w:before="0" w:line="259" w:lineRule="auto"/>
            </w:pPr>
            <w:r>
              <w:rPr>
                <w:rFonts w:ascii="Calibri" w:hAnsi="Calibri"/>
                <w:b w:val="0"/>
                <w:i w:val="0"/>
                <w:color w:val="212121"/>
                <w:sz w:val="16"/>
              </w:rPr>
              <w:t>Desaturation, RR &gt; 30, shock</w:t>
            </w:r>
          </w:p>
        </w:tc>
        <w:tc>
          <w:tcPr>
            <w:tcW w:type="dxa" w:w="1036"/>
            <w:vAlign w:val="top"/>
          </w:tcPr>
          <w:p>
            <w:pPr>
              <w:spacing w:after="40" w:before="0" w:line="259" w:lineRule="auto"/>
            </w:pPr>
            <w:r>
              <w:rPr>
                <w:rFonts w:ascii="Calibri" w:hAnsi="Calibri"/>
                <w:b w:val="0"/>
                <w:i w:val="0"/>
                <w:color w:val="212121"/>
                <w:sz w:val="16"/>
              </w:rPr>
              <w:t>Identifies respiratory failure and sepsis needing ICU care</w:t>
            </w:r>
          </w:p>
        </w:tc>
        <w:tc>
          <w:tcPr>
            <w:tcW w:type="dxa" w:w="1036"/>
            <w:vAlign w:val="top"/>
          </w:tcPr>
          <w:p>
            <w:pPr>
              <w:spacing w:after="40" w:before="0" w:line="259" w:lineRule="auto"/>
            </w:pPr>
            <w:r>
              <w:rPr>
                <w:rFonts w:ascii="Calibri" w:hAnsi="Calibri"/>
                <w:b w:val="0"/>
                <w:i w:val="0"/>
                <w:color w:val="212121"/>
                <w:sz w:val="16"/>
              </w:rPr>
              <w:t>Severe/deteriorating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Drives oxygen, ventilation and ICU escalation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assessment</w:t>
            </w:r>
          </w:p>
        </w:tc>
        <w:tc>
          <w:tcPr>
            <w:tcW w:type="dxa" w:w="950"/>
            <w:vAlign w:val="top"/>
          </w:tcPr>
          <w:p>
            <w:pPr>
              <w:spacing w:after="40" w:before="0" w:line="259" w:lineRule="auto"/>
            </w:pPr>
            <w:r>
              <w:rPr>
                <w:rFonts w:ascii="Calibri" w:hAnsi="Calibri"/>
                <w:b w:val="0"/>
                <w:i w:val="0"/>
                <w:color w:val="212121"/>
                <w:sz w:val="16"/>
              </w:rPr>
              <w:t>Conscious level &amp; meningism</w:t>
            </w:r>
          </w:p>
        </w:tc>
        <w:tc>
          <w:tcPr>
            <w:tcW w:type="dxa" w:w="979"/>
            <w:vAlign w:val="top"/>
          </w:tcPr>
          <w:p>
            <w:pPr>
              <w:spacing w:after="40" w:before="0" w:line="259" w:lineRule="auto"/>
            </w:pPr>
            <w:r>
              <w:rPr>
                <w:rFonts w:ascii="Calibri" w:hAnsi="Calibri"/>
                <w:b w:val="0"/>
                <w:i w:val="0"/>
                <w:color w:val="212121"/>
                <w:sz w:val="16"/>
              </w:rPr>
              <w:t>Altered sensorium, seizures, neck stiffness</w:t>
            </w:r>
          </w:p>
        </w:tc>
        <w:tc>
          <w:tcPr>
            <w:tcW w:type="dxa" w:w="950"/>
            <w:vAlign w:val="top"/>
          </w:tcPr>
          <w:p>
            <w:pPr>
              <w:spacing w:after="40" w:before="0" w:line="259" w:lineRule="auto"/>
            </w:pPr>
            <w:r>
              <w:rPr>
                <w:rFonts w:ascii="Calibri" w:hAnsi="Calibri"/>
                <w:b w:val="0"/>
                <w:i w:val="0"/>
                <w:color w:val="212121"/>
                <w:sz w:val="16"/>
              </w:rPr>
              <w:t>Alert, no meningism</w:t>
            </w:r>
          </w:p>
        </w:tc>
        <w:tc>
          <w:tcPr>
            <w:tcW w:type="dxa" w:w="950"/>
            <w:vAlign w:val="top"/>
          </w:tcPr>
          <w:p>
            <w:pPr>
              <w:spacing w:after="40" w:before="0" w:line="259" w:lineRule="auto"/>
            </w:pPr>
            <w:r>
              <w:rPr>
                <w:rFonts w:ascii="Calibri" w:hAnsi="Calibri"/>
                <w:b w:val="0"/>
                <w:i w:val="0"/>
                <w:color w:val="212121"/>
                <w:sz w:val="16"/>
              </w:rPr>
              <w:t>Encephalopathy/seizures</w:t>
            </w:r>
          </w:p>
        </w:tc>
        <w:tc>
          <w:tcPr>
            <w:tcW w:type="dxa" w:w="1036"/>
            <w:vAlign w:val="top"/>
          </w:tcPr>
          <w:p>
            <w:pPr>
              <w:spacing w:after="40" w:before="0" w:line="259" w:lineRule="auto"/>
            </w:pPr>
            <w:r>
              <w:rPr>
                <w:rFonts w:ascii="Calibri" w:hAnsi="Calibri"/>
                <w:b w:val="0"/>
                <w:i w:val="0"/>
                <w:color w:val="212121"/>
                <w:sz w:val="16"/>
              </w:rPr>
              <w:t>Detects CNS involvement (encephalitis) reported in some H5N1 cases</w:t>
            </w:r>
          </w:p>
        </w:tc>
        <w:tc>
          <w:tcPr>
            <w:tcW w:type="dxa" w:w="1036"/>
            <w:vAlign w:val="top"/>
          </w:tcPr>
          <w:p>
            <w:pPr>
              <w:spacing w:after="40" w:before="0" w:line="259" w:lineRule="auto"/>
            </w:pPr>
            <w:r>
              <w:rPr>
                <w:rFonts w:ascii="Calibri" w:hAnsi="Calibri"/>
                <w:b w:val="0"/>
                <w:i w:val="0"/>
                <w:color w:val="212121"/>
                <w:sz w:val="16"/>
              </w:rPr>
              <w:t>Severe cases,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Neurological disease may occur with or without prominent respiratory signs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High-grade fever with chills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Abrupt onset of fever, often &gt; 38–39°C, is the usual first symptom after the incubation period of 2–5 days (up to 7).</w:t>
            </w:r>
          </w:p>
        </w:tc>
      </w:tr>
      <w:tr>
        <w:trPr>
          <w:cantSplit/>
        </w:trPr>
        <w:tc>
          <w:tcPr>
            <w:tcW w:type="dxa" w:w="2304"/>
            <w:vAlign w:val="top"/>
          </w:tcPr>
          <w:p>
            <w:pPr>
              <w:spacing w:after="40" w:before="0" w:line="259" w:lineRule="auto"/>
            </w:pPr>
            <w:r>
              <w:rPr>
                <w:rFonts w:ascii="Calibri" w:hAnsi="Calibri"/>
                <w:b/>
                <w:i w:val="0"/>
                <w:color w:val="212121"/>
                <w:sz w:val="19"/>
              </w:rPr>
              <w:t>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Initially dry, becoming a prominent feature as lower-respiratory involvement develops.</w:t>
            </w:r>
          </w:p>
        </w:tc>
      </w:tr>
      <w:tr>
        <w:trPr>
          <w:cantSplit/>
        </w:trPr>
        <w:tc>
          <w:tcPr>
            <w:tcW w:type="dxa" w:w="2304"/>
            <w:vAlign w:val="top"/>
          </w:tcPr>
          <w:p>
            <w:pPr>
              <w:spacing w:after="40" w:before="0" w:line="259" w:lineRule="auto"/>
            </w:pPr>
            <w:r>
              <w:rPr>
                <w:rFonts w:ascii="Calibri" w:hAnsi="Calibri"/>
                <w:b/>
                <w:i w:val="0"/>
                <w:color w:val="212121"/>
                <w:sz w:val="19"/>
              </w:rPr>
              <w:t>Sore throat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Pharyngitis is a frequent early upper-respiratory symptom.</w:t>
            </w:r>
          </w:p>
        </w:tc>
      </w:tr>
      <w:tr>
        <w:trPr>
          <w:cantSplit/>
        </w:trPr>
        <w:tc>
          <w:tcPr>
            <w:tcW w:type="dxa" w:w="2304"/>
            <w:vAlign w:val="top"/>
          </w:tcPr>
          <w:p>
            <w:pPr>
              <w:spacing w:after="40" w:before="0" w:line="259" w:lineRule="auto"/>
            </w:pPr>
            <w:r>
              <w:rPr>
                <w:rFonts w:ascii="Calibri" w:hAnsi="Calibri"/>
                <w:b/>
                <w:i w:val="0"/>
                <w:color w:val="212121"/>
                <w:sz w:val="19"/>
              </w:rPr>
              <w:t>Myalgia and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Generalised body aches, headache and profound fatigue accompany the acute illness.</w:t>
            </w:r>
          </w:p>
        </w:tc>
      </w:tr>
      <w:tr>
        <w:trPr>
          <w:cantSplit/>
        </w:trPr>
        <w:tc>
          <w:tcPr>
            <w:tcW w:type="dxa" w:w="2304"/>
            <w:vAlign w:val="top"/>
          </w:tcPr>
          <w:p>
            <w:pPr>
              <w:spacing w:after="40" w:before="0" w:line="259" w:lineRule="auto"/>
            </w:pPr>
            <w:r>
              <w:rPr>
                <w:rFonts w:ascii="Calibri" w:hAnsi="Calibri"/>
                <w:b/>
                <w:i w:val="0"/>
                <w:color w:val="212121"/>
                <w:sz w:val="19"/>
              </w:rPr>
              <w:t>Breathlessness / rapidly worsening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shortness of breath signals viral pneumonia—the hallmark of severe H5N1—and can advance to ARDS within days.</w:t>
            </w:r>
          </w:p>
        </w:tc>
      </w:tr>
      <w:tr>
        <w:trPr>
          <w:cantSplit/>
        </w:trPr>
        <w:tc>
          <w:tcPr>
            <w:tcW w:type="dxa" w:w="2304"/>
            <w:vAlign w:val="top"/>
          </w:tcPr>
          <w:p>
            <w:pPr>
              <w:spacing w:after="40" w:before="0" w:line="259" w:lineRule="auto"/>
            </w:pPr>
            <w:r>
              <w:rPr>
                <w:rFonts w:ascii="Calibri" w:hAnsi="Calibri"/>
                <w:b/>
                <w:i w:val="0"/>
                <w:color w:val="212121"/>
                <w:sz w:val="19"/>
              </w:rPr>
              <w:t>Diarrhoea, nausea and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Gastrointestinal symptoms are more frequent than in seasonal influenza and may precede respiratory features.</w:t>
            </w:r>
          </w:p>
        </w:tc>
      </w:tr>
      <w:tr>
        <w:trPr>
          <w:cantSplit/>
        </w:trPr>
        <w:tc>
          <w:tcPr>
            <w:tcW w:type="dxa" w:w="2304"/>
            <w:vAlign w:val="top"/>
          </w:tcPr>
          <w:p>
            <w:pPr>
              <w:spacing w:after="40" w:before="0" w:line="259" w:lineRule="auto"/>
            </w:pPr>
            <w:r>
              <w:rPr>
                <w:rFonts w:ascii="Calibri" w:hAnsi="Calibri"/>
                <w:b/>
                <w:i w:val="0"/>
                <w:color w:val="212121"/>
                <w:sz w:val="19"/>
              </w:rPr>
              <w:t>Runny or stuffy nose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Coryza can occur early, particularly in milder presentations.</w:t>
            </w:r>
          </w:p>
        </w:tc>
      </w:tr>
      <w:tr>
        <w:trPr>
          <w:cantSplit/>
        </w:trPr>
        <w:tc>
          <w:tcPr>
            <w:tcW w:type="dxa" w:w="2304"/>
            <w:vAlign w:val="top"/>
          </w:tcPr>
          <w:p>
            <w:pPr>
              <w:spacing w:after="40" w:before="0" w:line="259" w:lineRule="auto"/>
            </w:pPr>
            <w:r>
              <w:rPr>
                <w:rFonts w:ascii="Calibri" w:hAnsi="Calibri"/>
                <w:b/>
                <w:i w:val="0"/>
                <w:color w:val="212121"/>
                <w:sz w:val="19"/>
              </w:rPr>
              <w:t>Conjunctivitis (red, watery eyes)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Eye involvement is characteristic of some clade 2.3.4.4b infections and may be the only feature in mild cases.</w:t>
            </w:r>
          </w:p>
        </w:tc>
      </w:tr>
      <w:tr>
        <w:trPr>
          <w:cantSplit/>
        </w:trPr>
        <w:tc>
          <w:tcPr>
            <w:tcW w:type="dxa" w:w="2304"/>
            <w:vAlign w:val="top"/>
          </w:tcPr>
          <w:p>
            <w:pPr>
              <w:spacing w:after="40" w:before="0" w:line="259" w:lineRule="auto"/>
            </w:pPr>
            <w:r>
              <w:rPr>
                <w:rFonts w:ascii="Calibri" w:hAnsi="Calibri"/>
                <w:b/>
                <w:i w:val="0"/>
                <w:color w:val="212121"/>
                <w:sz w:val="19"/>
              </w:rPr>
              <w:t>Chest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pneumonia or pleural involvement.</w:t>
            </w:r>
          </w:p>
        </w:tc>
      </w:tr>
      <w:tr>
        <w:trPr>
          <w:cantSplit/>
        </w:trPr>
        <w:tc>
          <w:tcPr>
            <w:tcW w:type="dxa" w:w="2304"/>
            <w:vAlign w:val="top"/>
          </w:tcPr>
          <w:p>
            <w:pPr>
              <w:spacing w:after="40" w:before="0" w:line="259" w:lineRule="auto"/>
            </w:pPr>
            <w:r>
              <w:rPr>
                <w:rFonts w:ascii="Calibri" w:hAnsi="Calibri"/>
                <w:b/>
                <w:i w:val="0"/>
                <w:color w:val="212121"/>
                <w:sz w:val="19"/>
              </w:rPr>
              <w:t>Bleeding from the nose or gums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Reflects thrombocytopenia and coagulopathy in severe systemic disease.</w:t>
            </w:r>
          </w:p>
        </w:tc>
      </w:tr>
      <w:tr>
        <w:trPr>
          <w:cantSplit/>
        </w:trPr>
        <w:tc>
          <w:tcPr>
            <w:tcW w:type="dxa" w:w="2304"/>
            <w:vAlign w:val="top"/>
          </w:tcPr>
          <w:p>
            <w:pPr>
              <w:spacing w:after="40" w:before="0" w:line="259" w:lineRule="auto"/>
            </w:pPr>
            <w:r>
              <w:rPr>
                <w:rFonts w:ascii="Calibri" w:hAnsi="Calibri"/>
                <w:b/>
                <w:i w:val="0"/>
                <w:color w:val="212121"/>
                <w:sz w:val="19"/>
              </w:rPr>
              <w:t>Altered consciousness / seizures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Encephalitis or encephalopathy has been reported, occasionally without prominent respiratory symptoms.</w:t>
            </w:r>
          </w:p>
        </w:tc>
      </w:tr>
      <w:tr>
        <w:trPr>
          <w:cantSplit/>
        </w:trPr>
        <w:tc>
          <w:tcPr>
            <w:tcW w:type="dxa" w:w="2304"/>
            <w:vAlign w:val="top"/>
          </w:tcPr>
          <w:p>
            <w:pPr>
              <w:spacing w:after="40" w:before="0" w:line="259" w:lineRule="auto"/>
            </w:pPr>
            <w:r>
              <w:rPr>
                <w:rFonts w:ascii="Calibri" w:hAnsi="Calibri"/>
                <w:b/>
                <w:i w:val="0"/>
                <w:color w:val="212121"/>
                <w:sz w:val="19"/>
              </w:rPr>
              <w:t>Sputum with blood (haemoptysis)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severe pneumonic involvement and alveolar damage.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Fever (often &gt; 38–39°C)</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Sustained high temperature during the acute illness.</w:t>
            </w:r>
          </w:p>
        </w:tc>
      </w:tr>
      <w:tr>
        <w:trPr>
          <w:cantSplit/>
        </w:trPr>
        <w:tc>
          <w:tcPr>
            <w:tcW w:type="dxa" w:w="3456"/>
            <w:vAlign w:val="top"/>
          </w:tcPr>
          <w:p>
            <w:pPr>
              <w:spacing w:after="40" w:before="0" w:line="259" w:lineRule="auto"/>
            </w:pPr>
            <w:r>
              <w:rPr>
                <w:rFonts w:ascii="Calibri" w:hAnsi="Calibri"/>
                <w:b/>
                <w:i w:val="0"/>
                <w:color w:val="212121"/>
                <w:sz w:val="19"/>
              </w:rPr>
              <w:t>Tachypnoea and respiratory distress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Increased respiratory rate with accessory-muscle use as pneumonia progresses.</w:t>
            </w:r>
          </w:p>
        </w:tc>
      </w:tr>
      <w:tr>
        <w:trPr>
          <w:cantSplit/>
        </w:trPr>
        <w:tc>
          <w:tcPr>
            <w:tcW w:type="dxa" w:w="3456"/>
            <w:vAlign w:val="top"/>
          </w:tcPr>
          <w:p>
            <w:pPr>
              <w:spacing w:after="40" w:before="0" w:line="259" w:lineRule="auto"/>
            </w:pPr>
            <w:r>
              <w:rPr>
                <w:rFonts w:ascii="Calibri" w:hAnsi="Calibri"/>
                <w:b/>
                <w:i w:val="0"/>
                <w:color w:val="212121"/>
                <w:sz w:val="19"/>
              </w:rPr>
              <w:t>Hypoxaemia / low SpO₂ (± cyanosis)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Falling oxygen saturation is an early marker of severe lower-respiratory disease.</w:t>
            </w:r>
          </w:p>
        </w:tc>
      </w:tr>
      <w:tr>
        <w:trPr>
          <w:cantSplit/>
        </w:trPr>
        <w:tc>
          <w:tcPr>
            <w:tcW w:type="dxa" w:w="3456"/>
            <w:vAlign w:val="top"/>
          </w:tcPr>
          <w:p>
            <w:pPr>
              <w:spacing w:after="40" w:before="0" w:line="259" w:lineRule="auto"/>
            </w:pPr>
            <w:r>
              <w:rPr>
                <w:rFonts w:ascii="Calibri" w:hAnsi="Calibri"/>
                <w:b/>
                <w:i w:val="0"/>
                <w:color w:val="212121"/>
                <w:sz w:val="19"/>
              </w:rPr>
              <w:t>Crackles / bronchial breathing on auscultation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 consolidation from primary viral pneumonia.</w:t>
            </w:r>
          </w:p>
        </w:tc>
      </w:tr>
      <w:tr>
        <w:trPr>
          <w:cantSplit/>
        </w:trPr>
        <w:tc>
          <w:tcPr>
            <w:tcW w:type="dxa" w:w="3456"/>
            <w:vAlign w:val="top"/>
          </w:tcPr>
          <w:p>
            <w:pPr>
              <w:spacing w:after="40" w:before="0" w:line="259" w:lineRule="auto"/>
            </w:pPr>
            <w:r>
              <w:rPr>
                <w:rFonts w:ascii="Calibri" w:hAnsi="Calibri"/>
                <w:b/>
                <w:i w:val="0"/>
                <w:color w:val="212121"/>
                <w:sz w:val="19"/>
              </w:rPr>
              <w:t>Conjunctival injection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 watery eyes; a recognised sign, especially with clade 2.3.4.4b.</w:t>
            </w:r>
          </w:p>
        </w:tc>
      </w:tr>
      <w:tr>
        <w:trPr>
          <w:cantSplit/>
        </w:trPr>
        <w:tc>
          <w:tcPr>
            <w:tcW w:type="dxa" w:w="3456"/>
            <w:vAlign w:val="top"/>
          </w:tcPr>
          <w:p>
            <w:pPr>
              <w:spacing w:after="40" w:before="0" w:line="259" w:lineRule="auto"/>
            </w:pPr>
            <w:r>
              <w:rPr>
                <w:rFonts w:ascii="Calibri" w:hAnsi="Calibri"/>
                <w:b/>
                <w:i w:val="0"/>
                <w:color w:val="212121"/>
                <w:sz w:val="19"/>
              </w:rPr>
              <w:t>Tachycardia and hypotension / shock</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severe sepsis and multi-organ dysfunction.</w:t>
            </w:r>
          </w:p>
        </w:tc>
      </w:tr>
      <w:tr>
        <w:trPr>
          <w:cantSplit/>
        </w:trPr>
        <w:tc>
          <w:tcPr>
            <w:tcW w:type="dxa" w:w="3456"/>
            <w:vAlign w:val="top"/>
          </w:tcPr>
          <w:p>
            <w:pPr>
              <w:spacing w:after="40" w:before="0" w:line="259" w:lineRule="auto"/>
            </w:pPr>
            <w:r>
              <w:rPr>
                <w:rFonts w:ascii="Calibri" w:hAnsi="Calibri"/>
                <w:b/>
                <w:i w:val="0"/>
                <w:color w:val="212121"/>
                <w:sz w:val="19"/>
              </w:rPr>
              <w:t>Altered mental status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Encephalopathy or encephalitis in severe or CNS-predominant disease.</w:t>
            </w:r>
          </w:p>
        </w:tc>
      </w:tr>
      <w:tr>
        <w:trPr>
          <w:cantSplit/>
        </w:trPr>
        <w:tc>
          <w:tcPr>
            <w:tcW w:type="dxa" w:w="3456"/>
            <w:vAlign w:val="top"/>
          </w:tcPr>
          <w:p>
            <w:pPr>
              <w:spacing w:after="40" w:before="0" w:line="259" w:lineRule="auto"/>
            </w:pPr>
            <w:r>
              <w:rPr>
                <w:rFonts w:ascii="Calibri" w:hAnsi="Calibri"/>
                <w:b/>
                <w:i w:val="0"/>
                <w:color w:val="212121"/>
                <w:sz w:val="19"/>
              </w:rPr>
              <w:t>Signs of ARDS (severe hypoxaemia, bilateral infiltrates)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Diffuse alveolar damage with refractory hypoxaemia—the leading cause of death.</w:t>
            </w:r>
          </w:p>
        </w:tc>
      </w:tr>
      <w:tr>
        <w:trPr>
          <w:cantSplit/>
        </w:trPr>
        <w:tc>
          <w:tcPr>
            <w:tcW w:type="dxa" w:w="3456"/>
            <w:vAlign w:val="top"/>
          </w:tcPr>
          <w:p>
            <w:pPr>
              <w:spacing w:after="40" w:before="0" w:line="259" w:lineRule="auto"/>
            </w:pPr>
            <w:r>
              <w:rPr>
                <w:rFonts w:ascii="Calibri" w:hAnsi="Calibri"/>
                <w:b/>
                <w:i w:val="0"/>
                <w:color w:val="212121"/>
                <w:sz w:val="19"/>
              </w:rPr>
              <w:t>Petechiae / mucosal bleeding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Cutaneous and mucosal haemorrhage from thrombocytopenia and disseminated intravascular coagulation.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 viral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respiratory distress syndrome (ARDS)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Hypoxaemic respiratory failure</w:t>
            </w:r>
          </w:p>
        </w:tc>
        <w:tc>
          <w:tcPr>
            <w:tcW w:type="dxa" w:w="2980"/>
            <w:vAlign w:val="top"/>
          </w:tcPr>
          <w:p>
            <w:pPr>
              <w:spacing w:after="40" w:before="0" w:line="259" w:lineRule="auto"/>
            </w:pPr>
            <w:r>
              <w:rPr>
                <w:rFonts w:ascii="Calibri" w:hAnsi="Calibri"/>
                <w:b w:val="0"/>
                <w:i w:val="0"/>
                <w:color w:val="212121"/>
                <w:sz w:val="19"/>
              </w:rPr>
              <w:t>Direct consequences of H5N1 replication in the lower respiratory tract with diffuse alveolar damage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Multi-organ dysfunction (renal, hepatic, cardiac)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Cytokine storm / secondary haemophagocytic lymphohistiocytosis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pneumonia and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Myocarditis and cardiac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Encephalitis /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Disseminated intravascular coagulation (DIC)</w:t>
            </w:r>
          </w:p>
        </w:tc>
        <w:tc>
          <w:tcPr>
            <w:tcW w:type="dxa" w:w="2980"/>
            <w:vAlign w:val="top"/>
          </w:tcPr>
          <w:p>
            <w:pPr>
              <w:spacing w:after="40" w:before="0" w:line="259" w:lineRule="auto"/>
            </w:pPr>
            <w:r>
              <w:rPr>
                <w:rFonts w:ascii="Calibri" w:hAnsi="Calibri"/>
                <w:b w:val="0"/>
                <w:i w:val="0"/>
                <w:color w:val="212121"/>
                <w:sz w:val="19"/>
              </w:rPr>
              <w:t>Arise from systemic viral spread, hyperinflammation and immune dysregulation during severe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(case-fatality ≈ 50%)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Post-ARDS pulmonary fibrosis and chronic respiratory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Neurological sequelae after encephalitis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post-ICU physical and cognitive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Pandemic emergence if the virus adapts to efficient human-to-human transmission</w:t>
            </w:r>
          </w:p>
        </w:tc>
        <w:tc>
          <w:tcPr>
            <w:tcW w:type="dxa" w:w="2980"/>
            <w:vAlign w:val="top"/>
          </w:tcPr>
          <w:p>
            <w:pPr>
              <w:spacing w:after="40" w:before="0" w:line="259" w:lineRule="auto"/>
            </w:pPr>
            <w:r>
              <w:rPr>
                <w:rFonts w:ascii="Calibri" w:hAnsi="Calibri"/>
                <w:b w:val="0"/>
                <w:i w:val="0"/>
                <w:color w:val="212121"/>
                <w:sz w:val="19"/>
              </w:rPr>
              <w:t>Irreversible or long-term outcomes of severe disease, and the population-level pandemic risk</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Primary viral pneumonia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defining severe manifestation—rapidly progressive lower-respiratory infection that can advance to ARDS within days.</w:t>
            </w:r>
          </w:p>
        </w:tc>
      </w:tr>
      <w:tr>
        <w:trPr>
          <w:cantSplit/>
        </w:trPr>
        <w:tc>
          <w:tcPr>
            <w:tcW w:type="dxa" w:w="2232"/>
            <w:vAlign w:val="top"/>
          </w:tcPr>
          <w:p>
            <w:pPr>
              <w:spacing w:after="40" w:before="0" w:line="259" w:lineRule="auto"/>
            </w:pPr>
            <w:r>
              <w:rPr>
                <w:rFonts w:ascii="Calibri" w:hAnsi="Calibri"/>
                <w:b/>
                <w:i w:val="0"/>
                <w:color w:val="212121"/>
                <w:sz w:val="19"/>
              </w:rPr>
              <w:t>Acute respiratory distress syndrome (ARDS)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Diffuse alveolar damage with refractory hypoxaemia; the leading cause of death in H5N1.</w:t>
            </w:r>
          </w:p>
        </w:tc>
      </w:tr>
      <w:tr>
        <w:trPr>
          <w:cantSplit/>
        </w:trPr>
        <w:tc>
          <w:tcPr>
            <w:tcW w:type="dxa" w:w="2232"/>
            <w:vAlign w:val="top"/>
          </w:tcPr>
          <w:p>
            <w:pPr>
              <w:spacing w:after="40" w:before="0" w:line="259" w:lineRule="auto"/>
            </w:pPr>
            <w:r>
              <w:rPr>
                <w:rFonts w:ascii="Calibri" w:hAnsi="Calibri"/>
                <w:b/>
                <w:i w:val="0"/>
                <w:color w:val="212121"/>
                <w:sz w:val="19"/>
              </w:rPr>
              <w:t>Cytokine storm / secondary HLH</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Dysregulated hyperinflammatory response with very high ferritin drives multi-organ injury and mortality.</w:t>
            </w:r>
          </w:p>
        </w:tc>
      </w:tr>
      <w:tr>
        <w:trPr>
          <w:cantSplit/>
        </w:trPr>
        <w:tc>
          <w:tcPr>
            <w:tcW w:type="dxa" w:w="2232"/>
            <w:vAlign w:val="top"/>
          </w:tcPr>
          <w:p>
            <w:pPr>
              <w:spacing w:after="40" w:before="0" w:line="259" w:lineRule="auto"/>
            </w:pPr>
            <w:r>
              <w:rPr>
                <w:rFonts w:ascii="Calibri" w:hAnsi="Calibri"/>
                <w:b/>
                <w:i w:val="0"/>
                <w:color w:val="212121"/>
                <w:sz w:val="19"/>
              </w:rPr>
              <w:t>Secondary bacterial pneumonia &amp; sepsis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Bacterial superinfection of virus-damaged lung worsens outcomes and requires added antibiotics.</w:t>
            </w:r>
          </w:p>
        </w:tc>
      </w:tr>
      <w:tr>
        <w:trPr>
          <w:cantSplit/>
        </w:trPr>
        <w:tc>
          <w:tcPr>
            <w:tcW w:type="dxa" w:w="2232"/>
            <w:vAlign w:val="top"/>
          </w:tcPr>
          <w:p>
            <w:pPr>
              <w:spacing w:after="40" w:before="0" w:line="259" w:lineRule="auto"/>
            </w:pPr>
            <w:r>
              <w:rPr>
                <w:rFonts w:ascii="Calibri" w:hAnsi="Calibri"/>
                <w:b/>
                <w:i w:val="0"/>
                <w:color w:val="212121"/>
                <w:sz w:val="19"/>
              </w:rPr>
              <w:t>Multi-organ dysfunction syndrome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Renal, hepatic and cardiac failure from systemic viral spread and hypoxaemia in severe disease.</w:t>
            </w:r>
          </w:p>
        </w:tc>
      </w:tr>
      <w:tr>
        <w:trPr>
          <w:cantSplit/>
        </w:trPr>
        <w:tc>
          <w:tcPr>
            <w:tcW w:type="dxa" w:w="2232"/>
            <w:vAlign w:val="top"/>
          </w:tcPr>
          <w:p>
            <w:pPr>
              <w:spacing w:after="40" w:before="0" w:line="259" w:lineRule="auto"/>
            </w:pPr>
            <w:r>
              <w:rPr>
                <w:rFonts w:ascii="Calibri" w:hAnsi="Calibri"/>
                <w:b/>
                <w:i w:val="0"/>
                <w:color w:val="212121"/>
                <w:sz w:val="19"/>
              </w:rPr>
              <w:t>Myocarditis / cardiac injury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Viral and inflammatory myocardial involvement causing arrhythmia and cardiac dysfunction.</w:t>
            </w:r>
          </w:p>
        </w:tc>
      </w:tr>
      <w:tr>
        <w:trPr>
          <w:cantSplit/>
        </w:trPr>
        <w:tc>
          <w:tcPr>
            <w:tcW w:type="dxa" w:w="2232"/>
            <w:vAlign w:val="top"/>
          </w:tcPr>
          <w:p>
            <w:pPr>
              <w:spacing w:after="40" w:before="0" w:line="259" w:lineRule="auto"/>
            </w:pPr>
            <w:r>
              <w:rPr>
                <w:rFonts w:ascii="Calibri" w:hAnsi="Calibri"/>
                <w:b/>
                <w:i w:val="0"/>
                <w:color w:val="212121"/>
                <w:sz w:val="19"/>
              </w:rPr>
              <w:t>Encephalitis / encephalopathy</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CNS involvement, sometimes without prominent respiratory disease, with lasting neurological sequelae.</w:t>
            </w:r>
          </w:p>
        </w:tc>
      </w:tr>
      <w:tr>
        <w:trPr>
          <w:cantSplit/>
        </w:trPr>
        <w:tc>
          <w:tcPr>
            <w:tcW w:type="dxa" w:w="2232"/>
            <w:vAlign w:val="top"/>
          </w:tcPr>
          <w:p>
            <w:pPr>
              <w:spacing w:after="40" w:before="0" w:line="259" w:lineRule="auto"/>
            </w:pPr>
            <w:r>
              <w:rPr>
                <w:rFonts w:ascii="Calibri" w:hAnsi="Calibri"/>
                <w:b/>
                <w:i w:val="0"/>
                <w:color w:val="212121"/>
                <w:sz w:val="19"/>
              </w:rPr>
              <w:t>Acute kidney injury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in severe multi-organ disease and may require renal support.</w:t>
            </w:r>
          </w:p>
        </w:tc>
      </w:tr>
      <w:tr>
        <w:trPr>
          <w:cantSplit/>
        </w:trPr>
        <w:tc>
          <w:tcPr>
            <w:tcW w:type="dxa" w:w="2232"/>
            <w:vAlign w:val="top"/>
          </w:tcPr>
          <w:p>
            <w:pPr>
              <w:spacing w:after="40" w:before="0" w:line="259" w:lineRule="auto"/>
            </w:pPr>
            <w:r>
              <w:rPr>
                <w:rFonts w:ascii="Calibri" w:hAnsi="Calibri"/>
                <w:b/>
                <w:i w:val="0"/>
                <w:color w:val="212121"/>
                <w:sz w:val="19"/>
              </w:rPr>
              <w:t>Conjunctivitis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Ocular infection is a recognised, often mild presentation, especially with clade 2.3.4.4b exposure.</w:t>
            </w:r>
          </w:p>
        </w:tc>
      </w:tr>
      <w:tr>
        <w:trPr>
          <w:cantSplit/>
        </w:trPr>
        <w:tc>
          <w:tcPr>
            <w:tcW w:type="dxa" w:w="2232"/>
            <w:vAlign w:val="top"/>
          </w:tcPr>
          <w:p>
            <w:pPr>
              <w:spacing w:after="40" w:before="0" w:line="259" w:lineRule="auto"/>
            </w:pPr>
            <w:r>
              <w:rPr>
                <w:rFonts w:ascii="Calibri" w:hAnsi="Calibri"/>
                <w:b/>
                <w:i w:val="0"/>
                <w:color w:val="212121"/>
                <w:sz w:val="19"/>
              </w:rPr>
              <w:t>Chronic respiratory disease (COPD/asthma)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Pre-existing lung disease reduces reserve and predisposes to severe H5N1 pneumonia and respiratory failure.</w:t>
            </w:r>
          </w:p>
        </w:tc>
      </w:tr>
      <w:tr>
        <w:trPr>
          <w:cantSplit/>
        </w:trPr>
        <w:tc>
          <w:tcPr>
            <w:tcW w:type="dxa" w:w="2232"/>
            <w:vAlign w:val="top"/>
          </w:tcPr>
          <w:p>
            <w:pPr>
              <w:spacing w:after="40" w:before="0" w:line="259" w:lineRule="auto"/>
            </w:pPr>
            <w:r>
              <w:rPr>
                <w:rFonts w:ascii="Calibri" w:hAnsi="Calibri"/>
                <w:b/>
                <w:i w:val="0"/>
                <w:color w:val="212121"/>
                <w:sz w:val="19"/>
              </w:rPr>
              <w:t>Seasonal influenza co-infection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Co-infection (India's 2021 case also carried influenza B) raises the risk of reassortment into a more transmissible virus.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Impaired immunity and vascular reserve predispose to severe, complicated influenza including H5N1.</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fever with cough and rapidly worsening breathlessness after contact with sick or dead birds, culling, a live-bird market or eating raw poultry may be bird flu, and seek care early—mention the bird contact so H5 testing is done.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touch, slaughter, defeather, move or eat birds that are sick or have died suddenly; report unusual bird deaths to the local veterinary/animal-husbandry authority.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poultry and eggs thoroughly (no pink meat or runny yolk, ≥ 70–74°C) and avoid raw poultry, poultry blood and unpasteurised milk.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with soap after any contact with birds, eggs or poultry environments, and avoid touching the eyes, nose or mouth beforehand.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children away from backyard flocks, live-bird markets and areas where birds are being culled during outbreaks.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 official outbreak, follow poultry movement bans, culling and disinfection orders and take antiviral prophylaxis if advised after a significant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the seasonal influenza vaccine if occupationally exposed—while it does not protect against H5N1, it reduces the chance of dual infection and reassortment.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Poultry &amp; farm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Backyard poultry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Live-bird-market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outbreak-affected districts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wear the recommended PPE—fit-tested respirator (N95), gloves, eye protection, coverall and boots—for all poultry handling, culling and coop-cleaning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the time spent in close, unprotected contact with flocks, and keep poultry work areas well ventilated.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Change out of and safely launder work clothing and footwear, and shower after high-risk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Handle and dispose of dead birds only under trained supervision using proper protective measures.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Poultry-farm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Cullers &amp; outbreak responders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Veterinary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Market handlers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acute illness rest completely and avoid exertion, which can worsen hypoxaemia and cardiac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care for any breathlessness, chest pain or bluish lips—these signal severe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activity only gradually during convalescence, especially after pneumonia or ICU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supervised pulmonary rehabilitation after severe disease with ARDS or lung fibrosis.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H5N1</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Severe/ARDS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all poultry and eggs thoroughly and never eat raw or undercooked chicken, poultry blood or partially cooked eggs.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raw and unpasteurised milk and dairy, particularly where avian influenza is circulating in cattle.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raw poultry separate from ready-to-eat food, and wash hands, knives and surfaces after handling raw poultry.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Buy poultry from monitored sources and avoid slaughtering visibly sick birds for food.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Consumers in outbreak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Backyard poultry keepers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rest and sleep during the febrile illness to support immune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sleeping in or immediately beside poultry sheds, which prolongs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for worsening breathlessness or confusion during rest and seek urgent care if they appear.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Backyard poultry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which damages the airways and reduces the lung reserve needed to survive viral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cessation particularly in occupationally exposed poultry and farm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smoke during and after acute illness to protect recovering lung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in high-risk occupations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respiratory involvement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since chronic heavy use impairs immunity and organ reserve and may worsen severe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alcohol during acute illness and recovery to reduce liver and metabolic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and support heavy drinkers among exposed workers, who tolerate severe disease poorly.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Exposed workers with liver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accurate public-health messaging during outbreaks to reduce community fear and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the mental health of poultry farmers and cullers facing loss of livelihood during mass culling.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manage anxiety, low mood and post-ICU cognitive difficulties in survivors of severe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support to bereaved families, given the high case-fatality of human H5N1.</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Communities during outbreaks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Poultry farmers &amp; cullers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Severe-disease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Bereaved families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cdc.gov/eid/article/13/3/06-0849_article" TargetMode="External"/><Relationship Id="rId10" Type="http://schemas.openxmlformats.org/officeDocument/2006/relationships/hyperlink" Target="https://www.cidrap.umn.edu/avian-influenza-bird-flu/fatal-h5n1-case-reported-indias-andhra-pradesh-state" TargetMode="External"/><Relationship Id="rId11" Type="http://schemas.openxmlformats.org/officeDocument/2006/relationships/hyperlink" Target="https://www.who.int/emergencies/disease-outbreak-news/item/human-infection-with-avian-influenza-a(h5n1)-%EF%BD%B0-india" TargetMode="External"/><Relationship Id="rId12" Type="http://schemas.openxmlformats.org/officeDocument/2006/relationships/hyperlink" Target="https://www.gavi.org/vaccineswork/sitting-ducks-how-likely-bird-flu-pandemic-india" TargetMode="External"/><Relationship Id="rId13" Type="http://schemas.openxmlformats.org/officeDocument/2006/relationships/hyperlink" Target="https://www.nature.com/articles/s41598-025-96765-2" TargetMode="External"/><Relationship Id="rId14" Type="http://schemas.openxmlformats.org/officeDocument/2006/relationships/hyperlink" Target="https://www.ecdc.europa.eu/en/zoonotic-influenza/facts/factsheet-h5n1" TargetMode="External"/><Relationship Id="rId15" Type="http://schemas.openxmlformats.org/officeDocument/2006/relationships/hyperlink" Target="https://www.downtoearth.org.in/health/two-year-old-andhra-girl-dies-of-h5n1-after-suspected-consumption-of-raw-chicken" TargetMode="External"/><Relationship Id="rId16" Type="http://schemas.openxmlformats.org/officeDocument/2006/relationships/hyperlink" Target="https://www.mdpi.com/2076-0817/14/9/929" TargetMode="External"/><Relationship Id="rId17" Type="http://schemas.openxmlformats.org/officeDocument/2006/relationships/hyperlink" Target="https://my.clevelandclinic.org/health/diseases/22401-bird-flu" TargetMode="External"/><Relationship Id="rId18" Type="http://schemas.openxmlformats.org/officeDocument/2006/relationships/hyperlink" Target="https://www.cdc.gov/bird-flu/hcp/clinicians-evaluating-patients/clinical-guidance-treat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