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Human Metapneumovirus</w:t>
      </w:r>
    </w:p>
    <w:p>
      <w:pPr>
        <w:spacing w:before="0" w:after="160"/>
      </w:pPr>
      <w:r>
        <w:rPr>
          <w:rFonts w:ascii="Calibri" w:hAnsi="Calibri"/>
          <w:b/>
          <w:i w:val="0"/>
          <w:color w:val="212121"/>
          <w:sz w:val="22"/>
        </w:rPr>
        <w:t xml:space="preserve">AKA </w:t>
      </w:r>
      <w:r>
        <w:rPr>
          <w:rFonts w:ascii="Calibri" w:hAnsi="Calibri"/>
          <w:b w:val="0"/>
          <w:i w:val="0"/>
          <w:color w:val="212121"/>
          <w:sz w:val="22"/>
        </w:rPr>
        <w:t>i.e., HMPV, hMPV, Human metapneumovirus infection, Metapneumovirus, hMPV respiratory infection</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Human metapneumovirus (HMPV) is an enveloped, negative-sense single-stranded RNA virus of the family Pneumoviridae (genus Metapneumovirus), first identified in 2001. It is a leading cause of acute upper and lower respiratory tract infection - second only to respiratory syncytial virus (RSV) - especially in young children, older adults and immunocompromised people. Most infections are mild and self-limiting (common-cold-like), but the virus can cause bronchiolitis, croup and pneumonia and can trigger asthma and COPD exacerbations. By the age of five almost all children have been infected, and because immunity is incomplete, re-infection occurs throughout life.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 India, HMPV accounts for roughly 3-5% of tested acute respiratory infections. A 2025 systematic review and meta-analysis of 30 Indian studies (12,534 children with acute respiratory illness, 2004-2024) found a pooled prevalence of 5% (95% CI 4-6%), rising to about 6% in children under five and 7% in the north-east region. National multi-site surveillance (2019-2024) reported an overall positivity of 3.2% (1,397 of 31,780 samples), highest in 1-2 year-olds (~4.5-4.7%) and peaking at 10.2% in January. The condition drew wide attention during the 2024-25 winter surge in China, after which India confirmed its first laboratory-detected cases in early 2025.</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No clinical feature is unique to HMPV, so laboratory confirmation is required to distinguish it from RSV, influenza, SARS-CoV-2 and other respiratory viruses. Diagnosis rests on a compatible acute respiratory illness plus virological testing of a respiratory specimen: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reverse-transcription PCR (RT-PCR), usually within a multiplex respiratory viral panel, on a nasopharyngeal swab/aspirate or throat swab - the most sensitive, gold-standard test;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rapid antigen detection or direct/indirect immunofluorescence assay (DFA/IFA) on respiratory secretions - faster but less sensitive than PCR, so a negative result does not exclude infection;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viral culture (shell-vial technique) - slow and technically demanding, used mainly for research and surveillance;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serology on paired acute and convalescent sera showing a rising antibody titre - used for epidemiological studies rather than routine care;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pulse oximetry and, when lower-respiratory involvement is suspected, chest radiography (hyperinflation, peribronchial cuffing, patchy/interstitial infiltrates) - supportive, not diagnostic;</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inflammatory markers (complete blood count, CRP, procalcitonin) to help identify secondary bacterial infection, not to diagnose HMPV itself.</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HMPV infection is described along three practical axes - the virus genotype, the anatomical level/severity of disease, and the host risk category:</w:t>
      </w:r>
    </w:p>
    <w:p>
      <w:pPr>
        <w:spacing w:before="0" w:after="80"/>
      </w:pPr>
      <w:r>
        <w:rPr>
          <w:rFonts w:ascii="Calibri" w:hAnsi="Calibri"/>
          <w:b w:val="0"/>
          <w:i w:val="0"/>
          <w:color w:val="212121"/>
          <w:sz w:val="21"/>
        </w:rPr>
        <w:t>(1) By genotype: two antigenic lineages, group A (sub-lineages A1, A2a, A2b) and group B (B1, B2), co-circulate and shift in dominance between seasons; no lineage is reliably more virulent.</w:t>
      </w:r>
    </w:p>
    <w:p>
      <w:pPr>
        <w:spacing w:before="0" w:after="80"/>
      </w:pPr>
      <w:r>
        <w:rPr>
          <w:rFonts w:ascii="Calibri" w:hAnsi="Calibri"/>
          <w:b w:val="0"/>
          <w:i w:val="0"/>
          <w:color w:val="212121"/>
          <w:sz w:val="21"/>
        </w:rPr>
        <w:t>(2) By site and severity: upper respiratory tract infection (URTI - coryza, sore throat, fever) versus lower respiratory tract infection (LRTI - bronchiolitis, croup/laryngotracheobronchitis and pneumonia), which in vulnerable hosts can progress to respiratory failure.</w:t>
      </w:r>
    </w:p>
    <w:p>
      <w:pPr>
        <w:spacing w:before="0" w:after="80"/>
      </w:pPr>
      <w:r>
        <w:rPr>
          <w:rFonts w:ascii="Calibri" w:hAnsi="Calibri"/>
          <w:b w:val="0"/>
          <w:i w:val="0"/>
          <w:color w:val="212121"/>
          <w:sz w:val="21"/>
        </w:rPr>
        <w:t>(3) By host risk: self-limiting disease in healthy children and adults versus severe disease in high-risk groups - infants (especially &lt;1-2 years and those born premature), adults aged 65 and over, the immunocompromised, and people with chronic lung or heart disease.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Causative agent: Human metapneumovirus, an enveloped negative-sense single-stranded RNA Pneumoviridae virus; its fusion (F) and attachment (G) glycoproteins mediate host-cell entry and are the principal targets of protective immunity and vaccine development.</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Genotypes: Two major lineages (A and B) with sub-genotypes A1, A2a/A2b, B1 and B2 co-circulate; shifting dominance drives year-to-year variation in seasonal activity.</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Transmission: Spread by respiratory droplets, direct person-to-person contact and contaminated surfaces (fomites); the incubation period is approximately 3-6 days.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Host susceptibility: Immature immunity in infants, immunosenescence in the elderly, immunosuppression and chronic cardiopulmonary disease predispose to severe lower-respiratory disease.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Environmental and seasonal factors: Winter-to-spring circulation (in India, a winter-monsoon pattern), overcrowding, daycare attendance and indoor/household air pollution increase exposure.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Incomplete immunity: Short-lived, non-sterilising immunity permits lifelong re-infection, usually milder in healthy adults but potentially severe in high-risk hosts.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Infants &amp; toddlers (&lt;2 years)</w:t>
            </w:r>
          </w:p>
        </w:tc>
        <w:tc>
          <w:tcPr>
            <w:tcW w:type="dxa" w:w="4276"/>
            <w:vAlign w:val="top"/>
          </w:tcPr>
          <w:p>
            <w:pPr>
              <w:spacing w:after="60" w:line="259" w:lineRule="auto"/>
            </w:pPr>
            <w:r>
              <w:rPr>
                <w:rFonts w:ascii="Calibri" w:hAnsi="Calibri"/>
                <w:b w:val="0"/>
                <w:i w:val="0"/>
                <w:color w:val="212121"/>
                <w:sz w:val="19"/>
              </w:rPr>
              <w:t>Immature immunity and small-calibre airways make the youngest children most vulnerable to HMPV bronchiolitis and pneumonia; this age band carries the highest test positivity.</w:t>
            </w:r>
          </w:p>
          <w:p>
            <w:pPr>
              <w:spacing w:after="40" w:before="60" w:line="259" w:lineRule="auto"/>
            </w:pPr>
            <w:r>
              <w:rPr>
                <w:rFonts w:ascii="Calibri" w:hAnsi="Calibri"/>
                <w:b w:val="0"/>
                <w:i w:val="0"/>
                <w:color w:val="212121"/>
                <w:sz w:val="19"/>
              </w:rPr>
              <w:t>In Indian surveillance, positivity was highest in 1-2 year-olds at 4.5-4.7% (and 3.3-3.8% in infants &lt;1 year).</w:t>
            </w:r>
          </w:p>
          <w:p>
            <w:pPr>
              <w:spacing w:after="40" w:line="252" w:lineRule="auto"/>
            </w:pPr>
            <w:hyperlink r:id="rId9">
              <w:r>
                <w:rPr>
                  <w:rFonts w:ascii="Calibri" w:hAnsi="Calibri" w:cs="Calibri"/>
                  <w:sz w:val="18"/>
                  <w:color w:val="1155CC"/>
                  <w:u w:val="single"/>
                </w:rPr>
                <w:t xml:space="preserve">pmc.ncbi.nlm.nih.gov — HMPV epidemiology in India</w:t>
              </w:r>
            </w:hyperlink>
          </w:p>
          <w:p>
            <w:pPr>
              <w:spacing w:before="60" w:after="40"/>
            </w:pPr>
            <w:r>
              <w:rPr>
                <w:rFonts w:ascii="Calibri" w:hAnsi="Calibri"/>
                <w:b w:val="0"/>
                <w:i w:val="0"/>
                <w:color w:val="5A5A5A"/>
                <w:sz w:val="18"/>
              </w:rPr>
              <w:t>#hmpv  #bronchiolitis  #infants  #pediatricLRTI  #smallairways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Children under 5 years</w:t>
            </w:r>
          </w:p>
        </w:tc>
        <w:tc>
          <w:tcPr>
            <w:tcW w:type="dxa" w:w="4276"/>
            <w:vAlign w:val="top"/>
          </w:tcPr>
          <w:p>
            <w:pPr>
              <w:spacing w:after="60" w:line="259" w:lineRule="auto"/>
            </w:pPr>
            <w:r>
              <w:rPr>
                <w:rFonts w:ascii="Calibri" w:hAnsi="Calibri"/>
                <w:b w:val="0"/>
                <w:i w:val="0"/>
                <w:color w:val="212121"/>
                <w:sz w:val="19"/>
              </w:rPr>
              <w:t>Under-fives bear the greatest burden of HMPV acute respiratory illness; nearly all children are infected at least once before school age.</w:t>
            </w:r>
          </w:p>
          <w:p>
            <w:pPr>
              <w:spacing w:after="40" w:before="60" w:line="259" w:lineRule="auto"/>
            </w:pPr>
            <w:r>
              <w:rPr>
                <w:rFonts w:ascii="Calibri" w:hAnsi="Calibri"/>
                <w:b w:val="0"/>
                <w:i w:val="0"/>
                <w:color w:val="212121"/>
                <w:sz w:val="19"/>
              </w:rPr>
              <w:t>Pooled Indian prevalence in under-5 children with ARI was ~6%, versus ~2% in older age groups.</w:t>
            </w:r>
          </w:p>
          <w:p>
            <w:pPr>
              <w:spacing w:after="40" w:line="252" w:lineRule="auto"/>
            </w:pPr>
            <w:hyperlink r:id="rId10">
              <w:r>
                <w:rPr>
                  <w:rFonts w:ascii="Calibri" w:hAnsi="Calibri" w:cs="Calibri"/>
                  <w:sz w:val="18"/>
                  <w:color w:val="1155CC"/>
                  <w:u w:val="single"/>
                </w:rPr>
                <w:t xml:space="preserve">monaldi-archives.org — HMPV meta-analysis India</w:t>
              </w:r>
            </w:hyperlink>
          </w:p>
          <w:p>
            <w:pPr>
              <w:spacing w:before="60" w:after="40"/>
            </w:pPr>
            <w:r>
              <w:rPr>
                <w:rFonts w:ascii="Calibri" w:hAnsi="Calibri"/>
                <w:b w:val="0"/>
                <w:i w:val="0"/>
                <w:color w:val="5A5A5A"/>
                <w:sz w:val="18"/>
              </w:rPr>
              <w:t>#underfive  #ARI  #childhealth  #india  #pooledprevalence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Older adults (65 years and above)</w:t>
            </w:r>
          </w:p>
        </w:tc>
        <w:tc>
          <w:tcPr>
            <w:tcW w:type="dxa" w:w="4276"/>
            <w:vAlign w:val="top"/>
          </w:tcPr>
          <w:p>
            <w:pPr>
              <w:spacing w:after="60" w:line="259" w:lineRule="auto"/>
            </w:pPr>
            <w:r>
              <w:rPr>
                <w:rFonts w:ascii="Calibri" w:hAnsi="Calibri"/>
                <w:b w:val="0"/>
                <w:i w:val="0"/>
                <w:color w:val="212121"/>
                <w:sz w:val="19"/>
              </w:rPr>
              <w:t>Immunosenescence and accumulated cardiopulmonary comorbidity make the elderly prone to severe HMPV lower-respiratory infection and hospitalisation, with outcomes comparable to influenza/RSV.</w:t>
            </w:r>
          </w:p>
          <w:p>
            <w:pPr>
              <w:spacing w:after="40" w:before="60" w:line="259" w:lineRule="auto"/>
            </w:pPr>
            <w:r>
              <w:rPr>
                <w:rFonts w:ascii="Calibri" w:hAnsi="Calibri"/>
                <w:b w:val="0"/>
                <w:i w:val="0"/>
                <w:color w:val="212121"/>
                <w:sz w:val="19"/>
              </w:rPr>
              <w:t>HMPV is an under-recognised cause of severe respiratory illness and hospitalisation in older and high-risk adults.</w:t>
            </w:r>
          </w:p>
          <w:p>
            <w:pPr>
              <w:spacing w:after="40" w:line="252" w:lineRule="auto"/>
            </w:pPr>
            <w:hyperlink r:id="rId11">
              <w:r>
                <w:rPr>
                  <w:rFonts w:ascii="Calibri" w:hAnsi="Calibri" w:cs="Calibri"/>
                  <w:sz w:val="18"/>
                  <w:color w:val="1155CC"/>
                  <w:u w:val="single"/>
                </w:rPr>
                <w:t xml:space="preserve">pmc.ncbi.nlm.nih.gov — HMPV burden in older adults</w:t>
              </w:r>
            </w:hyperlink>
          </w:p>
          <w:p>
            <w:pPr>
              <w:spacing w:before="60" w:after="40"/>
            </w:pPr>
            <w:r>
              <w:rPr>
                <w:rFonts w:ascii="Calibri" w:hAnsi="Calibri"/>
                <w:b w:val="0"/>
                <w:i w:val="0"/>
                <w:color w:val="5A5A5A"/>
                <w:sz w:val="18"/>
              </w:rPr>
              <w:t>#elderly  #immunosenescence  #hospitalisation  #severeLRTI  #comorbidity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 children</w:t>
            </w:r>
          </w:p>
        </w:tc>
        <w:tc>
          <w:tcPr>
            <w:tcW w:type="dxa" w:w="4276"/>
            <w:vAlign w:val="top"/>
          </w:tcPr>
          <w:p>
            <w:pPr>
              <w:spacing w:after="60" w:line="259" w:lineRule="auto"/>
            </w:pPr>
            <w:r>
              <w:rPr>
                <w:rFonts w:ascii="Calibri" w:hAnsi="Calibri"/>
                <w:b w:val="0"/>
                <w:i w:val="0"/>
                <w:color w:val="212121"/>
                <w:sz w:val="19"/>
              </w:rPr>
              <w:t>A modest male predominance is commonly reported among children hospitalised with severe viral respiratory infection, attributed to smaller airway calibre and immune differences in early life.</w:t>
            </w:r>
          </w:p>
          <w:p>
            <w:pPr>
              <w:spacing w:after="40" w:before="60" w:line="259" w:lineRule="auto"/>
            </w:pPr>
            <w:r>
              <w:rPr>
                <w:rFonts w:ascii="Calibri" w:hAnsi="Calibri"/>
                <w:b w:val="0"/>
                <w:i w:val="0"/>
                <w:color w:val="212121"/>
                <w:sz w:val="19"/>
              </w:rPr>
              <w:t>Male preponderance is frequently observed in paediatric severe acute respiratory infection cohorts.</w:t>
            </w:r>
          </w:p>
          <w:p>
            <w:pPr>
              <w:spacing w:before="60" w:after="40"/>
            </w:pPr>
            <w:r>
              <w:rPr>
                <w:rFonts w:ascii="Calibri" w:hAnsi="Calibri"/>
                <w:b w:val="0"/>
                <w:i w:val="0"/>
                <w:color w:val="5A5A5A"/>
                <w:sz w:val="18"/>
              </w:rPr>
              <w:t>#malechildren  #pediatric  #SARI  #airwaycalibre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&amp; overcrowded households</w:t>
            </w:r>
          </w:p>
        </w:tc>
        <w:tc>
          <w:tcPr>
            <w:tcW w:type="dxa" w:w="4276"/>
            <w:vAlign w:val="top"/>
          </w:tcPr>
          <w:p>
            <w:pPr>
              <w:spacing w:after="60" w:line="259" w:lineRule="auto"/>
            </w:pPr>
            <w:r>
              <w:rPr>
                <w:rFonts w:ascii="Calibri" w:hAnsi="Calibri"/>
                <w:b w:val="0"/>
                <w:i w:val="0"/>
                <w:color w:val="212121"/>
                <w:sz w:val="19"/>
              </w:rPr>
              <w:t>Overcrowding, shared sleeping spaces and limited access to hand-hygiene facilities accelerate droplet and fomite transmission of HMPV within families.</w:t>
            </w:r>
          </w:p>
          <w:p>
            <w:pPr>
              <w:spacing w:after="40" w:before="60" w:line="259" w:lineRule="auto"/>
            </w:pPr>
            <w:r>
              <w:rPr>
                <w:rFonts w:ascii="Calibri" w:hAnsi="Calibri"/>
                <w:b w:val="0"/>
                <w:i w:val="0"/>
                <w:color w:val="212121"/>
                <w:sz w:val="19"/>
              </w:rPr>
              <w:t>HMPV spreads through coughing/sneezing, close contact and contaminated surfaces - all amplified by crowding.</w:t>
            </w:r>
          </w:p>
          <w:p>
            <w:pPr>
              <w:spacing w:after="40" w:line="252" w:lineRule="auto"/>
            </w:pPr>
            <w:hyperlink r:id="rId12">
              <w:r>
                <w:rPr>
                  <w:rFonts w:ascii="Calibri" w:hAnsi="Calibri" w:cs="Calibri"/>
                  <w:sz w:val="18"/>
                  <w:color w:val="1155CC"/>
                  <w:u w:val="single"/>
                </w:rPr>
                <w:t xml:space="preserve">cdc.gov — about human metapneumovirus</w:t>
              </w:r>
            </w:hyperlink>
          </w:p>
          <w:p>
            <w:pPr>
              <w:spacing w:before="60" w:after="40"/>
            </w:pPr>
            <w:r>
              <w:rPr>
                <w:rFonts w:ascii="Calibri" w:hAnsi="Calibri"/>
                <w:b w:val="0"/>
                <w:i w:val="0"/>
                <w:color w:val="5A5A5A"/>
                <w:sz w:val="18"/>
              </w:rPr>
              <w:t>#overcrowding  #lowSES  #droplet  #fomite  #transmission</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Merge w:val="restart"/>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North-East India</w:t>
            </w:r>
          </w:p>
        </w:tc>
        <w:tc>
          <w:tcPr>
            <w:tcW w:type="dxa" w:w="4276"/>
            <w:vAlign w:val="top"/>
          </w:tcPr>
          <w:p>
            <w:pPr>
              <w:spacing w:after="60" w:line="259" w:lineRule="auto"/>
            </w:pPr>
            <w:r>
              <w:rPr>
                <w:rFonts w:ascii="Calibri" w:hAnsi="Calibri"/>
                <w:b w:val="0"/>
                <w:i w:val="0"/>
                <w:color w:val="212121"/>
                <w:sz w:val="19"/>
              </w:rPr>
              <w:t>Regional surveillance shows the highest pooled HMPV positivity in the north-east, reflecting climate, humidity and testing patterns.</w:t>
            </w:r>
          </w:p>
          <w:p>
            <w:pPr>
              <w:spacing w:after="40" w:before="60" w:line="259" w:lineRule="auto"/>
            </w:pPr>
            <w:r>
              <w:rPr>
                <w:rFonts w:ascii="Calibri" w:hAnsi="Calibri"/>
                <w:b w:val="0"/>
                <w:i w:val="0"/>
                <w:color w:val="212121"/>
                <w:sz w:val="19"/>
              </w:rPr>
              <w:t>Pooled HMPV prevalence was highest in the north-east region of India at ~7%.</w:t>
            </w:r>
          </w:p>
          <w:p>
            <w:pPr>
              <w:spacing w:after="40" w:line="252" w:lineRule="auto"/>
            </w:pPr>
            <w:hyperlink r:id="rId10">
              <w:r>
                <w:rPr>
                  <w:rFonts w:ascii="Calibri" w:hAnsi="Calibri" w:cs="Calibri"/>
                  <w:sz w:val="18"/>
                  <w:color w:val="1155CC"/>
                  <w:u w:val="single"/>
                </w:rPr>
                <w:t xml:space="preserve">monaldi-archives.org — HMPV meta-analysis India</w:t>
              </w:r>
            </w:hyperlink>
          </w:p>
          <w:p>
            <w:pPr>
              <w:spacing w:before="60" w:after="40"/>
            </w:pPr>
            <w:r>
              <w:rPr>
                <w:rFonts w:ascii="Calibri" w:hAnsi="Calibri"/>
                <w:b w:val="0"/>
                <w:i w:val="0"/>
                <w:color w:val="5A5A5A"/>
                <w:sz w:val="18"/>
              </w:rPr>
              <w:t>#northeast  #india  #regionalburden  #humidity</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High-surveillance states (Haryana, Delhi, Tamil Nadu, Odisha, West Bengal)</w:t>
            </w:r>
          </w:p>
        </w:tc>
        <w:tc>
          <w:tcPr>
            <w:tcW w:type="dxa" w:w="4276"/>
            <w:vAlign w:val="top"/>
          </w:tcPr>
          <w:p>
            <w:pPr>
              <w:spacing w:after="60" w:line="259" w:lineRule="auto"/>
            </w:pPr>
            <w:r>
              <w:rPr>
                <w:rFonts w:ascii="Calibri" w:hAnsi="Calibri"/>
                <w:b w:val="0"/>
                <w:i w:val="0"/>
                <w:color w:val="212121"/>
                <w:sz w:val="19"/>
              </w:rPr>
              <w:t>These states contributed the majority of laboratory-confirmed HMPV detections, partly reflecting concentrated sentinel-surveillance and testing capacity.</w:t>
            </w:r>
          </w:p>
          <w:p>
            <w:pPr>
              <w:spacing w:after="40" w:before="60" w:line="259" w:lineRule="auto"/>
            </w:pPr>
            <w:r>
              <w:rPr>
                <w:rFonts w:ascii="Calibri" w:hAnsi="Calibri"/>
                <w:b w:val="0"/>
                <w:i w:val="0"/>
                <w:color w:val="212121"/>
                <w:sz w:val="19"/>
              </w:rPr>
              <w:t>Over 50% of HMPV detections during 2019-2023 came from Haryana, Delhi, Tamil Nadu, Odisha and West Bengal.</w:t>
            </w:r>
          </w:p>
          <w:p>
            <w:pPr>
              <w:spacing w:after="40" w:line="252" w:lineRule="auto"/>
            </w:pPr>
            <w:hyperlink r:id="rId9">
              <w:r>
                <w:rPr>
                  <w:rFonts w:ascii="Calibri" w:hAnsi="Calibri" w:cs="Calibri"/>
                  <w:sz w:val="18"/>
                  <w:color w:val="1155CC"/>
                  <w:u w:val="single"/>
                </w:rPr>
                <w:t xml:space="preserve">pmc.ncbi.nlm.nih.gov — HMPV epidemiology in India</w:t>
              </w:r>
            </w:hyperlink>
          </w:p>
          <w:p>
            <w:pPr>
              <w:spacing w:before="60" w:after="40"/>
            </w:pPr>
            <w:r>
              <w:rPr>
                <w:rFonts w:ascii="Calibri" w:hAnsi="Calibri"/>
                <w:b w:val="0"/>
                <w:i w:val="0"/>
                <w:color w:val="5A5A5A"/>
                <w:sz w:val="18"/>
              </w:rPr>
              <w:t>#surveillance  #sentinelsites  #india  #detections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Season / climate</w:t>
            </w:r>
          </w:p>
        </w:tc>
        <w:tc>
          <w:tcPr>
            <w:tcW w:type="dxa" w:w="2160"/>
            <w:vAlign w:val="top"/>
          </w:tcPr>
          <w:p>
            <w:pPr>
              <w:spacing w:after="40" w:before="0" w:line="259" w:lineRule="auto"/>
            </w:pPr>
            <w:r>
              <w:rPr>
                <w:rFonts w:ascii="Calibri" w:hAnsi="Calibri"/>
                <w:b w:val="0"/>
                <w:i w:val="0"/>
                <w:color w:val="212121"/>
                <w:sz w:val="19"/>
              </w:rPr>
              <w:t>Winter &amp; monsoon months</w:t>
            </w:r>
          </w:p>
        </w:tc>
        <w:tc>
          <w:tcPr>
            <w:tcW w:type="dxa" w:w="4276"/>
            <w:vAlign w:val="top"/>
          </w:tcPr>
          <w:p>
            <w:pPr>
              <w:spacing w:after="60" w:line="259" w:lineRule="auto"/>
            </w:pPr>
            <w:r>
              <w:rPr>
                <w:rFonts w:ascii="Calibri" w:hAnsi="Calibri"/>
                <w:b w:val="0"/>
                <w:i w:val="0"/>
                <w:color w:val="212121"/>
                <w:sz w:val="19"/>
              </w:rPr>
              <w:t>Like other respiratory viruses, HMPV circulation intensifies in cooler, more humid months when indoor crowding rises, producing a distinct seasonal peak.</w:t>
            </w:r>
          </w:p>
          <w:p>
            <w:pPr>
              <w:spacing w:after="40" w:before="60" w:line="259" w:lineRule="auto"/>
            </w:pPr>
            <w:r>
              <w:rPr>
                <w:rFonts w:ascii="Calibri" w:hAnsi="Calibri"/>
                <w:b w:val="0"/>
                <w:i w:val="0"/>
                <w:color w:val="212121"/>
                <w:sz w:val="19"/>
              </w:rPr>
              <w:t>Positivity peaked at 10.2% in January before falling to 2.3% by March; higher rates were seen across winter and the monsoon.</w:t>
            </w:r>
          </w:p>
          <w:p>
            <w:pPr>
              <w:spacing w:after="40" w:line="252" w:lineRule="auto"/>
            </w:pPr>
            <w:hyperlink r:id="rId9">
              <w:r>
                <w:rPr>
                  <w:rFonts w:ascii="Calibri" w:hAnsi="Calibri" w:cs="Calibri"/>
                  <w:sz w:val="18"/>
                  <w:color w:val="1155CC"/>
                  <w:u w:val="single"/>
                </w:rPr>
                <w:t xml:space="preserve">pmc.ncbi.nlm.nih.gov — HMPV epidemiology in India</w:t>
              </w:r>
            </w:hyperlink>
          </w:p>
          <w:p>
            <w:pPr>
              <w:spacing w:before="60" w:after="40"/>
            </w:pPr>
            <w:r>
              <w:rPr>
                <w:rFonts w:ascii="Calibri" w:hAnsi="Calibri"/>
                <w:b w:val="0"/>
                <w:i w:val="0"/>
                <w:color w:val="5A5A5A"/>
                <w:sz w:val="18"/>
              </w:rPr>
              <w:t>#seasonality  #winter  #monsoon  #januarypeak</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Institutional exposure</w:t>
            </w:r>
          </w:p>
        </w:tc>
        <w:tc>
          <w:tcPr>
            <w:tcW w:type="dxa" w:w="2160"/>
            <w:vAlign w:val="top"/>
          </w:tcPr>
          <w:p>
            <w:pPr>
              <w:spacing w:after="40" w:before="0" w:line="259" w:lineRule="auto"/>
            </w:pPr>
            <w:r>
              <w:rPr>
                <w:rFonts w:ascii="Calibri" w:hAnsi="Calibri"/>
                <w:b w:val="0"/>
                <w:i w:val="0"/>
                <w:color w:val="212121"/>
                <w:sz w:val="19"/>
              </w:rPr>
              <w:t>Daycare/creche &amp; school-going children</w:t>
            </w:r>
          </w:p>
        </w:tc>
        <w:tc>
          <w:tcPr>
            <w:tcW w:type="dxa" w:w="4276"/>
            <w:vAlign w:val="top"/>
          </w:tcPr>
          <w:p>
            <w:pPr>
              <w:spacing w:after="60" w:line="259" w:lineRule="auto"/>
            </w:pPr>
            <w:r>
              <w:rPr>
                <w:rFonts w:ascii="Calibri" w:hAnsi="Calibri"/>
                <w:b w:val="0"/>
                <w:i w:val="0"/>
                <w:color w:val="212121"/>
                <w:sz w:val="19"/>
              </w:rPr>
              <w:t>Close, prolonged contact and shared toys/surfaces in daycare and schools make children efficient spreaders of HMPV to households and the elderly.</w:t>
            </w:r>
          </w:p>
          <w:p>
            <w:pPr>
              <w:spacing w:after="40" w:before="60" w:line="259" w:lineRule="auto"/>
            </w:pPr>
            <w:r>
              <w:rPr>
                <w:rFonts w:ascii="Calibri" w:hAnsi="Calibri"/>
                <w:b w:val="0"/>
                <w:i w:val="0"/>
                <w:color w:val="212121"/>
                <w:sz w:val="19"/>
              </w:rPr>
              <w:t>Person-to-person and fomite spread is amplified in crowded institutional settings.</w:t>
            </w:r>
          </w:p>
          <w:p>
            <w:pPr>
              <w:spacing w:after="40" w:line="252" w:lineRule="auto"/>
            </w:pPr>
            <w:hyperlink r:id="rId12">
              <w:r>
                <w:rPr>
                  <w:rFonts w:ascii="Calibri" w:hAnsi="Calibri" w:cs="Calibri"/>
                  <w:sz w:val="18"/>
                  <w:color w:val="1155CC"/>
                  <w:u w:val="single"/>
                </w:rPr>
                <w:t xml:space="preserve">cdc.gov — about human metapneumovirus</w:t>
              </w:r>
            </w:hyperlink>
          </w:p>
          <w:p>
            <w:pPr>
              <w:spacing w:before="60" w:after="40"/>
            </w:pPr>
            <w:r>
              <w:rPr>
                <w:rFonts w:ascii="Calibri" w:hAnsi="Calibri"/>
                <w:b w:val="0"/>
                <w:i w:val="0"/>
                <w:color w:val="5A5A5A"/>
                <w:sz w:val="18"/>
              </w:rPr>
              <w:t>#daycare  #school  #childcontacts  #outbreak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Tobacco &amp; biomass smoke</w:t>
            </w:r>
          </w:p>
        </w:tc>
        <w:tc>
          <w:tcPr>
            <w:tcW w:type="dxa" w:w="2160"/>
            <w:vAlign w:val="top"/>
          </w:tcPr>
          <w:p>
            <w:pPr>
              <w:spacing w:after="40" w:before="0" w:line="259" w:lineRule="auto"/>
            </w:pPr>
            <w:r>
              <w:rPr>
                <w:rFonts w:ascii="Calibri" w:hAnsi="Calibri"/>
                <w:b w:val="0"/>
                <w:i w:val="0"/>
                <w:color w:val="212121"/>
                <w:sz w:val="19"/>
              </w:rPr>
              <w:t>Smokers &amp; those exposed to household biomass-fuel smoke</w:t>
            </w:r>
          </w:p>
        </w:tc>
        <w:tc>
          <w:tcPr>
            <w:tcW w:type="dxa" w:w="4276"/>
            <w:vAlign w:val="top"/>
          </w:tcPr>
          <w:p>
            <w:pPr>
              <w:spacing w:after="60" w:line="259" w:lineRule="auto"/>
            </w:pPr>
            <w:r>
              <w:rPr>
                <w:rFonts w:ascii="Calibri" w:hAnsi="Calibri"/>
                <w:b w:val="0"/>
                <w:i w:val="0"/>
                <w:color w:val="212121"/>
                <w:sz w:val="19"/>
              </w:rPr>
              <w:t>Active smoking, secondhand smoke and biomass cooking-fuel smoke damage respiratory epithelium and impair mucociliary clearance, increasing the risk and severity of viral lower-respiratory infection. Household air pollution from solid fuels remains common in rural India.</w:t>
            </w:r>
          </w:p>
          <w:p>
            <w:pPr>
              <w:spacing w:after="40" w:before="60" w:line="259" w:lineRule="auto"/>
            </w:pPr>
            <w:r>
              <w:rPr>
                <w:rFonts w:ascii="Calibri" w:hAnsi="Calibri"/>
                <w:b w:val="0"/>
                <w:i w:val="0"/>
                <w:color w:val="212121"/>
                <w:sz w:val="19"/>
              </w:rPr>
              <w:t>Smoke exposure is an established amplifier of severity in viral respiratory infection (general clinical evidence).</w:t>
            </w:r>
          </w:p>
          <w:p>
            <w:pPr>
              <w:spacing w:before="60" w:after="40"/>
            </w:pPr>
            <w:r>
              <w:rPr>
                <w:rFonts w:ascii="Calibri" w:hAnsi="Calibri"/>
                <w:b w:val="0"/>
                <w:i w:val="0"/>
                <w:color w:val="5A5A5A"/>
                <w:sz w:val="18"/>
              </w:rPr>
              <w:t>#smoking  #biomass  #householdairpollution  #mucociliary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Hygiene behaviour</w:t>
            </w:r>
          </w:p>
        </w:tc>
        <w:tc>
          <w:tcPr>
            <w:tcW w:type="dxa" w:w="2160"/>
            <w:vAlign w:val="top"/>
          </w:tcPr>
          <w:p>
            <w:pPr>
              <w:spacing w:after="40" w:before="0" w:line="259" w:lineRule="auto"/>
            </w:pPr>
            <w:r>
              <w:rPr>
                <w:rFonts w:ascii="Calibri" w:hAnsi="Calibri"/>
                <w:b w:val="0"/>
                <w:i w:val="0"/>
                <w:color w:val="212121"/>
                <w:sz w:val="19"/>
              </w:rPr>
              <w:t>People with poor hand &amp; respiratory hygiene</w:t>
            </w:r>
          </w:p>
        </w:tc>
        <w:tc>
          <w:tcPr>
            <w:tcW w:type="dxa" w:w="4276"/>
            <w:vAlign w:val="top"/>
          </w:tcPr>
          <w:p>
            <w:pPr>
              <w:spacing w:after="60" w:line="259" w:lineRule="auto"/>
            </w:pPr>
            <w:r>
              <w:rPr>
                <w:rFonts w:ascii="Calibri" w:hAnsi="Calibri"/>
                <w:b w:val="0"/>
                <w:i w:val="0"/>
                <w:color w:val="212121"/>
                <w:sz w:val="19"/>
              </w:rPr>
              <w:t>Infrequent handwashing and lack of cough etiquette leave hands and surfaces contaminated, sustaining fomite and droplet transmission of HMPV.</w:t>
            </w:r>
          </w:p>
          <w:p>
            <w:pPr>
              <w:spacing w:after="40" w:before="60" w:line="259" w:lineRule="auto"/>
            </w:pPr>
            <w:r>
              <w:rPr>
                <w:rFonts w:ascii="Calibri" w:hAnsi="Calibri"/>
                <w:b w:val="0"/>
                <w:i w:val="0"/>
                <w:color w:val="212121"/>
                <w:sz w:val="19"/>
              </w:rPr>
              <w:t>Hand hygiene, covering coughs/sneezes and surface cleaning are the principal measures to interrupt HMPV spread.</w:t>
            </w:r>
          </w:p>
          <w:p>
            <w:pPr>
              <w:spacing w:after="40" w:line="252" w:lineRule="auto"/>
            </w:pPr>
            <w:hyperlink r:id="rId12">
              <w:r>
                <w:rPr>
                  <w:rFonts w:ascii="Calibri" w:hAnsi="Calibri" w:cs="Calibri"/>
                  <w:sz w:val="18"/>
                  <w:color w:val="1155CC"/>
                  <w:u w:val="single"/>
                </w:rPr>
                <w:t xml:space="preserve">cdc.gov — about human metapneumovirus</w:t>
              </w:r>
            </w:hyperlink>
          </w:p>
          <w:p>
            <w:pPr>
              <w:spacing w:before="60" w:after="40"/>
            </w:pPr>
            <w:r>
              <w:rPr>
                <w:rFonts w:ascii="Calibri" w:hAnsi="Calibri"/>
                <w:b w:val="0"/>
                <w:i w:val="0"/>
                <w:color w:val="5A5A5A"/>
                <w:sz w:val="18"/>
              </w:rPr>
              <w:t>#handhygiene  #coughetiquette  #fomite  #prevention</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Undernutrition</w:t>
            </w:r>
          </w:p>
        </w:tc>
        <w:tc>
          <w:tcPr>
            <w:tcW w:type="dxa" w:w="2160"/>
            <w:vAlign w:val="top"/>
          </w:tcPr>
          <w:p>
            <w:pPr>
              <w:spacing w:after="40" w:before="0" w:line="259" w:lineRule="auto"/>
            </w:pPr>
            <w:r>
              <w:rPr>
                <w:rFonts w:ascii="Calibri" w:hAnsi="Calibri"/>
                <w:b w:val="0"/>
                <w:i w:val="0"/>
                <w:color w:val="212121"/>
                <w:sz w:val="19"/>
              </w:rPr>
              <w:t>Underweight / malnourished children</w:t>
            </w:r>
          </w:p>
        </w:tc>
        <w:tc>
          <w:tcPr>
            <w:tcW w:type="dxa" w:w="4276"/>
            <w:vAlign w:val="top"/>
          </w:tcPr>
          <w:p>
            <w:pPr>
              <w:spacing w:after="60" w:line="259" w:lineRule="auto"/>
            </w:pPr>
            <w:r>
              <w:rPr>
                <w:rFonts w:ascii="Calibri" w:hAnsi="Calibri"/>
                <w:b w:val="0"/>
                <w:i w:val="0"/>
                <w:color w:val="212121"/>
                <w:sz w:val="19"/>
              </w:rPr>
              <w:t>Protein-energy undernutrition and micronutrient deficiency impair antiviral immunity and are linked to more frequent and severe childhood lower-respiratory infection in India.</w:t>
            </w:r>
          </w:p>
          <w:p>
            <w:pPr>
              <w:spacing w:after="40" w:before="60" w:line="259" w:lineRule="auto"/>
            </w:pPr>
            <w:r>
              <w:rPr>
                <w:rFonts w:ascii="Calibri" w:hAnsi="Calibri"/>
                <w:b w:val="0"/>
                <w:i w:val="0"/>
                <w:color w:val="212121"/>
                <w:sz w:val="19"/>
              </w:rPr>
              <w:t>Undernutrition is a recognised risk multiplier for severe childhood respiratory infection (general clinical evidence).</w:t>
            </w:r>
          </w:p>
          <w:p>
            <w:pPr>
              <w:spacing w:before="60" w:after="40"/>
            </w:pPr>
            <w:r>
              <w:rPr>
                <w:rFonts w:ascii="Calibri" w:hAnsi="Calibri"/>
                <w:b w:val="0"/>
                <w:i w:val="0"/>
                <w:color w:val="5A5A5A"/>
                <w:sz w:val="18"/>
              </w:rPr>
              <w:t>#undernutrition  #malnutrition  #childhealth  #immunity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Infant feeding</w:t>
            </w:r>
          </w:p>
        </w:tc>
        <w:tc>
          <w:tcPr>
            <w:tcW w:type="dxa" w:w="2160"/>
            <w:vAlign w:val="top"/>
          </w:tcPr>
          <w:p>
            <w:pPr>
              <w:spacing w:after="40" w:before="0" w:line="259" w:lineRule="auto"/>
            </w:pPr>
            <w:r>
              <w:rPr>
                <w:rFonts w:ascii="Calibri" w:hAnsi="Calibri"/>
                <w:b w:val="0"/>
                <w:i w:val="0"/>
                <w:color w:val="212121"/>
                <w:sz w:val="19"/>
              </w:rPr>
              <w:t>Non-exclusively-breastfed infants</w:t>
            </w:r>
          </w:p>
        </w:tc>
        <w:tc>
          <w:tcPr>
            <w:tcW w:type="dxa" w:w="4276"/>
            <w:vAlign w:val="top"/>
          </w:tcPr>
          <w:p>
            <w:pPr>
              <w:spacing w:after="60" w:line="259" w:lineRule="auto"/>
            </w:pPr>
            <w:r>
              <w:rPr>
                <w:rFonts w:ascii="Calibri" w:hAnsi="Calibri"/>
                <w:b w:val="0"/>
                <w:i w:val="0"/>
                <w:color w:val="212121"/>
                <w:sz w:val="19"/>
              </w:rPr>
              <w:t>Breast milk supplies passive antibodies and immune factors; infants who are not exclusively breastfed lack this protection and are more susceptible to respiratory viral illness.</w:t>
            </w:r>
          </w:p>
          <w:p>
            <w:pPr>
              <w:spacing w:after="40" w:before="60" w:line="259" w:lineRule="auto"/>
            </w:pPr>
            <w:r>
              <w:rPr>
                <w:rFonts w:ascii="Calibri" w:hAnsi="Calibri"/>
                <w:b w:val="0"/>
                <w:i w:val="0"/>
                <w:color w:val="212121"/>
                <w:sz w:val="19"/>
              </w:rPr>
              <w:t>Exclusive breastfeeding for the first 6 months is protective against infant respiratory infection (general clinical evidence).</w:t>
            </w:r>
          </w:p>
          <w:p>
            <w:pPr>
              <w:spacing w:before="60" w:after="40"/>
            </w:pPr>
            <w:r>
              <w:rPr>
                <w:rFonts w:ascii="Calibri" w:hAnsi="Calibri"/>
                <w:b w:val="0"/>
                <w:i w:val="0"/>
                <w:color w:val="5A5A5A"/>
                <w:sz w:val="18"/>
              </w:rPr>
              <w:t>#breastfeeding  #passiveimmunity  #infants  #nutrition</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Prematurity / congenital lung disease</w:t>
            </w:r>
          </w:p>
        </w:tc>
        <w:tc>
          <w:tcPr>
            <w:tcW w:type="dxa" w:w="2160"/>
            <w:vAlign w:val="top"/>
          </w:tcPr>
          <w:p>
            <w:pPr>
              <w:spacing w:after="40" w:before="0" w:line="259" w:lineRule="auto"/>
            </w:pPr>
            <w:r>
              <w:rPr>
                <w:rFonts w:ascii="Calibri" w:hAnsi="Calibri"/>
                <w:b w:val="0"/>
                <w:i w:val="0"/>
                <w:color w:val="212121"/>
                <w:sz w:val="19"/>
              </w:rPr>
              <w:t>Premature infants &amp; children with bronchopulmonary dysplasia</w:t>
            </w:r>
          </w:p>
        </w:tc>
        <w:tc>
          <w:tcPr>
            <w:tcW w:type="dxa" w:w="4276"/>
            <w:vAlign w:val="top"/>
          </w:tcPr>
          <w:p>
            <w:pPr>
              <w:spacing w:after="60" w:line="259" w:lineRule="auto"/>
            </w:pPr>
            <w:r>
              <w:rPr>
                <w:rFonts w:ascii="Calibri" w:hAnsi="Calibri"/>
                <w:b w:val="0"/>
                <w:i w:val="0"/>
                <w:color w:val="212121"/>
                <w:sz w:val="19"/>
              </w:rPr>
              <w:t>Underdeveloped lungs and airways in premature and low-birth-weight infants predispose to severe HMPV bronchiolitis and respiratory failure.</w:t>
            </w:r>
          </w:p>
          <w:p>
            <w:pPr>
              <w:spacing w:after="40" w:before="60" w:line="259" w:lineRule="auto"/>
            </w:pPr>
            <w:r>
              <w:rPr>
                <w:rFonts w:ascii="Calibri" w:hAnsi="Calibri"/>
                <w:b w:val="0"/>
                <w:i w:val="0"/>
                <w:color w:val="212121"/>
                <w:sz w:val="19"/>
              </w:rPr>
              <w:t>Premature infants are a recognised high-risk group for severe HMPV disease.</w:t>
            </w:r>
          </w:p>
          <w:p>
            <w:pPr>
              <w:spacing w:after="40" w:line="252" w:lineRule="auto"/>
            </w:pPr>
            <w:hyperlink r:id="rId13">
              <w:r>
                <w:rPr>
                  <w:rFonts w:ascii="Calibri" w:hAnsi="Calibri" w:cs="Calibri"/>
                  <w:sz w:val="18"/>
                  <w:color w:val="1155CC"/>
                  <w:u w:val="single"/>
                </w:rPr>
                <w:t xml:space="preserve">my.clevelandclinic.org — HMPV</w:t>
              </w:r>
            </w:hyperlink>
          </w:p>
          <w:p>
            <w:pPr>
              <w:spacing w:before="60" w:after="40"/>
            </w:pPr>
            <w:r>
              <w:rPr>
                <w:rFonts w:ascii="Calibri" w:hAnsi="Calibri"/>
                <w:b w:val="0"/>
                <w:i w:val="0"/>
                <w:color w:val="5A5A5A"/>
                <w:sz w:val="18"/>
              </w:rPr>
              <w:t>#prematurity  #BPD  #lowbirthweight  #severeLRTI</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Inherited/primary immunodeficiency</w:t>
            </w:r>
          </w:p>
        </w:tc>
        <w:tc>
          <w:tcPr>
            <w:tcW w:type="dxa" w:w="2160"/>
            <w:vAlign w:val="top"/>
          </w:tcPr>
          <w:p>
            <w:pPr>
              <w:spacing w:after="40" w:before="0" w:line="259" w:lineRule="auto"/>
            </w:pPr>
            <w:r>
              <w:rPr>
                <w:rFonts w:ascii="Calibri" w:hAnsi="Calibri"/>
                <w:b w:val="0"/>
                <w:i w:val="0"/>
                <w:color w:val="212121"/>
                <w:sz w:val="19"/>
              </w:rPr>
              <w:t>Children with primary immunodeficiency or congenital syndromes</w:t>
            </w:r>
          </w:p>
        </w:tc>
        <w:tc>
          <w:tcPr>
            <w:tcW w:type="dxa" w:w="4276"/>
            <w:vAlign w:val="top"/>
          </w:tcPr>
          <w:p>
            <w:pPr>
              <w:spacing w:after="60" w:line="259" w:lineRule="auto"/>
            </w:pPr>
            <w:r>
              <w:rPr>
                <w:rFonts w:ascii="Calibri" w:hAnsi="Calibri"/>
                <w:b w:val="0"/>
                <w:i w:val="0"/>
                <w:color w:val="212121"/>
                <w:sz w:val="19"/>
              </w:rPr>
              <w:t>Impaired antiviral immunity from inborn errors of immunity (and syndromes such as Down syndrome or congenital heart disease) leads to prolonged viral shedding and severe or fatal HMPV infection.</w:t>
            </w:r>
          </w:p>
          <w:p>
            <w:pPr>
              <w:spacing w:after="40" w:before="60" w:line="259" w:lineRule="auto"/>
            </w:pPr>
            <w:r>
              <w:rPr>
                <w:rFonts w:ascii="Calibri" w:hAnsi="Calibri"/>
                <w:b w:val="0"/>
                <w:i w:val="0"/>
                <w:color w:val="212121"/>
                <w:sz w:val="19"/>
              </w:rPr>
              <w:t>Immunocompromised individuals are among those at greatest risk of complicated HMPV disease.</w:t>
            </w:r>
          </w:p>
          <w:p>
            <w:pPr>
              <w:spacing w:after="40" w:line="252" w:lineRule="auto"/>
            </w:pPr>
            <w:hyperlink r:id="rId12">
              <w:r>
                <w:rPr>
                  <w:rFonts w:ascii="Calibri" w:hAnsi="Calibri" w:cs="Calibri"/>
                  <w:sz w:val="18"/>
                  <w:color w:val="1155CC"/>
                  <w:u w:val="single"/>
                </w:rPr>
                <w:t xml:space="preserve">cdc.gov — about human metapneumovirus</w:t>
              </w:r>
            </w:hyperlink>
          </w:p>
          <w:p>
            <w:pPr>
              <w:spacing w:before="60" w:after="40"/>
            </w:pPr>
            <w:r>
              <w:rPr>
                <w:rFonts w:ascii="Calibri" w:hAnsi="Calibri"/>
                <w:b w:val="0"/>
                <w:i w:val="0"/>
                <w:color w:val="5A5A5A"/>
                <w:sz w:val="18"/>
              </w:rPr>
              <w:t>#immunodeficiency  #congenital  #prolongedshedding  #highrisk</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Asthma</w:t>
            </w:r>
          </w:p>
        </w:tc>
        <w:tc>
          <w:tcPr>
            <w:tcW w:type="dxa" w:w="2160"/>
            <w:vAlign w:val="top"/>
          </w:tcPr>
          <w:p>
            <w:pPr>
              <w:spacing w:after="40" w:before="0" w:line="259" w:lineRule="auto"/>
            </w:pPr>
            <w:r>
              <w:rPr>
                <w:rFonts w:ascii="Calibri" w:hAnsi="Calibri"/>
                <w:b w:val="0"/>
                <w:i w:val="0"/>
                <w:color w:val="212121"/>
                <w:sz w:val="19"/>
              </w:rPr>
              <w:t>People with asthma</w:t>
            </w:r>
          </w:p>
        </w:tc>
        <w:tc>
          <w:tcPr>
            <w:tcW w:type="dxa" w:w="4276"/>
            <w:vAlign w:val="top"/>
          </w:tcPr>
          <w:p>
            <w:pPr>
              <w:spacing w:after="60" w:line="259" w:lineRule="auto"/>
            </w:pPr>
            <w:r>
              <w:rPr>
                <w:rFonts w:ascii="Calibri" w:hAnsi="Calibri"/>
                <w:b w:val="0"/>
                <w:i w:val="0"/>
                <w:color w:val="212121"/>
                <w:sz w:val="19"/>
              </w:rPr>
              <w:t>HMPV is a frequent trigger of asthma exacerbations; airway inflammation and hyper-reactivity worsen wheeze and can precipitate acute attacks.</w:t>
            </w:r>
          </w:p>
          <w:p>
            <w:pPr>
              <w:spacing w:after="40" w:before="60" w:line="259" w:lineRule="auto"/>
            </w:pPr>
            <w:r>
              <w:rPr>
                <w:rFonts w:ascii="Calibri" w:hAnsi="Calibri"/>
                <w:b w:val="0"/>
                <w:i w:val="0"/>
                <w:color w:val="212121"/>
                <w:sz w:val="19"/>
              </w:rPr>
              <w:t>HMPV can provoke asthma flare-ups and reactive-airway disease.</w:t>
            </w:r>
          </w:p>
          <w:p>
            <w:pPr>
              <w:spacing w:after="40" w:line="252" w:lineRule="auto"/>
            </w:pPr>
            <w:hyperlink r:id="rId13">
              <w:r>
                <w:rPr>
                  <w:rFonts w:ascii="Calibri" w:hAnsi="Calibri" w:cs="Calibri"/>
                  <w:sz w:val="18"/>
                  <w:color w:val="1155CC"/>
                  <w:u w:val="single"/>
                </w:rPr>
                <w:t xml:space="preserve">my.clevelandclinic.org — HMPV</w:t>
              </w:r>
            </w:hyperlink>
          </w:p>
          <w:p>
            <w:pPr>
              <w:spacing w:before="60" w:after="40"/>
            </w:pPr>
            <w:r>
              <w:rPr>
                <w:rFonts w:ascii="Calibri" w:hAnsi="Calibri"/>
                <w:b w:val="0"/>
                <w:i w:val="0"/>
                <w:color w:val="5A5A5A"/>
                <w:sz w:val="18"/>
              </w:rPr>
              <w:t>#asthma  #wheeze  #exacerbation  #reactiveairway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COPD</w:t>
            </w:r>
          </w:p>
        </w:tc>
        <w:tc>
          <w:tcPr>
            <w:tcW w:type="dxa" w:w="2160"/>
            <w:vAlign w:val="top"/>
          </w:tcPr>
          <w:p>
            <w:pPr>
              <w:spacing w:after="40" w:before="0" w:line="259" w:lineRule="auto"/>
            </w:pPr>
            <w:r>
              <w:rPr>
                <w:rFonts w:ascii="Calibri" w:hAnsi="Calibri"/>
                <w:b w:val="0"/>
                <w:i w:val="0"/>
                <w:color w:val="212121"/>
                <w:sz w:val="19"/>
              </w:rPr>
              <w:t>People with chronic obstructive pulmonary disease</w:t>
            </w:r>
          </w:p>
        </w:tc>
        <w:tc>
          <w:tcPr>
            <w:tcW w:type="dxa" w:w="4276"/>
            <w:vAlign w:val="top"/>
          </w:tcPr>
          <w:p>
            <w:pPr>
              <w:spacing w:after="60" w:line="259" w:lineRule="auto"/>
            </w:pPr>
            <w:r>
              <w:rPr>
                <w:rFonts w:ascii="Calibri" w:hAnsi="Calibri"/>
                <w:b w:val="0"/>
                <w:i w:val="0"/>
                <w:color w:val="212121"/>
                <w:sz w:val="19"/>
              </w:rPr>
              <w:t>Reduced respiratory reserve and impaired clearance make COPD patients prone to severe HMPV lower-respiratory infection and acute exacerbations requiring hospitalisation.</w:t>
            </w:r>
          </w:p>
          <w:p>
            <w:pPr>
              <w:spacing w:after="40" w:before="60" w:line="259" w:lineRule="auto"/>
            </w:pPr>
            <w:r>
              <w:rPr>
                <w:rFonts w:ascii="Calibri" w:hAnsi="Calibri"/>
                <w:b w:val="0"/>
                <w:i w:val="0"/>
                <w:color w:val="212121"/>
                <w:sz w:val="19"/>
              </w:rPr>
              <w:t>HMPV is a recognised cause of COPD exacerbation and severe disease in adults with chronic lung disease.</w:t>
            </w:r>
          </w:p>
          <w:p>
            <w:pPr>
              <w:spacing w:after="40" w:line="252" w:lineRule="auto"/>
            </w:pPr>
            <w:hyperlink r:id="rId12">
              <w:r>
                <w:rPr>
                  <w:rFonts w:ascii="Calibri" w:hAnsi="Calibri" w:cs="Calibri"/>
                  <w:sz w:val="18"/>
                  <w:color w:val="1155CC"/>
                  <w:u w:val="single"/>
                </w:rPr>
                <w:t xml:space="preserve">cdc.gov — about human metapneumovirus</w:t>
              </w:r>
            </w:hyperlink>
          </w:p>
          <w:p>
            <w:pPr>
              <w:spacing w:before="60" w:after="40"/>
            </w:pPr>
            <w:r>
              <w:rPr>
                <w:rFonts w:ascii="Calibri" w:hAnsi="Calibri"/>
                <w:b w:val="0"/>
                <w:i w:val="0"/>
                <w:color w:val="5A5A5A"/>
                <w:sz w:val="18"/>
              </w:rPr>
              <w:t>#COPD  #exacerbation  #chroniclung  #hospitalisation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Immunocompromised state</w:t>
            </w:r>
          </w:p>
        </w:tc>
        <w:tc>
          <w:tcPr>
            <w:tcW w:type="dxa" w:w="2160"/>
            <w:vAlign w:val="top"/>
          </w:tcPr>
          <w:p>
            <w:pPr>
              <w:spacing w:after="40" w:before="0" w:line="259" w:lineRule="auto"/>
            </w:pPr>
            <w:r>
              <w:rPr>
                <w:rFonts w:ascii="Calibri" w:hAnsi="Calibri"/>
                <w:b w:val="0"/>
                <w:i w:val="0"/>
                <w:color w:val="212121"/>
                <w:sz w:val="19"/>
              </w:rPr>
              <w:t>Transplant recipients &amp; patients on chemotherapy</w:t>
            </w:r>
          </w:p>
        </w:tc>
        <w:tc>
          <w:tcPr>
            <w:tcW w:type="dxa" w:w="4276"/>
            <w:vAlign w:val="top"/>
          </w:tcPr>
          <w:p>
            <w:pPr>
              <w:spacing w:after="60" w:line="259" w:lineRule="auto"/>
            </w:pPr>
            <w:r>
              <w:rPr>
                <w:rFonts w:ascii="Calibri" w:hAnsi="Calibri"/>
                <w:b w:val="0"/>
                <w:i w:val="0"/>
                <w:color w:val="212121"/>
                <w:sz w:val="19"/>
              </w:rPr>
              <w:t>Haematopoietic/solid-organ transplant recipients and patients with haematological malignancy suffer prolonged shedding, progression to pneumonia and high mortality from HMPV.</w:t>
            </w:r>
          </w:p>
          <w:p>
            <w:pPr>
              <w:spacing w:after="40" w:before="60" w:line="259" w:lineRule="auto"/>
            </w:pPr>
            <w:r>
              <w:rPr>
                <w:rFonts w:ascii="Calibri" w:hAnsi="Calibri"/>
                <w:b w:val="0"/>
                <w:i w:val="0"/>
                <w:color w:val="212121"/>
                <w:sz w:val="19"/>
              </w:rPr>
              <w:t>Immunocompromised adults are a key high-risk group for severe and fatal HMPV infection.</w:t>
            </w:r>
          </w:p>
          <w:p>
            <w:pPr>
              <w:spacing w:after="40" w:line="252" w:lineRule="auto"/>
            </w:pPr>
            <w:hyperlink r:id="rId11">
              <w:r>
                <w:rPr>
                  <w:rFonts w:ascii="Calibri" w:hAnsi="Calibri" w:cs="Calibri"/>
                  <w:sz w:val="18"/>
                  <w:color w:val="1155CC"/>
                  <w:u w:val="single"/>
                </w:rPr>
                <w:t xml:space="preserve">pmc.ncbi.nlm.nih.gov — HMPV burden in high-risk adults</w:t>
              </w:r>
            </w:hyperlink>
          </w:p>
          <w:p>
            <w:pPr>
              <w:spacing w:before="60" w:after="40"/>
            </w:pPr>
            <w:r>
              <w:rPr>
                <w:rFonts w:ascii="Calibri" w:hAnsi="Calibri"/>
                <w:b w:val="0"/>
                <w:i w:val="0"/>
                <w:color w:val="5A5A5A"/>
                <w:sz w:val="18"/>
              </w:rPr>
              <w:t>#immunocompromised  #transplant  #chemotherapy  #severeinfection</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Regular moderate exercise supports mucosal and innate immunity, but activity level has only a modest effect on HMPV susceptibility; deconditioning and frailty worsen respiratory-infection outcomes in the elderly.</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Undernutrition and micronutrient deficiency (vitamin A/D, zinc) impair antiviral immunity and are linked to more severe childhood lower-respiratory infection in India; exclusive breastfeeding is protective in infancy.</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Sleep deprivation blunts innate and adaptive immune responses and is associated with increased susceptibility to and slower recovery from respiratory viral infection.</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Active smoking, secondhand smoke and household biomass-fuel smoke damage respiratory epithelium and mucociliary clearance, raising the risk and severity of viral LRTI.</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Chronic heavy alcohol use impairs alveolar macrophage function and immune defence and may worsen pneumonia; moderate intake has no established effect on HMPV.</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Chronic psychological stress modulates immune function and may slightly increase susceptibility to respiratory infection, but a direct link to HMPV is weak.</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Adequate hydration supports airway secretion clearance and recovery from febrile respiratory illness; access to clean water also underpins effective hand hygiene.</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 meaningful established relationship between caffeine intake and HMPV infection or severity.</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Hand hygiene, respiratory etiquette (covering coughs/sneezes), mask use when symptomatic and surface disinfection directly interrupt droplet and fomite transmission - the principal preventive measures against HMPV.</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Crowding, daycare/school attendance, winter-spring season, close contact with symptomatic individuals and indoor air pollution provoke transmission and outbreaks.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Hand-hygiene frequency</w:t>
            </w:r>
          </w:p>
        </w:tc>
        <w:tc>
          <w:tcPr>
            <w:tcW w:type="dxa" w:w="1655"/>
            <w:vAlign w:val="top"/>
          </w:tcPr>
          <w:p>
            <w:pPr>
              <w:spacing w:after="40" w:before="0" w:line="259" w:lineRule="auto"/>
            </w:pPr>
            <w:r>
              <w:rPr>
                <w:rFonts w:ascii="Calibri" w:hAnsi="Calibri"/>
                <w:b w:val="0"/>
                <w:i w:val="0"/>
                <w:color w:val="212121"/>
                <w:sz w:val="19"/>
              </w:rPr>
              <w:t>Caregivers, children, contacts</w:t>
            </w:r>
          </w:p>
        </w:tc>
        <w:tc>
          <w:tcPr>
            <w:tcW w:type="dxa" w:w="1512"/>
            <w:vAlign w:val="top"/>
          </w:tcPr>
          <w:p>
            <w:pPr>
              <w:spacing w:after="40" w:before="0" w:line="259" w:lineRule="auto"/>
            </w:pPr>
            <w:r>
              <w:rPr>
                <w:rFonts w:ascii="Calibri" w:hAnsi="Calibri"/>
                <w:b w:val="0"/>
                <w:i w:val="0"/>
                <w:color w:val="212121"/>
                <w:sz w:val="19"/>
              </w:rPr>
              <w:t>Wash with soap ≥20 s before feeding and after coughing/contact</w:t>
            </w:r>
          </w:p>
        </w:tc>
        <w:tc>
          <w:tcPr>
            <w:tcW w:type="dxa" w:w="1512"/>
            <w:vAlign w:val="top"/>
          </w:tcPr>
          <w:p>
            <w:pPr>
              <w:spacing w:after="40" w:before="0" w:line="259" w:lineRule="auto"/>
            </w:pPr>
            <w:r>
              <w:rPr>
                <w:rFonts w:ascii="Calibri" w:hAnsi="Calibri"/>
                <w:b w:val="0"/>
                <w:i w:val="0"/>
                <w:color w:val="212121"/>
                <w:sz w:val="19"/>
              </w:rPr>
              <w:t>Infrequent or no handwashing</w:t>
            </w:r>
          </w:p>
        </w:tc>
        <w:tc>
          <w:tcPr>
            <w:tcW w:type="dxa" w:w="1468"/>
            <w:vAlign w:val="top"/>
          </w:tcPr>
          <w:p>
            <w:pPr>
              <w:spacing w:after="60" w:line="259" w:lineRule="auto"/>
            </w:pPr>
            <w:r>
              <w:rPr>
                <w:rFonts w:ascii="Calibri" w:hAnsi="Calibri"/>
                <w:b w:val="0"/>
                <w:i w:val="0"/>
                <w:color w:val="212121"/>
                <w:sz w:val="19"/>
              </w:rPr>
              <w:t>Reduces fomite transmission of HMPV</w:t>
            </w:r>
          </w:p>
          <w:p>
            <w:pPr>
              <w:spacing w:after="40" w:line="252" w:lineRule="auto"/>
            </w:pPr>
            <w:hyperlink r:id="rId12">
              <w:r>
                <w:rPr>
                  <w:rFonts w:ascii="Calibri" w:hAnsi="Calibri" w:cs="Calibri"/>
                  <w:sz w:val="18"/>
                  <w:color w:val="1155CC"/>
                  <w:u w:val="single"/>
                </w:rPr>
                <w:t xml:space="preserve">https://www.cdc.gov/human-metapneumovirus/about/index.html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Mask use when symptomatic</w:t>
            </w:r>
          </w:p>
        </w:tc>
        <w:tc>
          <w:tcPr>
            <w:tcW w:type="dxa" w:w="1655"/>
            <w:vAlign w:val="top"/>
          </w:tcPr>
          <w:p>
            <w:pPr>
              <w:spacing w:after="40" w:before="0" w:line="259" w:lineRule="auto"/>
            </w:pPr>
            <w:r>
              <w:rPr>
                <w:rFonts w:ascii="Calibri" w:hAnsi="Calibri"/>
                <w:b w:val="0"/>
                <w:i w:val="0"/>
                <w:color w:val="212121"/>
                <w:sz w:val="19"/>
              </w:rPr>
              <w:t>Symptomatic people, hospital/crowds</w:t>
            </w:r>
          </w:p>
        </w:tc>
        <w:tc>
          <w:tcPr>
            <w:tcW w:type="dxa" w:w="1512"/>
            <w:vAlign w:val="top"/>
          </w:tcPr>
          <w:p>
            <w:pPr>
              <w:spacing w:after="40" w:before="0" w:line="259" w:lineRule="auto"/>
            </w:pPr>
            <w:r>
              <w:rPr>
                <w:rFonts w:ascii="Calibri" w:hAnsi="Calibri"/>
                <w:b w:val="0"/>
                <w:i w:val="0"/>
                <w:color w:val="212121"/>
                <w:sz w:val="19"/>
              </w:rPr>
              <w:t>Mask worn during ILI symptoms and in crowded/clinical settings</w:t>
            </w:r>
          </w:p>
        </w:tc>
        <w:tc>
          <w:tcPr>
            <w:tcW w:type="dxa" w:w="1512"/>
            <w:vAlign w:val="top"/>
          </w:tcPr>
          <w:p>
            <w:pPr>
              <w:spacing w:after="40" w:before="0" w:line="259" w:lineRule="auto"/>
            </w:pPr>
            <w:r>
              <w:rPr>
                <w:rFonts w:ascii="Calibri" w:hAnsi="Calibri"/>
                <w:b w:val="0"/>
                <w:i w:val="0"/>
                <w:color w:val="212121"/>
                <w:sz w:val="19"/>
              </w:rPr>
              <w:t>No masking while symptomatic</w:t>
            </w:r>
          </w:p>
        </w:tc>
        <w:tc>
          <w:tcPr>
            <w:tcW w:type="dxa" w:w="1468"/>
            <w:vAlign w:val="top"/>
          </w:tcPr>
          <w:p>
            <w:pPr>
              <w:spacing w:after="60" w:line="259" w:lineRule="auto"/>
            </w:pPr>
            <w:r>
              <w:rPr>
                <w:rFonts w:ascii="Calibri" w:hAnsi="Calibri"/>
                <w:b w:val="0"/>
                <w:i w:val="0"/>
                <w:color w:val="212121"/>
                <w:sz w:val="19"/>
              </w:rPr>
              <w:t>Limits droplet spread of respiratory virus</w:t>
            </w:r>
          </w:p>
          <w:p>
            <w:pPr>
              <w:spacing w:after="40" w:line="252" w:lineRule="auto"/>
            </w:pPr>
            <w:hyperlink r:id="rId12">
              <w:r>
                <w:rPr>
                  <w:rFonts w:ascii="Calibri" w:hAnsi="Calibri" w:cs="Calibri"/>
                  <w:sz w:val="18"/>
                  <w:color w:val="1155CC"/>
                  <w:u w:val="single"/>
                </w:rPr>
                <w:t xml:space="preserve">https://www.cdc.gov/human-metapneumovirus/about/index.html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Household crowding</w:t>
            </w:r>
          </w:p>
        </w:tc>
        <w:tc>
          <w:tcPr>
            <w:tcW w:type="dxa" w:w="1655"/>
            <w:vAlign w:val="top"/>
          </w:tcPr>
          <w:p>
            <w:pPr>
              <w:spacing w:after="40" w:before="0" w:line="259" w:lineRule="auto"/>
            </w:pPr>
            <w:r>
              <w:rPr>
                <w:rFonts w:ascii="Calibri" w:hAnsi="Calibri"/>
                <w:b w:val="0"/>
                <w:i w:val="0"/>
                <w:color w:val="212121"/>
                <w:sz w:val="19"/>
              </w:rPr>
              <w:t>Low-income households</w:t>
            </w:r>
          </w:p>
        </w:tc>
        <w:tc>
          <w:tcPr>
            <w:tcW w:type="dxa" w:w="1512"/>
            <w:vAlign w:val="top"/>
          </w:tcPr>
          <w:p>
            <w:pPr>
              <w:spacing w:after="40" w:before="0" w:line="259" w:lineRule="auto"/>
            </w:pPr>
            <w:r>
              <w:rPr>
                <w:rFonts w:ascii="Calibri" w:hAnsi="Calibri"/>
                <w:b w:val="0"/>
                <w:i w:val="0"/>
                <w:color w:val="212121"/>
                <w:sz w:val="19"/>
              </w:rPr>
              <w:t>&lt; 2 persons per room</w:t>
            </w:r>
          </w:p>
        </w:tc>
        <w:tc>
          <w:tcPr>
            <w:tcW w:type="dxa" w:w="1512"/>
            <w:vAlign w:val="top"/>
          </w:tcPr>
          <w:p>
            <w:pPr>
              <w:spacing w:after="40" w:before="0" w:line="259" w:lineRule="auto"/>
            </w:pPr>
            <w:r>
              <w:rPr>
                <w:rFonts w:ascii="Calibri" w:hAnsi="Calibri"/>
                <w:b w:val="0"/>
                <w:i w:val="0"/>
                <w:color w:val="212121"/>
                <w:sz w:val="19"/>
              </w:rPr>
              <w:t>≥ 3 persons per room (overcrowding)</w:t>
            </w:r>
          </w:p>
        </w:tc>
        <w:tc>
          <w:tcPr>
            <w:tcW w:type="dxa" w:w="1468"/>
            <w:vAlign w:val="top"/>
          </w:tcPr>
          <w:p>
            <w:pPr>
              <w:spacing w:after="40" w:before="0" w:line="259" w:lineRule="auto"/>
            </w:pPr>
            <w:r>
              <w:rPr>
                <w:rFonts w:ascii="Calibri" w:hAnsi="Calibri"/>
                <w:b w:val="0"/>
                <w:i w:val="0"/>
                <w:color w:val="212121"/>
                <w:sz w:val="19"/>
              </w:rPr>
              <w:t>Crowding facilitates droplet/fomite spread</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Weight-for-age (children)</w:t>
            </w:r>
          </w:p>
        </w:tc>
        <w:tc>
          <w:tcPr>
            <w:tcW w:type="dxa" w:w="1655"/>
            <w:vAlign w:val="top"/>
          </w:tcPr>
          <w:p>
            <w:pPr>
              <w:spacing w:after="40" w:before="0" w:line="259" w:lineRule="auto"/>
            </w:pPr>
            <w:r>
              <w:rPr>
                <w:rFonts w:ascii="Calibri" w:hAnsi="Calibri"/>
                <w:b w:val="0"/>
                <w:i w:val="0"/>
                <w:color w:val="212121"/>
                <w:sz w:val="19"/>
              </w:rPr>
              <w:t>Under-5 children</w:t>
            </w:r>
          </w:p>
        </w:tc>
        <w:tc>
          <w:tcPr>
            <w:tcW w:type="dxa" w:w="1512"/>
            <w:vAlign w:val="top"/>
          </w:tcPr>
          <w:p>
            <w:pPr>
              <w:spacing w:after="40" w:before="0" w:line="259" w:lineRule="auto"/>
            </w:pPr>
            <w:r>
              <w:rPr>
                <w:rFonts w:ascii="Calibri" w:hAnsi="Calibri"/>
                <w:b w:val="0"/>
                <w:i w:val="0"/>
                <w:color w:val="212121"/>
                <w:sz w:val="19"/>
              </w:rPr>
              <w:t>≥ -2 SD of WHO median</w:t>
            </w:r>
          </w:p>
        </w:tc>
        <w:tc>
          <w:tcPr>
            <w:tcW w:type="dxa" w:w="1512"/>
            <w:vAlign w:val="top"/>
          </w:tcPr>
          <w:p>
            <w:pPr>
              <w:spacing w:after="40" w:before="0" w:line="259" w:lineRule="auto"/>
            </w:pPr>
            <w:r>
              <w:rPr>
                <w:rFonts w:ascii="Calibri" w:hAnsi="Calibri"/>
                <w:b w:val="0"/>
                <w:i w:val="0"/>
                <w:color w:val="212121"/>
                <w:sz w:val="19"/>
              </w:rPr>
              <w:t>&lt; -2 SD (underweight)</w:t>
            </w:r>
          </w:p>
        </w:tc>
        <w:tc>
          <w:tcPr>
            <w:tcW w:type="dxa" w:w="1468"/>
            <w:vAlign w:val="top"/>
          </w:tcPr>
          <w:p>
            <w:pPr>
              <w:spacing w:after="40" w:before="0" w:line="259" w:lineRule="auto"/>
            </w:pPr>
            <w:r>
              <w:rPr>
                <w:rFonts w:ascii="Calibri" w:hAnsi="Calibri"/>
                <w:b w:val="0"/>
                <w:i w:val="0"/>
                <w:color w:val="212121"/>
                <w:sz w:val="19"/>
              </w:rPr>
              <w:t>Undernutrition worsens severity of childhood LRTI</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Exclusive breastfeeding</w:t>
            </w:r>
          </w:p>
        </w:tc>
        <w:tc>
          <w:tcPr>
            <w:tcW w:type="dxa" w:w="1655"/>
            <w:vAlign w:val="top"/>
          </w:tcPr>
          <w:p>
            <w:pPr>
              <w:spacing w:after="40" w:before="0" w:line="259" w:lineRule="auto"/>
            </w:pPr>
            <w:r>
              <w:rPr>
                <w:rFonts w:ascii="Calibri" w:hAnsi="Calibri"/>
                <w:b w:val="0"/>
                <w:i w:val="0"/>
                <w:color w:val="212121"/>
                <w:sz w:val="19"/>
              </w:rPr>
              <w:t>Infants &lt; 6 months</w:t>
            </w:r>
          </w:p>
        </w:tc>
        <w:tc>
          <w:tcPr>
            <w:tcW w:type="dxa" w:w="1512"/>
            <w:vAlign w:val="top"/>
          </w:tcPr>
          <w:p>
            <w:pPr>
              <w:spacing w:after="40" w:before="0" w:line="259" w:lineRule="auto"/>
            </w:pPr>
            <w:r>
              <w:rPr>
                <w:rFonts w:ascii="Calibri" w:hAnsi="Calibri"/>
                <w:b w:val="0"/>
                <w:i w:val="0"/>
                <w:color w:val="212121"/>
                <w:sz w:val="19"/>
              </w:rPr>
              <w:t>Exclusive breastfeeding for 6 months</w:t>
            </w:r>
          </w:p>
        </w:tc>
        <w:tc>
          <w:tcPr>
            <w:tcW w:type="dxa" w:w="1512"/>
            <w:vAlign w:val="top"/>
          </w:tcPr>
          <w:p>
            <w:pPr>
              <w:spacing w:after="40" w:before="0" w:line="259" w:lineRule="auto"/>
            </w:pPr>
            <w:r>
              <w:rPr>
                <w:rFonts w:ascii="Calibri" w:hAnsi="Calibri"/>
                <w:b w:val="0"/>
                <w:i w:val="0"/>
                <w:color w:val="212121"/>
                <w:sz w:val="19"/>
              </w:rPr>
              <w:t>Not exclusively breastfed</w:t>
            </w:r>
          </w:p>
        </w:tc>
        <w:tc>
          <w:tcPr>
            <w:tcW w:type="dxa" w:w="1468"/>
            <w:vAlign w:val="top"/>
          </w:tcPr>
          <w:p>
            <w:pPr>
              <w:spacing w:after="40" w:before="0" w:line="259" w:lineRule="auto"/>
            </w:pPr>
            <w:r>
              <w:rPr>
                <w:rFonts w:ascii="Calibri" w:hAnsi="Calibri"/>
                <w:b w:val="0"/>
                <w:i w:val="0"/>
                <w:color w:val="212121"/>
                <w:sz w:val="19"/>
              </w:rPr>
              <w:t>Breast milk confers passive immunity against respiratory infection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25-OH vitamin D</w:t>
            </w:r>
          </w:p>
        </w:tc>
        <w:tc>
          <w:tcPr>
            <w:tcW w:type="dxa" w:w="1655"/>
            <w:vAlign w:val="top"/>
          </w:tcPr>
          <w:p>
            <w:pPr>
              <w:spacing w:after="40" w:before="0" w:line="259" w:lineRule="auto"/>
            </w:pPr>
            <w:r>
              <w:rPr>
                <w:rFonts w:ascii="Calibri" w:hAnsi="Calibri"/>
                <w:b w:val="0"/>
                <w:i w:val="0"/>
                <w:color w:val="212121"/>
                <w:sz w:val="19"/>
              </w:rPr>
              <w:t>Children, elderly</w:t>
            </w:r>
          </w:p>
        </w:tc>
        <w:tc>
          <w:tcPr>
            <w:tcW w:type="dxa" w:w="1512"/>
            <w:vAlign w:val="top"/>
          </w:tcPr>
          <w:p>
            <w:pPr>
              <w:spacing w:after="40" w:before="0" w:line="259" w:lineRule="auto"/>
            </w:pPr>
            <w:r>
              <w:rPr>
                <w:rFonts w:ascii="Calibri" w:hAnsi="Calibri"/>
                <w:b w:val="0"/>
                <w:i w:val="0"/>
                <w:color w:val="212121"/>
                <w:sz w:val="19"/>
              </w:rPr>
              <w:t>≥ 30 ng/mL (≥ 75 nmol/L)</w:t>
            </w:r>
          </w:p>
        </w:tc>
        <w:tc>
          <w:tcPr>
            <w:tcW w:type="dxa" w:w="1512"/>
            <w:vAlign w:val="top"/>
          </w:tcPr>
          <w:p>
            <w:pPr>
              <w:spacing w:after="40" w:before="0" w:line="259" w:lineRule="auto"/>
            </w:pPr>
            <w:r>
              <w:rPr>
                <w:rFonts w:ascii="Calibri" w:hAnsi="Calibri"/>
                <w:b w:val="0"/>
                <w:i w:val="0"/>
                <w:color w:val="212121"/>
                <w:sz w:val="19"/>
              </w:rPr>
              <w:t>&lt; 20 ng/mL (deficiency)</w:t>
            </w:r>
          </w:p>
        </w:tc>
        <w:tc>
          <w:tcPr>
            <w:tcW w:type="dxa" w:w="1468"/>
            <w:vAlign w:val="top"/>
          </w:tcPr>
          <w:p>
            <w:pPr>
              <w:spacing w:after="40" w:before="0" w:line="259" w:lineRule="auto"/>
            </w:pPr>
            <w:r>
              <w:rPr>
                <w:rFonts w:ascii="Calibri" w:hAnsi="Calibri"/>
                <w:b w:val="0"/>
                <w:i w:val="0"/>
                <w:color w:val="212121"/>
                <w:sz w:val="19"/>
              </w:rPr>
              <w:t>Deficiency associated with more severe respiratory infection</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w:t>
            </w:r>
          </w:p>
        </w:tc>
        <w:tc>
          <w:tcPr>
            <w:tcW w:type="dxa" w:w="1655"/>
            <w:vAlign w:val="top"/>
          </w:tcPr>
          <w:p>
            <w:pPr>
              <w:spacing w:after="40" w:before="0" w:line="259" w:lineRule="auto"/>
            </w:pPr>
            <w:r>
              <w:rPr>
                <w:rFonts w:ascii="Calibri" w:hAnsi="Calibri"/>
                <w:b w:val="0"/>
                <w:i w:val="0"/>
                <w:color w:val="212121"/>
                <w:sz w:val="19"/>
              </w:rPr>
              <w:t>Adults, adolescents</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 6 hours/night</w:t>
            </w:r>
          </w:p>
        </w:tc>
        <w:tc>
          <w:tcPr>
            <w:tcW w:type="dxa" w:w="1468"/>
            <w:vAlign w:val="top"/>
          </w:tcPr>
          <w:p>
            <w:pPr>
              <w:spacing w:after="40" w:before="0" w:line="259" w:lineRule="auto"/>
            </w:pPr>
            <w:r>
              <w:rPr>
                <w:rFonts w:ascii="Calibri" w:hAnsi="Calibri"/>
                <w:b w:val="0"/>
                <w:i w:val="0"/>
                <w:color w:val="212121"/>
                <w:sz w:val="19"/>
              </w:rPr>
              <w:t>Sleep loss impairs antiviral immunity</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Cigarettes/day &amp; smoke exposure</w:t>
            </w:r>
          </w:p>
        </w:tc>
        <w:tc>
          <w:tcPr>
            <w:tcW w:type="dxa" w:w="1655"/>
            <w:vAlign w:val="top"/>
          </w:tcPr>
          <w:p>
            <w:pPr>
              <w:spacing w:after="40" w:before="0" w:line="259" w:lineRule="auto"/>
            </w:pPr>
            <w:r>
              <w:rPr>
                <w:rFonts w:ascii="Calibri" w:hAnsi="Calibri"/>
                <w:b w:val="0"/>
                <w:i w:val="0"/>
                <w:color w:val="212121"/>
                <w:sz w:val="19"/>
              </w:rPr>
              <w:t>Adults, adolescents, rural households</w:t>
            </w:r>
          </w:p>
        </w:tc>
        <w:tc>
          <w:tcPr>
            <w:tcW w:type="dxa" w:w="1512"/>
            <w:vAlign w:val="top"/>
          </w:tcPr>
          <w:p>
            <w:pPr>
              <w:spacing w:after="40" w:before="0" w:line="259" w:lineRule="auto"/>
            </w:pPr>
            <w:r>
              <w:rPr>
                <w:rFonts w:ascii="Calibri" w:hAnsi="Calibri"/>
                <w:b w:val="0"/>
                <w:i w:val="0"/>
                <w:color w:val="212121"/>
                <w:sz w:val="19"/>
              </w:rPr>
              <w:t>0/day and no biomass-smoke exposure</w:t>
            </w:r>
          </w:p>
        </w:tc>
        <w:tc>
          <w:tcPr>
            <w:tcW w:type="dxa" w:w="1512"/>
            <w:vAlign w:val="top"/>
          </w:tcPr>
          <w:p>
            <w:pPr>
              <w:spacing w:after="40" w:before="0" w:line="259" w:lineRule="auto"/>
            </w:pPr>
            <w:r>
              <w:rPr>
                <w:rFonts w:ascii="Calibri" w:hAnsi="Calibri"/>
                <w:b w:val="0"/>
                <w:i w:val="0"/>
                <w:color w:val="212121"/>
                <w:sz w:val="19"/>
              </w:rPr>
              <w:t>≥ 1 cigarette/day or regular biomass-smoke exposure</w:t>
            </w:r>
          </w:p>
        </w:tc>
        <w:tc>
          <w:tcPr>
            <w:tcW w:type="dxa" w:w="1468"/>
            <w:vAlign w:val="top"/>
          </w:tcPr>
          <w:p>
            <w:pPr>
              <w:spacing w:after="40" w:before="0" w:line="259" w:lineRule="auto"/>
            </w:pPr>
            <w:r>
              <w:rPr>
                <w:rFonts w:ascii="Calibri" w:hAnsi="Calibri"/>
                <w:b w:val="0"/>
                <w:i w:val="0"/>
                <w:color w:val="212121"/>
                <w:sz w:val="19"/>
              </w:rPr>
              <w:t>Smoke exposure impairs mucociliary clearance and worsens LRTI</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Moderate-vigorous activity</w:t>
            </w:r>
          </w:p>
        </w:tc>
        <w:tc>
          <w:tcPr>
            <w:tcW w:type="dxa" w:w="1655"/>
            <w:vAlign w:val="top"/>
          </w:tcPr>
          <w:p>
            <w:pPr>
              <w:spacing w:after="40" w:before="0" w:line="259" w:lineRule="auto"/>
            </w:pPr>
            <w:r>
              <w:rPr>
                <w:rFonts w:ascii="Calibri" w:hAnsi="Calibri"/>
                <w:b w:val="0"/>
                <w:i w:val="0"/>
                <w:color w:val="212121"/>
                <w:sz w:val="19"/>
              </w:rPr>
              <w:t>Adults, elderly</w:t>
            </w:r>
          </w:p>
        </w:tc>
        <w:tc>
          <w:tcPr>
            <w:tcW w:type="dxa" w:w="1512"/>
            <w:vAlign w:val="top"/>
          </w:tcPr>
          <w:p>
            <w:pPr>
              <w:spacing w:after="40" w:before="0" w:line="259" w:lineRule="auto"/>
            </w:pPr>
            <w:r>
              <w:rPr>
                <w:rFonts w:ascii="Calibri" w:hAnsi="Calibri"/>
                <w:b w:val="0"/>
                <w:i w:val="0"/>
                <w:color w:val="212121"/>
                <w:sz w:val="19"/>
              </w:rPr>
              <w:t>≥ 150 min/week moderate activity</w:t>
            </w:r>
          </w:p>
        </w:tc>
        <w:tc>
          <w:tcPr>
            <w:tcW w:type="dxa" w:w="1512"/>
            <w:vAlign w:val="top"/>
          </w:tcPr>
          <w:p>
            <w:pPr>
              <w:spacing w:after="40" w:before="0" w:line="259" w:lineRule="auto"/>
            </w:pPr>
            <w:r>
              <w:rPr>
                <w:rFonts w:ascii="Calibri" w:hAnsi="Calibri"/>
                <w:b w:val="0"/>
                <w:i w:val="0"/>
                <w:color w:val="212121"/>
                <w:sz w:val="19"/>
              </w:rPr>
              <w:t>Sedentary lifestyle / frailty</w:t>
            </w:r>
          </w:p>
        </w:tc>
        <w:tc>
          <w:tcPr>
            <w:tcW w:type="dxa" w:w="1468"/>
            <w:vAlign w:val="top"/>
          </w:tcPr>
          <w:p>
            <w:pPr>
              <w:spacing w:after="40" w:before="0" w:line="259" w:lineRule="auto"/>
            </w:pPr>
            <w:r>
              <w:rPr>
                <w:rFonts w:ascii="Calibri" w:hAnsi="Calibri"/>
                <w:b w:val="0"/>
                <w:i w:val="0"/>
                <w:color w:val="212121"/>
                <w:sz w:val="19"/>
              </w:rPr>
              <w:t>Deconditioning worsens respiratory-infection outcomes</w:t>
            </w:r>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Daily fluid intake</w:t>
            </w:r>
          </w:p>
        </w:tc>
        <w:tc>
          <w:tcPr>
            <w:tcW w:type="dxa" w:w="1655"/>
            <w:vAlign w:val="top"/>
          </w:tcPr>
          <w:p>
            <w:pPr>
              <w:spacing w:after="40" w:before="0" w:line="259" w:lineRule="auto"/>
            </w:pPr>
            <w:r>
              <w:rPr>
                <w:rFonts w:ascii="Calibri" w:hAnsi="Calibri"/>
                <w:b w:val="0"/>
                <w:i w:val="0"/>
                <w:color w:val="212121"/>
                <w:sz w:val="19"/>
              </w:rPr>
              <w:t>Febrile patients, young children</w:t>
            </w:r>
          </w:p>
        </w:tc>
        <w:tc>
          <w:tcPr>
            <w:tcW w:type="dxa" w:w="1512"/>
            <w:vAlign w:val="top"/>
          </w:tcPr>
          <w:p>
            <w:pPr>
              <w:spacing w:after="40" w:before="0" w:line="259" w:lineRule="auto"/>
            </w:pPr>
            <w:r>
              <w:rPr>
                <w:rFonts w:ascii="Calibri" w:hAnsi="Calibri"/>
                <w:b w:val="0"/>
                <w:i w:val="0"/>
                <w:color w:val="212121"/>
                <w:sz w:val="19"/>
              </w:rPr>
              <w:t>Age-appropriate intake maintaining normal urine output</w:t>
            </w:r>
          </w:p>
        </w:tc>
        <w:tc>
          <w:tcPr>
            <w:tcW w:type="dxa" w:w="1512"/>
            <w:vAlign w:val="top"/>
          </w:tcPr>
          <w:p>
            <w:pPr>
              <w:spacing w:after="40" w:before="0" w:line="259" w:lineRule="auto"/>
            </w:pPr>
            <w:r>
              <w:rPr>
                <w:rFonts w:ascii="Calibri" w:hAnsi="Calibri"/>
                <w:b w:val="0"/>
                <w:i w:val="0"/>
                <w:color w:val="212121"/>
                <w:sz w:val="19"/>
              </w:rPr>
              <w:t>Reduced intake / signs of dehydration</w:t>
            </w:r>
          </w:p>
        </w:tc>
        <w:tc>
          <w:tcPr>
            <w:tcW w:type="dxa" w:w="1468"/>
            <w:vAlign w:val="top"/>
          </w:tcPr>
          <w:p>
            <w:pPr>
              <w:spacing w:after="40" w:before="0" w:line="259" w:lineRule="auto"/>
            </w:pPr>
            <w:r>
              <w:rPr>
                <w:rFonts w:ascii="Calibri" w:hAnsi="Calibri"/>
                <w:b w:val="0"/>
                <w:i w:val="0"/>
                <w:color w:val="212121"/>
                <w:sz w:val="19"/>
              </w:rPr>
              <w:t>Supports secretion clearance and recovery during febrile illness</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Molecular</w:t>
            </w:r>
          </w:p>
        </w:tc>
        <w:tc>
          <w:tcPr>
            <w:tcW w:type="dxa" w:w="1036"/>
            <w:vAlign w:val="top"/>
          </w:tcPr>
          <w:p>
            <w:pPr>
              <w:spacing w:after="40" w:before="0" w:line="259" w:lineRule="auto"/>
            </w:pPr>
            <w:r>
              <w:rPr>
                <w:rFonts w:ascii="Calibri" w:hAnsi="Calibri"/>
                <w:b w:val="0"/>
                <w:i w:val="0"/>
                <w:color w:val="212121"/>
                <w:sz w:val="16"/>
              </w:rPr>
              <w:t>HMPV RNA (multiplex RT-PCR)</w:t>
            </w:r>
          </w:p>
        </w:tc>
        <w:tc>
          <w:tcPr>
            <w:tcW w:type="dxa" w:w="892"/>
            <w:vAlign w:val="top"/>
          </w:tcPr>
          <w:p>
            <w:pPr>
              <w:spacing w:after="40" w:before="0" w:line="259" w:lineRule="auto"/>
            </w:pPr>
            <w:r>
              <w:rPr>
                <w:rFonts w:ascii="Calibri" w:hAnsi="Calibri"/>
                <w:b w:val="0"/>
                <w:i w:val="0"/>
                <w:color w:val="212121"/>
                <w:sz w:val="16"/>
              </w:rPr>
              <w:t>Nasopharyngeal swab/aspirate RT-PCR</w:t>
            </w:r>
          </w:p>
        </w:tc>
        <w:tc>
          <w:tcPr>
            <w:tcW w:type="dxa" w:w="950"/>
            <w:vAlign w:val="top"/>
          </w:tcPr>
          <w:p>
            <w:pPr>
              <w:spacing w:after="40" w:before="0" w:line="259" w:lineRule="auto"/>
            </w:pPr>
            <w:r>
              <w:rPr>
                <w:rFonts w:ascii="Calibri" w:hAnsi="Calibri"/>
                <w:b w:val="0"/>
                <w:i w:val="0"/>
                <w:color w:val="212121"/>
                <w:sz w:val="16"/>
              </w:rPr>
              <w:t>Not detected</w:t>
            </w:r>
          </w:p>
        </w:tc>
        <w:tc>
          <w:tcPr>
            <w:tcW w:type="dxa" w:w="950"/>
            <w:vAlign w:val="top"/>
          </w:tcPr>
          <w:p>
            <w:pPr>
              <w:spacing w:after="40" w:before="0" w:line="259" w:lineRule="auto"/>
            </w:pPr>
            <w:r>
              <w:rPr>
                <w:rFonts w:ascii="Calibri" w:hAnsi="Calibri"/>
                <w:b w:val="0"/>
                <w:i w:val="0"/>
                <w:color w:val="212121"/>
                <w:sz w:val="16"/>
              </w:rPr>
              <w:t>HMPV RNA detected</w:t>
            </w:r>
          </w:p>
        </w:tc>
        <w:tc>
          <w:tcPr>
            <w:tcW w:type="dxa" w:w="1036"/>
            <w:vAlign w:val="top"/>
          </w:tcPr>
          <w:p>
            <w:pPr>
              <w:spacing w:after="40" w:before="0" w:line="259" w:lineRule="auto"/>
            </w:pPr>
            <w:r>
              <w:rPr>
                <w:rFonts w:ascii="Calibri" w:hAnsi="Calibri"/>
                <w:b w:val="0"/>
                <w:i w:val="0"/>
                <w:color w:val="212121"/>
                <w:sz w:val="16"/>
              </w:rPr>
              <w:t>Confirms HMPV infection; gold-standard, most sensitive test</w:t>
            </w:r>
          </w:p>
        </w:tc>
        <w:tc>
          <w:tcPr>
            <w:tcW w:type="dxa" w:w="1036"/>
            <w:vAlign w:val="top"/>
          </w:tcPr>
          <w:p>
            <w:pPr>
              <w:spacing w:after="40" w:before="0" w:line="259" w:lineRule="auto"/>
            </w:pPr>
            <w:r>
              <w:rPr>
                <w:rFonts w:ascii="Calibri" w:hAnsi="Calibri"/>
                <w:b w:val="0"/>
                <w:i w:val="0"/>
                <w:color w:val="212121"/>
                <w:sz w:val="16"/>
              </w:rPr>
              <w:t>Children/elderly with ARI or SARI, immunocompromised</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Multiplex panel also detects RSV/influenza/co-infection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Antigen</w:t>
            </w:r>
          </w:p>
        </w:tc>
        <w:tc>
          <w:tcPr>
            <w:tcW w:type="dxa" w:w="1036"/>
            <w:vAlign w:val="top"/>
          </w:tcPr>
          <w:p>
            <w:pPr>
              <w:spacing w:after="40" w:before="0" w:line="259" w:lineRule="auto"/>
            </w:pPr>
            <w:r>
              <w:rPr>
                <w:rFonts w:ascii="Calibri" w:hAnsi="Calibri"/>
                <w:b w:val="0"/>
                <w:i w:val="0"/>
                <w:color w:val="212121"/>
                <w:sz w:val="16"/>
              </w:rPr>
              <w:t>HMPV antigen (rapid antigen/DFA)</w:t>
            </w:r>
          </w:p>
        </w:tc>
        <w:tc>
          <w:tcPr>
            <w:tcW w:type="dxa" w:w="892"/>
            <w:vAlign w:val="top"/>
          </w:tcPr>
          <w:p>
            <w:pPr>
              <w:spacing w:after="40" w:before="0" w:line="259" w:lineRule="auto"/>
            </w:pPr>
            <w:r>
              <w:rPr>
                <w:rFonts w:ascii="Calibri" w:hAnsi="Calibri"/>
                <w:b w:val="0"/>
                <w:i w:val="0"/>
                <w:color w:val="212121"/>
                <w:sz w:val="16"/>
              </w:rPr>
              <w:t>Immunofluorescence or rapid antigen assay</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Rapid result but less sensitive than PCR</w:t>
            </w:r>
          </w:p>
        </w:tc>
        <w:tc>
          <w:tcPr>
            <w:tcW w:type="dxa" w:w="1036"/>
            <w:vAlign w:val="top"/>
          </w:tcPr>
          <w:p>
            <w:pPr>
              <w:spacing w:after="40" w:before="0" w:line="259" w:lineRule="auto"/>
            </w:pPr>
            <w:r>
              <w:rPr>
                <w:rFonts w:ascii="Calibri" w:hAnsi="Calibri"/>
                <w:b w:val="0"/>
                <w:i w:val="0"/>
                <w:color w:val="212121"/>
                <w:sz w:val="16"/>
              </w:rPr>
              <w:t>Point-of-care, paediatric wards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 negative result does not exclude infection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Hematology</w:t>
            </w:r>
          </w:p>
        </w:tc>
        <w:tc>
          <w:tcPr>
            <w:tcW w:type="dxa" w:w="1036"/>
            <w:vAlign w:val="top"/>
          </w:tcPr>
          <w:p>
            <w:pPr>
              <w:spacing w:after="40" w:before="0" w:line="259" w:lineRule="auto"/>
            </w:pPr>
            <w:r>
              <w:rPr>
                <w:rFonts w:ascii="Calibri" w:hAnsi="Calibri"/>
                <w:b w:val="0"/>
                <w:i w:val="0"/>
                <w:color w:val="212121"/>
                <w:sz w:val="16"/>
              </w:rPr>
              <w:t>Total &amp; differential WBC</w:t>
            </w:r>
          </w:p>
        </w:tc>
        <w:tc>
          <w:tcPr>
            <w:tcW w:type="dxa" w:w="892"/>
            <w:vAlign w:val="top"/>
          </w:tcPr>
          <w:p>
            <w:pPr>
              <w:spacing w:after="40" w:before="0" w:line="259" w:lineRule="auto"/>
            </w:pPr>
            <w:r>
              <w:rPr>
                <w:rFonts w:ascii="Calibri" w:hAnsi="Calibri"/>
                <w:b w:val="0"/>
                <w:i w:val="0"/>
                <w:color w:val="212121"/>
                <w:sz w:val="16"/>
              </w:rPr>
              <w:t>Complete blood count</w:t>
            </w:r>
          </w:p>
        </w:tc>
        <w:tc>
          <w:tcPr>
            <w:tcW w:type="dxa" w:w="950"/>
            <w:vAlign w:val="top"/>
          </w:tcPr>
          <w:p>
            <w:pPr>
              <w:spacing w:after="40" w:before="0" w:line="259" w:lineRule="auto"/>
            </w:pPr>
            <w:r>
              <w:rPr>
                <w:rFonts w:ascii="Calibri" w:hAnsi="Calibri"/>
                <w:b w:val="0"/>
                <w:i w:val="0"/>
                <w:color w:val="212121"/>
                <w:sz w:val="16"/>
              </w:rPr>
              <w:t>4,000-11,000 /µL</w:t>
            </w:r>
          </w:p>
        </w:tc>
        <w:tc>
          <w:tcPr>
            <w:tcW w:type="dxa" w:w="950"/>
            <w:vAlign w:val="top"/>
          </w:tcPr>
          <w:p>
            <w:pPr>
              <w:spacing w:after="40" w:before="0" w:line="259" w:lineRule="auto"/>
            </w:pPr>
            <w:r>
              <w:rPr>
                <w:rFonts w:ascii="Calibri" w:hAnsi="Calibri"/>
                <w:b w:val="0"/>
                <w:i w:val="0"/>
                <w:color w:val="212121"/>
                <w:sz w:val="16"/>
              </w:rPr>
              <w:t>Usually normal/low (viral); neutrophilia suggests bacterial superinfection</w:t>
            </w:r>
          </w:p>
        </w:tc>
        <w:tc>
          <w:tcPr>
            <w:tcW w:type="dxa" w:w="1036"/>
            <w:vAlign w:val="top"/>
          </w:tcPr>
          <w:p>
            <w:pPr>
              <w:spacing w:after="40" w:before="0" w:line="259" w:lineRule="auto"/>
            </w:pPr>
            <w:r>
              <w:rPr>
                <w:rFonts w:ascii="Calibri" w:hAnsi="Calibri"/>
                <w:b w:val="0"/>
                <w:i w:val="0"/>
                <w:color w:val="212121"/>
                <w:sz w:val="16"/>
              </w:rPr>
              <w:t>Helps flag secondary bacterial infection</w:t>
            </w:r>
          </w:p>
        </w:tc>
        <w:tc>
          <w:tcPr>
            <w:tcW w:type="dxa" w:w="1036"/>
            <w:vAlign w:val="top"/>
          </w:tcPr>
          <w:p>
            <w:pPr>
              <w:spacing w:after="40" w:before="0" w:line="259" w:lineRule="auto"/>
            </w:pPr>
            <w:r>
              <w:rPr>
                <w:rFonts w:ascii="Calibri" w:hAnsi="Calibri"/>
                <w:b w:val="0"/>
                <w:i w:val="0"/>
                <w:color w:val="212121"/>
                <w:sz w:val="16"/>
              </w:rPr>
              <w:t>Hospitalised, febrile patients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Non-specific for viral aetiology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Inflammatory markers</w:t>
            </w:r>
          </w:p>
        </w:tc>
        <w:tc>
          <w:tcPr>
            <w:tcW w:type="dxa" w:w="1036"/>
            <w:vAlign w:val="top"/>
          </w:tcPr>
          <w:p>
            <w:pPr>
              <w:spacing w:after="40" w:before="0" w:line="259" w:lineRule="auto"/>
            </w:pPr>
            <w:r>
              <w:rPr>
                <w:rFonts w:ascii="Calibri" w:hAnsi="Calibri"/>
                <w:b w:val="0"/>
                <w:i w:val="0"/>
                <w:color w:val="212121"/>
                <w:sz w:val="16"/>
              </w:rPr>
              <w:t>CRP / Procalcitonin</w:t>
            </w:r>
          </w:p>
        </w:tc>
        <w:tc>
          <w:tcPr>
            <w:tcW w:type="dxa" w:w="892"/>
            <w:vAlign w:val="top"/>
          </w:tcPr>
          <w:p>
            <w:pPr>
              <w:spacing w:after="40" w:before="0" w:line="259" w:lineRule="auto"/>
            </w:pPr>
            <w:r>
              <w:rPr>
                <w:rFonts w:ascii="Calibri" w:hAnsi="Calibri"/>
                <w:b w:val="0"/>
                <w:i w:val="0"/>
                <w:color w:val="212121"/>
                <w:sz w:val="16"/>
              </w:rPr>
              <w:t>Serum CRP and procalcitonin</w:t>
            </w:r>
          </w:p>
        </w:tc>
        <w:tc>
          <w:tcPr>
            <w:tcW w:type="dxa" w:w="950"/>
            <w:vAlign w:val="top"/>
          </w:tcPr>
          <w:p>
            <w:pPr>
              <w:spacing w:after="40" w:before="0" w:line="259" w:lineRule="auto"/>
            </w:pPr>
            <w:r>
              <w:rPr>
                <w:rFonts w:ascii="Calibri" w:hAnsi="Calibri"/>
                <w:b w:val="0"/>
                <w:i w:val="0"/>
                <w:color w:val="212121"/>
                <w:sz w:val="16"/>
              </w:rPr>
              <w:t>CRP &lt; 10 mg/L; PCT &lt; 0.25 ng/mL</w:t>
            </w:r>
          </w:p>
        </w:tc>
        <w:tc>
          <w:tcPr>
            <w:tcW w:type="dxa" w:w="950"/>
            <w:vAlign w:val="top"/>
          </w:tcPr>
          <w:p>
            <w:pPr>
              <w:spacing w:after="40" w:before="0" w:line="259" w:lineRule="auto"/>
            </w:pPr>
            <w:r>
              <w:rPr>
                <w:rFonts w:ascii="Calibri" w:hAnsi="Calibri"/>
                <w:b w:val="0"/>
                <w:i w:val="0"/>
                <w:color w:val="212121"/>
                <w:sz w:val="16"/>
              </w:rPr>
              <w:t>Markedly raised</w:t>
            </w:r>
          </w:p>
        </w:tc>
        <w:tc>
          <w:tcPr>
            <w:tcW w:type="dxa" w:w="1036"/>
            <w:vAlign w:val="top"/>
          </w:tcPr>
          <w:p>
            <w:pPr>
              <w:spacing w:after="40" w:before="0" w:line="259" w:lineRule="auto"/>
            </w:pPr>
            <w:r>
              <w:rPr>
                <w:rFonts w:ascii="Calibri" w:hAnsi="Calibri"/>
                <w:b w:val="0"/>
                <w:i w:val="0"/>
                <w:color w:val="212121"/>
                <w:sz w:val="16"/>
              </w:rPr>
              <w:t>High procalcitonin favours bacterial co-infection and antibiotic use</w:t>
            </w:r>
          </w:p>
        </w:tc>
        <w:tc>
          <w:tcPr>
            <w:tcW w:type="dxa" w:w="1036"/>
            <w:vAlign w:val="top"/>
          </w:tcPr>
          <w:p>
            <w:pPr>
              <w:spacing w:after="40" w:before="0" w:line="259" w:lineRule="auto"/>
            </w:pPr>
            <w:r>
              <w:rPr>
                <w:rFonts w:ascii="Calibri" w:hAnsi="Calibri"/>
                <w:b w:val="0"/>
                <w:i w:val="0"/>
                <w:color w:val="212121"/>
                <w:sz w:val="16"/>
              </w:rPr>
              <w:t>Severe LRTI, ICU</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Antibiotic stewardship</w:t>
            </w:r>
          </w:p>
        </w:tc>
        <w:tc>
          <w:tcPr>
            <w:tcW w:type="dxa" w:w="720"/>
            <w:vAlign w:val="top"/>
          </w:tcPr>
          <w:p>
            <w:pPr>
              <w:spacing w:after="40" w:before="0" w:line="259" w:lineRule="auto"/>
            </w:pPr>
            <w:r>
              <w:rPr>
                <w:rFonts w:ascii="Calibri" w:hAnsi="Calibri"/>
                <w:b w:val="0"/>
                <w:i w:val="0"/>
                <w:color w:val="212121"/>
                <w:sz w:val="16"/>
              </w:rPr>
              <w:t>Interpret alongside clinical picture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Oximetry / ABG</w:t>
            </w:r>
          </w:p>
        </w:tc>
        <w:tc>
          <w:tcPr>
            <w:tcW w:type="dxa" w:w="1036"/>
            <w:vAlign w:val="top"/>
          </w:tcPr>
          <w:p>
            <w:pPr>
              <w:spacing w:after="40" w:before="0" w:line="259" w:lineRule="auto"/>
            </w:pPr>
            <w:r>
              <w:rPr>
                <w:rFonts w:ascii="Calibri" w:hAnsi="Calibri"/>
                <w:b w:val="0"/>
                <w:i w:val="0"/>
                <w:color w:val="212121"/>
                <w:sz w:val="16"/>
              </w:rPr>
              <w:t>SpO2 / PaO2 / PaCO2</w:t>
            </w:r>
          </w:p>
        </w:tc>
        <w:tc>
          <w:tcPr>
            <w:tcW w:type="dxa" w:w="892"/>
            <w:vAlign w:val="top"/>
          </w:tcPr>
          <w:p>
            <w:pPr>
              <w:spacing w:after="40" w:before="0" w:line="259" w:lineRule="auto"/>
            </w:pPr>
            <w:r>
              <w:rPr>
                <w:rFonts w:ascii="Calibri" w:hAnsi="Calibri"/>
                <w:b w:val="0"/>
                <w:i w:val="0"/>
                <w:color w:val="212121"/>
                <w:sz w:val="16"/>
              </w:rPr>
              <w:t>Pulse oximetry and arterial blood gas</w:t>
            </w:r>
          </w:p>
        </w:tc>
        <w:tc>
          <w:tcPr>
            <w:tcW w:type="dxa" w:w="950"/>
            <w:vAlign w:val="top"/>
          </w:tcPr>
          <w:p>
            <w:pPr>
              <w:spacing w:after="40" w:before="0" w:line="259" w:lineRule="auto"/>
            </w:pPr>
            <w:r>
              <w:rPr>
                <w:rFonts w:ascii="Calibri" w:hAnsi="Calibri"/>
                <w:b w:val="0"/>
                <w:i w:val="0"/>
                <w:color w:val="212121"/>
                <w:sz w:val="16"/>
              </w:rPr>
              <w:t>SpO2 ≥ 95%; PaO2 80-100 mmHg</w:t>
            </w:r>
          </w:p>
        </w:tc>
        <w:tc>
          <w:tcPr>
            <w:tcW w:type="dxa" w:w="950"/>
            <w:vAlign w:val="top"/>
          </w:tcPr>
          <w:p>
            <w:pPr>
              <w:spacing w:after="40" w:before="0" w:line="259" w:lineRule="auto"/>
            </w:pPr>
            <w:r>
              <w:rPr>
                <w:rFonts w:ascii="Calibri" w:hAnsi="Calibri"/>
                <w:b w:val="0"/>
                <w:i w:val="0"/>
                <w:color w:val="212121"/>
                <w:sz w:val="16"/>
              </w:rPr>
              <w:t>SpO2 &lt; 92%; hypoxaemia or hypercapnia</w:t>
            </w:r>
          </w:p>
        </w:tc>
        <w:tc>
          <w:tcPr>
            <w:tcW w:type="dxa" w:w="1036"/>
            <w:vAlign w:val="top"/>
          </w:tcPr>
          <w:p>
            <w:pPr>
              <w:spacing w:after="40" w:before="0" w:line="259" w:lineRule="auto"/>
            </w:pPr>
            <w:r>
              <w:rPr>
                <w:rFonts w:ascii="Calibri" w:hAnsi="Calibri"/>
                <w:b w:val="0"/>
                <w:i w:val="0"/>
                <w:color w:val="212121"/>
                <w:sz w:val="16"/>
              </w:rPr>
              <w:t>Quantifies respiratory compromise</w:t>
            </w:r>
          </w:p>
        </w:tc>
        <w:tc>
          <w:tcPr>
            <w:tcW w:type="dxa" w:w="1036"/>
            <w:vAlign w:val="top"/>
          </w:tcPr>
          <w:p>
            <w:pPr>
              <w:spacing w:after="40" w:before="0" w:line="259" w:lineRule="auto"/>
            </w:pPr>
            <w:r>
              <w:rPr>
                <w:rFonts w:ascii="Calibri" w:hAnsi="Calibri"/>
                <w:b w:val="0"/>
                <w:i w:val="0"/>
                <w:color w:val="212121"/>
                <w:sz w:val="16"/>
              </w:rPr>
              <w:t>Infants, elderly, COPD, severe LRTI</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Triage/admission</w:t>
            </w:r>
          </w:p>
        </w:tc>
        <w:tc>
          <w:tcPr>
            <w:tcW w:type="dxa" w:w="720"/>
            <w:vAlign w:val="top"/>
          </w:tcPr>
          <w:p>
            <w:pPr>
              <w:spacing w:after="40" w:before="0" w:line="259" w:lineRule="auto"/>
            </w:pPr>
            <w:r>
              <w:rPr>
                <w:rFonts w:ascii="Calibri" w:hAnsi="Calibri"/>
                <w:b w:val="0"/>
                <w:i w:val="0"/>
                <w:color w:val="212121"/>
                <w:sz w:val="16"/>
              </w:rPr>
              <w:t>Guides oxygen therapy and escalation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Chest radiograph</w:t>
            </w:r>
          </w:p>
        </w:tc>
        <w:tc>
          <w:tcPr>
            <w:tcW w:type="dxa" w:w="892"/>
            <w:vAlign w:val="top"/>
          </w:tcPr>
          <w:p>
            <w:pPr>
              <w:spacing w:after="40" w:before="0" w:line="259" w:lineRule="auto"/>
            </w:pPr>
            <w:r>
              <w:rPr>
                <w:rFonts w:ascii="Calibri" w:hAnsi="Calibri"/>
                <w:b w:val="0"/>
                <w:i w:val="0"/>
                <w:color w:val="212121"/>
                <w:sz w:val="16"/>
              </w:rPr>
              <w:t>Chest X-ray</w:t>
            </w:r>
          </w:p>
        </w:tc>
        <w:tc>
          <w:tcPr>
            <w:tcW w:type="dxa" w:w="950"/>
            <w:vAlign w:val="top"/>
          </w:tcPr>
          <w:p>
            <w:pPr>
              <w:spacing w:after="40" w:before="0" w:line="259" w:lineRule="auto"/>
            </w:pPr>
            <w:r>
              <w:rPr>
                <w:rFonts w:ascii="Calibri" w:hAnsi="Calibri"/>
                <w:b w:val="0"/>
                <w:i w:val="0"/>
                <w:color w:val="212121"/>
                <w:sz w:val="16"/>
              </w:rPr>
              <w:t>Clear lung fields</w:t>
            </w:r>
          </w:p>
        </w:tc>
        <w:tc>
          <w:tcPr>
            <w:tcW w:type="dxa" w:w="950"/>
            <w:vAlign w:val="top"/>
          </w:tcPr>
          <w:p>
            <w:pPr>
              <w:spacing w:after="40" w:before="0" w:line="259" w:lineRule="auto"/>
            </w:pPr>
            <w:r>
              <w:rPr>
                <w:rFonts w:ascii="Calibri" w:hAnsi="Calibri"/>
                <w:b w:val="0"/>
                <w:i w:val="0"/>
                <w:color w:val="212121"/>
                <w:sz w:val="16"/>
              </w:rPr>
              <w:t>Hyperinflation, peribronchial cuffing, patchy/interstitial infiltrates</w:t>
            </w:r>
          </w:p>
        </w:tc>
        <w:tc>
          <w:tcPr>
            <w:tcW w:type="dxa" w:w="1036"/>
            <w:vAlign w:val="top"/>
          </w:tcPr>
          <w:p>
            <w:pPr>
              <w:spacing w:after="40" w:before="0" w:line="259" w:lineRule="auto"/>
            </w:pPr>
            <w:r>
              <w:rPr>
                <w:rFonts w:ascii="Calibri" w:hAnsi="Calibri"/>
                <w:b w:val="0"/>
                <w:i w:val="0"/>
                <w:color w:val="212121"/>
                <w:sz w:val="16"/>
              </w:rPr>
              <w:t>Assesses bronchiolitis/pneumonia</w:t>
            </w:r>
          </w:p>
        </w:tc>
        <w:tc>
          <w:tcPr>
            <w:tcW w:type="dxa" w:w="1036"/>
            <w:vAlign w:val="top"/>
          </w:tcPr>
          <w:p>
            <w:pPr>
              <w:spacing w:after="40" w:before="0" w:line="259" w:lineRule="auto"/>
            </w:pPr>
            <w:r>
              <w:rPr>
                <w:rFonts w:ascii="Calibri" w:hAnsi="Calibri"/>
                <w:b w:val="0"/>
                <w:i w:val="0"/>
                <w:color w:val="212121"/>
                <w:sz w:val="16"/>
              </w:rPr>
              <w:t>Hospitalised LRTI</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Findings non-specific; not needed for routine mild cases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Cough, fever, coryza, wheeze/breathlessness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Acute onset (≤ 1 week), winter-spring</w:t>
            </w:r>
          </w:p>
        </w:tc>
        <w:tc>
          <w:tcPr>
            <w:tcW w:type="dxa" w:w="1036"/>
            <w:vAlign w:val="top"/>
          </w:tcPr>
          <w:p>
            <w:pPr>
              <w:spacing w:after="40" w:before="0" w:line="259" w:lineRule="auto"/>
            </w:pPr>
            <w:r>
              <w:rPr>
                <w:rFonts w:ascii="Calibri" w:hAnsi="Calibri"/>
                <w:b w:val="0"/>
                <w:i w:val="0"/>
                <w:color w:val="212121"/>
                <w:sz w:val="16"/>
              </w:rPr>
              <w:t>Compatible acute respiratory illness</w:t>
            </w:r>
          </w:p>
        </w:tc>
        <w:tc>
          <w:tcPr>
            <w:tcW w:type="dxa" w:w="1036"/>
            <w:vAlign w:val="top"/>
          </w:tcPr>
          <w:p>
            <w:pPr>
              <w:spacing w:after="40" w:before="0" w:line="259" w:lineRule="auto"/>
            </w:pPr>
            <w:r>
              <w:rPr>
                <w:rFonts w:ascii="Calibri" w:hAnsi="Calibri"/>
                <w:b w:val="0"/>
                <w:i w:val="0"/>
                <w:color w:val="212121"/>
                <w:sz w:val="16"/>
              </w:rPr>
              <w:t>Children, elderly, chronic lung disease</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Clinically indistinguishable from RSV/influenza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Exposure &amp; contact history</w:t>
            </w:r>
          </w:p>
        </w:tc>
        <w:tc>
          <w:tcPr>
            <w:tcW w:type="dxa" w:w="979"/>
            <w:vAlign w:val="top"/>
          </w:tcPr>
          <w:p>
            <w:pPr>
              <w:spacing w:after="40" w:before="0" w:line="259" w:lineRule="auto"/>
            </w:pPr>
            <w:r>
              <w:rPr>
                <w:rFonts w:ascii="Calibri" w:hAnsi="Calibri"/>
                <w:b w:val="0"/>
                <w:i w:val="0"/>
                <w:color w:val="212121"/>
                <w:sz w:val="16"/>
              </w:rPr>
              <w:t>Sick contacts, daycare/school, crowding, season</w:t>
            </w:r>
          </w:p>
        </w:tc>
        <w:tc>
          <w:tcPr>
            <w:tcW w:type="dxa" w:w="950"/>
            <w:vAlign w:val="top"/>
          </w:tcPr>
          <w:p>
            <w:pPr>
              <w:spacing w:after="40" w:before="0" w:line="259" w:lineRule="auto"/>
            </w:pPr>
            <w:r>
              <w:rPr>
                <w:rFonts w:ascii="Calibri" w:hAnsi="Calibri"/>
                <w:b w:val="0"/>
                <w:i w:val="0"/>
                <w:color w:val="212121"/>
                <w:sz w:val="16"/>
              </w:rPr>
              <w:t>No exposure</w:t>
            </w:r>
          </w:p>
        </w:tc>
        <w:tc>
          <w:tcPr>
            <w:tcW w:type="dxa" w:w="950"/>
            <w:vAlign w:val="top"/>
          </w:tcPr>
          <w:p>
            <w:pPr>
              <w:spacing w:after="40" w:before="0" w:line="259" w:lineRule="auto"/>
            </w:pPr>
            <w:r>
              <w:rPr>
                <w:rFonts w:ascii="Calibri" w:hAnsi="Calibri"/>
                <w:b w:val="0"/>
                <w:i w:val="0"/>
                <w:color w:val="212121"/>
                <w:sz w:val="16"/>
              </w:rPr>
              <w:t>Recent contact or outbreak</w:t>
            </w:r>
          </w:p>
        </w:tc>
        <w:tc>
          <w:tcPr>
            <w:tcW w:type="dxa" w:w="1036"/>
            <w:vAlign w:val="top"/>
          </w:tcPr>
          <w:p>
            <w:pPr>
              <w:spacing w:after="40" w:before="0" w:line="259" w:lineRule="auto"/>
            </w:pPr>
            <w:r>
              <w:rPr>
                <w:rFonts w:ascii="Calibri" w:hAnsi="Calibri"/>
                <w:b w:val="0"/>
                <w:i w:val="0"/>
                <w:color w:val="212121"/>
                <w:sz w:val="16"/>
              </w:rPr>
              <w:t>Supports transmission risk and timing</w:t>
            </w:r>
          </w:p>
        </w:tc>
        <w:tc>
          <w:tcPr>
            <w:tcW w:type="dxa" w:w="1036"/>
            <w:vAlign w:val="top"/>
          </w:tcPr>
          <w:p>
            <w:pPr>
              <w:spacing w:after="40" w:before="0" w:line="259" w:lineRule="auto"/>
            </w:pPr>
            <w:r>
              <w:rPr>
                <w:rFonts w:ascii="Calibri" w:hAnsi="Calibri"/>
                <w:b w:val="0"/>
                <w:i w:val="0"/>
                <w:color w:val="212121"/>
                <w:sz w:val="16"/>
              </w:rPr>
              <w:t>Daycare children, crowded households</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Epidemiological</w:t>
            </w:r>
          </w:p>
        </w:tc>
        <w:tc>
          <w:tcPr>
            <w:tcW w:type="dxa" w:w="720"/>
            <w:vAlign w:val="top"/>
          </w:tcPr>
          <w:p>
            <w:pPr>
              <w:spacing w:after="40" w:before="0" w:line="259" w:lineRule="auto"/>
            </w:pPr>
            <w:r>
              <w:rPr>
                <w:rFonts w:ascii="Calibri" w:hAnsi="Calibri"/>
                <w:b w:val="0"/>
                <w:i w:val="0"/>
                <w:color w:val="212121"/>
                <w:sz w:val="16"/>
              </w:rPr>
              <w:t>Note winter/monsoon seasonality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Comorbidity &amp; risk history</w:t>
            </w:r>
          </w:p>
        </w:tc>
        <w:tc>
          <w:tcPr>
            <w:tcW w:type="dxa" w:w="979"/>
            <w:vAlign w:val="top"/>
          </w:tcPr>
          <w:p>
            <w:pPr>
              <w:spacing w:after="40" w:before="0" w:line="259" w:lineRule="auto"/>
            </w:pPr>
            <w:r>
              <w:rPr>
                <w:rFonts w:ascii="Calibri" w:hAnsi="Calibri"/>
                <w:b w:val="0"/>
                <w:i w:val="0"/>
                <w:color w:val="212121"/>
                <w:sz w:val="16"/>
              </w:rPr>
              <w:t>Prematurity, asthma/COPD, immunosuppression, heart disease, age extremes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 1 risk factor</w:t>
            </w:r>
          </w:p>
        </w:tc>
        <w:tc>
          <w:tcPr>
            <w:tcW w:type="dxa" w:w="1036"/>
            <w:vAlign w:val="top"/>
          </w:tcPr>
          <w:p>
            <w:pPr>
              <w:spacing w:after="40" w:before="0" w:line="259" w:lineRule="auto"/>
            </w:pPr>
            <w:r>
              <w:rPr>
                <w:rFonts w:ascii="Calibri" w:hAnsi="Calibri"/>
                <w:b w:val="0"/>
                <w:i w:val="0"/>
                <w:color w:val="212121"/>
                <w:sz w:val="16"/>
              </w:rPr>
              <w:t>Predicts severe disease</w:t>
            </w:r>
          </w:p>
        </w:tc>
        <w:tc>
          <w:tcPr>
            <w:tcW w:type="dxa" w:w="1036"/>
            <w:vAlign w:val="top"/>
          </w:tcPr>
          <w:p>
            <w:pPr>
              <w:spacing w:after="40" w:before="0" w:line="259" w:lineRule="auto"/>
            </w:pPr>
            <w:r>
              <w:rPr>
                <w:rFonts w:ascii="Calibri" w:hAnsi="Calibri"/>
                <w:b w:val="0"/>
                <w:i w:val="0"/>
                <w:color w:val="212121"/>
                <w:sz w:val="16"/>
              </w:rPr>
              <w:t>High-risk groups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Guides admission threshold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Respiratory examination</w:t>
            </w:r>
          </w:p>
        </w:tc>
        <w:tc>
          <w:tcPr>
            <w:tcW w:type="dxa" w:w="979"/>
            <w:vAlign w:val="top"/>
          </w:tcPr>
          <w:p>
            <w:pPr>
              <w:spacing w:after="40" w:before="0" w:line="259" w:lineRule="auto"/>
            </w:pPr>
            <w:r>
              <w:rPr>
                <w:rFonts w:ascii="Calibri" w:hAnsi="Calibri"/>
                <w:b w:val="0"/>
                <w:i w:val="0"/>
                <w:color w:val="212121"/>
                <w:sz w:val="16"/>
              </w:rPr>
              <w:t>Auscultation (wheeze, crackles), work of breathing, retractions, respiratory rate</w:t>
            </w:r>
          </w:p>
        </w:tc>
        <w:tc>
          <w:tcPr>
            <w:tcW w:type="dxa" w:w="950"/>
            <w:vAlign w:val="top"/>
          </w:tcPr>
          <w:p>
            <w:pPr>
              <w:spacing w:after="40" w:before="0" w:line="259" w:lineRule="auto"/>
            </w:pPr>
            <w:r>
              <w:rPr>
                <w:rFonts w:ascii="Calibri" w:hAnsi="Calibri"/>
                <w:b w:val="0"/>
                <w:i w:val="0"/>
                <w:color w:val="212121"/>
                <w:sz w:val="16"/>
              </w:rPr>
              <w:t>Vesicular breath sounds, normal effort</w:t>
            </w:r>
          </w:p>
        </w:tc>
        <w:tc>
          <w:tcPr>
            <w:tcW w:type="dxa" w:w="950"/>
            <w:vAlign w:val="top"/>
          </w:tcPr>
          <w:p>
            <w:pPr>
              <w:spacing w:after="40" w:before="0" w:line="259" w:lineRule="auto"/>
            </w:pPr>
            <w:r>
              <w:rPr>
                <w:rFonts w:ascii="Calibri" w:hAnsi="Calibri"/>
                <w:b w:val="0"/>
                <w:i w:val="0"/>
                <w:color w:val="212121"/>
                <w:sz w:val="16"/>
              </w:rPr>
              <w:t>Wheeze/crackles, tachypnoea, retractions, grunting</w:t>
            </w:r>
          </w:p>
        </w:tc>
        <w:tc>
          <w:tcPr>
            <w:tcW w:type="dxa" w:w="1036"/>
            <w:vAlign w:val="top"/>
          </w:tcPr>
          <w:p>
            <w:pPr>
              <w:spacing w:after="40" w:before="0" w:line="259" w:lineRule="auto"/>
            </w:pPr>
            <w:r>
              <w:rPr>
                <w:rFonts w:ascii="Calibri" w:hAnsi="Calibri"/>
                <w:b w:val="0"/>
                <w:i w:val="0"/>
                <w:color w:val="212121"/>
                <w:sz w:val="16"/>
              </w:rPr>
              <w:t>Indicates lower-respiratory involvement and severity</w:t>
            </w:r>
          </w:p>
        </w:tc>
        <w:tc>
          <w:tcPr>
            <w:tcW w:type="dxa" w:w="1036"/>
            <w:vAlign w:val="top"/>
          </w:tcPr>
          <w:p>
            <w:pPr>
              <w:spacing w:after="40" w:before="0" w:line="259" w:lineRule="auto"/>
            </w:pPr>
            <w:r>
              <w:rPr>
                <w:rFonts w:ascii="Calibri" w:hAnsi="Calibri"/>
                <w:b w:val="0"/>
                <w:i w:val="0"/>
                <w:color w:val="212121"/>
                <w:sz w:val="16"/>
              </w:rPr>
              <w:t>Infants, LRTI</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Severity assessment</w:t>
            </w:r>
          </w:p>
        </w:tc>
        <w:tc>
          <w:tcPr>
            <w:tcW w:type="dxa" w:w="720"/>
            <w:vAlign w:val="top"/>
          </w:tcPr>
          <w:p>
            <w:pPr>
              <w:spacing w:after="40" w:before="0" w:line="259" w:lineRule="auto"/>
            </w:pPr>
            <w:r>
              <w:rPr>
                <w:rFonts w:ascii="Calibri" w:hAnsi="Calibri"/>
                <w:b w:val="0"/>
                <w:i w:val="0"/>
                <w:color w:val="212121"/>
                <w:sz w:val="16"/>
              </w:rPr>
              <w:t>A silent chest with distress is ominous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Vital signs &amp; oximetry</w:t>
            </w:r>
          </w:p>
        </w:tc>
        <w:tc>
          <w:tcPr>
            <w:tcW w:type="dxa" w:w="979"/>
            <w:vAlign w:val="top"/>
          </w:tcPr>
          <w:p>
            <w:pPr>
              <w:spacing w:after="40" w:before="0" w:line="259" w:lineRule="auto"/>
            </w:pPr>
            <w:r>
              <w:rPr>
                <w:rFonts w:ascii="Calibri" w:hAnsi="Calibri"/>
                <w:b w:val="0"/>
                <w:i w:val="0"/>
                <w:color w:val="212121"/>
                <w:sz w:val="16"/>
              </w:rPr>
              <w:t>Temperature, respiratory rate, heart rate, SpO2</w:t>
            </w:r>
          </w:p>
        </w:tc>
        <w:tc>
          <w:tcPr>
            <w:tcW w:type="dxa" w:w="950"/>
            <w:vAlign w:val="top"/>
          </w:tcPr>
          <w:p>
            <w:pPr>
              <w:spacing w:after="40" w:before="0" w:line="259" w:lineRule="auto"/>
            </w:pPr>
            <w:r>
              <w:rPr>
                <w:rFonts w:ascii="Calibri" w:hAnsi="Calibri"/>
                <w:b w:val="0"/>
                <w:i w:val="0"/>
                <w:color w:val="212121"/>
                <w:sz w:val="16"/>
              </w:rPr>
              <w:t>Age-appropriate; SpO2 ≥ 95%</w:t>
            </w:r>
          </w:p>
        </w:tc>
        <w:tc>
          <w:tcPr>
            <w:tcW w:type="dxa" w:w="950"/>
            <w:vAlign w:val="top"/>
          </w:tcPr>
          <w:p>
            <w:pPr>
              <w:spacing w:after="40" w:before="0" w:line="259" w:lineRule="auto"/>
            </w:pPr>
            <w:r>
              <w:rPr>
                <w:rFonts w:ascii="Calibri" w:hAnsi="Calibri"/>
                <w:b w:val="0"/>
                <w:i w:val="0"/>
                <w:color w:val="212121"/>
                <w:sz w:val="16"/>
              </w:rPr>
              <w:t>Fever, tachypnoea, hypoxaemia</w:t>
            </w:r>
          </w:p>
        </w:tc>
        <w:tc>
          <w:tcPr>
            <w:tcW w:type="dxa" w:w="1036"/>
            <w:vAlign w:val="top"/>
          </w:tcPr>
          <w:p>
            <w:pPr>
              <w:spacing w:after="40" w:before="0" w:line="259" w:lineRule="auto"/>
            </w:pPr>
            <w:r>
              <w:rPr>
                <w:rFonts w:ascii="Calibri" w:hAnsi="Calibri"/>
                <w:b w:val="0"/>
                <w:i w:val="0"/>
                <w:color w:val="212121"/>
                <w:sz w:val="16"/>
              </w:rPr>
              <w:t>Objective measure of severity</w:t>
            </w:r>
          </w:p>
        </w:tc>
        <w:tc>
          <w:tcPr>
            <w:tcW w:type="dxa" w:w="1036"/>
            <w:vAlign w:val="top"/>
          </w:tcPr>
          <w:p>
            <w:pPr>
              <w:spacing w:after="40" w:before="0" w:line="259" w:lineRule="auto"/>
            </w:pPr>
            <w:r>
              <w:rPr>
                <w:rFonts w:ascii="Calibri" w:hAnsi="Calibri"/>
                <w:b w:val="0"/>
                <w:i w:val="0"/>
                <w:color w:val="212121"/>
                <w:sz w:val="16"/>
              </w:rPr>
              <w:t>All, especially high-risk</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Triage</w:t>
            </w:r>
          </w:p>
        </w:tc>
        <w:tc>
          <w:tcPr>
            <w:tcW w:type="dxa" w:w="720"/>
            <w:vAlign w:val="top"/>
          </w:tcPr>
          <w:p>
            <w:pPr>
              <w:spacing w:after="40" w:before="0" w:line="259" w:lineRule="auto"/>
            </w:pPr>
            <w:r>
              <w:rPr>
                <w:rFonts w:ascii="Calibri" w:hAnsi="Calibri"/>
                <w:b w:val="0"/>
                <w:i w:val="0"/>
                <w:color w:val="212121"/>
                <w:sz w:val="16"/>
              </w:rPr>
              <w:t>Repeat to track trajectory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ENT examination</w:t>
            </w:r>
          </w:p>
        </w:tc>
        <w:tc>
          <w:tcPr>
            <w:tcW w:type="dxa" w:w="979"/>
            <w:vAlign w:val="top"/>
          </w:tcPr>
          <w:p>
            <w:pPr>
              <w:spacing w:after="40" w:before="0" w:line="259" w:lineRule="auto"/>
            </w:pPr>
            <w:r>
              <w:rPr>
                <w:rFonts w:ascii="Calibri" w:hAnsi="Calibri"/>
                <w:b w:val="0"/>
                <w:i w:val="0"/>
                <w:color w:val="212121"/>
                <w:sz w:val="16"/>
              </w:rPr>
              <w:t>Otoscopy (tympanic membrane), pharynx</w:t>
            </w:r>
          </w:p>
        </w:tc>
        <w:tc>
          <w:tcPr>
            <w:tcW w:type="dxa" w:w="950"/>
            <w:vAlign w:val="top"/>
          </w:tcPr>
          <w:p>
            <w:pPr>
              <w:spacing w:after="40" w:before="0" w:line="259" w:lineRule="auto"/>
            </w:pPr>
            <w:r>
              <w:rPr>
                <w:rFonts w:ascii="Calibri" w:hAnsi="Calibri"/>
                <w:b w:val="0"/>
                <w:i w:val="0"/>
                <w:color w:val="212121"/>
                <w:sz w:val="16"/>
              </w:rPr>
              <w:t>Normal TM and pharynx</w:t>
            </w:r>
          </w:p>
        </w:tc>
        <w:tc>
          <w:tcPr>
            <w:tcW w:type="dxa" w:w="950"/>
            <w:vAlign w:val="top"/>
          </w:tcPr>
          <w:p>
            <w:pPr>
              <w:spacing w:after="40" w:before="0" w:line="259" w:lineRule="auto"/>
            </w:pPr>
            <w:r>
              <w:rPr>
                <w:rFonts w:ascii="Calibri" w:hAnsi="Calibri"/>
                <w:b w:val="0"/>
                <w:i w:val="0"/>
                <w:color w:val="212121"/>
                <w:sz w:val="16"/>
              </w:rPr>
              <w:t>Bulging/erythematous TM (otitis media), pharyngeal erythema</w:t>
            </w:r>
          </w:p>
        </w:tc>
        <w:tc>
          <w:tcPr>
            <w:tcW w:type="dxa" w:w="1036"/>
            <w:vAlign w:val="top"/>
          </w:tcPr>
          <w:p>
            <w:pPr>
              <w:spacing w:after="40" w:before="0" w:line="259" w:lineRule="auto"/>
            </w:pPr>
            <w:r>
              <w:rPr>
                <w:rFonts w:ascii="Calibri" w:hAnsi="Calibri"/>
                <w:b w:val="0"/>
                <w:i w:val="0"/>
                <w:color w:val="212121"/>
                <w:sz w:val="16"/>
              </w:rPr>
              <w:t>Detects otitis media and URTI signs</w:t>
            </w:r>
          </w:p>
        </w:tc>
        <w:tc>
          <w:tcPr>
            <w:tcW w:type="dxa" w:w="1036"/>
            <w:vAlign w:val="top"/>
          </w:tcPr>
          <w:p>
            <w:pPr>
              <w:spacing w:after="40" w:before="0" w:line="259" w:lineRule="auto"/>
            </w:pPr>
            <w:r>
              <w:rPr>
                <w:rFonts w:ascii="Calibri" w:hAnsi="Calibri"/>
                <w:b w:val="0"/>
                <w:i w:val="0"/>
                <w:color w:val="212121"/>
                <w:sz w:val="16"/>
              </w:rPr>
              <w:t>Young children</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Acute otitis media is a common paediatric complication</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Cough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most frequent symptom; often persists beyond the acute phase.</w:t>
            </w:r>
          </w:p>
        </w:tc>
      </w:tr>
      <w:tr>
        <w:trPr>
          <w:cantSplit/>
        </w:trPr>
        <w:tc>
          <w:tcPr>
            <w:tcW w:type="dxa" w:w="2304"/>
            <w:vAlign w:val="top"/>
          </w:tcPr>
          <w:p>
            <w:pPr>
              <w:spacing w:after="40" w:before="0" w:line="259" w:lineRule="auto"/>
            </w:pPr>
            <w:r>
              <w:rPr>
                <w:rFonts w:ascii="Calibri" w:hAnsi="Calibri"/>
                <w:b/>
                <w:i w:val="0"/>
                <w:color w:val="212121"/>
                <w:sz w:val="19"/>
              </w:rPr>
              <w:t>Fever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Low- to moderate-grade fever accompanying the acute illness.</w:t>
            </w:r>
          </w:p>
        </w:tc>
      </w:tr>
      <w:tr>
        <w:trPr>
          <w:cantSplit/>
        </w:trPr>
        <w:tc>
          <w:tcPr>
            <w:tcW w:type="dxa" w:w="2304"/>
            <w:vAlign w:val="top"/>
          </w:tcPr>
          <w:p>
            <w:pPr>
              <w:spacing w:after="40" w:before="0" w:line="259" w:lineRule="auto"/>
            </w:pPr>
            <w:r>
              <w:rPr>
                <w:rFonts w:ascii="Calibri" w:hAnsi="Calibri"/>
                <w:b/>
                <w:i w:val="0"/>
                <w:color w:val="212121"/>
                <w:sz w:val="19"/>
              </w:rPr>
              <w:t>Nasal congestion / rhinorrhoea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Runny or blocked nose from upper-airway inflammation.</w:t>
            </w:r>
          </w:p>
        </w:tc>
      </w:tr>
      <w:tr>
        <w:trPr>
          <w:cantSplit/>
        </w:trPr>
        <w:tc>
          <w:tcPr>
            <w:tcW w:type="dxa" w:w="2304"/>
            <w:vAlign w:val="top"/>
          </w:tcPr>
          <w:p>
            <w:pPr>
              <w:spacing w:after="40" w:before="0" w:line="259" w:lineRule="auto"/>
            </w:pPr>
            <w:r>
              <w:rPr>
                <w:rFonts w:ascii="Calibri" w:hAnsi="Calibri"/>
                <w:b/>
                <w:i w:val="0"/>
                <w:color w:val="212121"/>
                <w:sz w:val="19"/>
              </w:rPr>
              <w:t>Sore throat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Pharyngeal irritation typical of upper respiratory infection.</w:t>
            </w:r>
          </w:p>
        </w:tc>
      </w:tr>
      <w:tr>
        <w:trPr>
          <w:cantSplit/>
        </w:trPr>
        <w:tc>
          <w:tcPr>
            <w:tcW w:type="dxa" w:w="2304"/>
            <w:vAlign w:val="top"/>
          </w:tcPr>
          <w:p>
            <w:pPr>
              <w:spacing w:after="40" w:before="0" w:line="259" w:lineRule="auto"/>
            </w:pPr>
            <w:r>
              <w:rPr>
                <w:rFonts w:ascii="Calibri" w:hAnsi="Calibri"/>
                <w:b/>
                <w:i w:val="0"/>
                <w:color w:val="212121"/>
                <w:sz w:val="19"/>
              </w:rPr>
              <w:t>Shortness of breath / breathlessness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Signals lower-respiratory involvement (bronchiolitis/pneumonia).</w:t>
            </w:r>
          </w:p>
        </w:tc>
      </w:tr>
      <w:tr>
        <w:trPr>
          <w:cantSplit/>
        </w:trPr>
        <w:tc>
          <w:tcPr>
            <w:tcW w:type="dxa" w:w="2304"/>
            <w:vAlign w:val="top"/>
          </w:tcPr>
          <w:p>
            <w:pPr>
              <w:spacing w:after="40" w:before="0" w:line="259" w:lineRule="auto"/>
            </w:pPr>
            <w:r>
              <w:rPr>
                <w:rFonts w:ascii="Calibri" w:hAnsi="Calibri"/>
                <w:b/>
                <w:i w:val="0"/>
                <w:color w:val="212121"/>
                <w:sz w:val="19"/>
              </w:rPr>
              <w:t>Wheezing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Reflects small-airway narrowing; may trigger asthma/COPD flare.</w:t>
            </w:r>
          </w:p>
        </w:tc>
      </w:tr>
      <w:tr>
        <w:trPr>
          <w:cantSplit/>
        </w:trPr>
        <w:tc>
          <w:tcPr>
            <w:tcW w:type="dxa" w:w="2304"/>
            <w:vAlign w:val="top"/>
          </w:tcPr>
          <w:p>
            <w:pPr>
              <w:spacing w:after="40" w:before="0" w:line="259" w:lineRule="auto"/>
            </w:pPr>
            <w:r>
              <w:rPr>
                <w:rFonts w:ascii="Calibri" w:hAnsi="Calibri"/>
                <w:b/>
                <w:i w:val="0"/>
                <w:color w:val="212121"/>
                <w:sz w:val="19"/>
              </w:rPr>
              <w:t>Fatigue / malaise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General tiredness during the febrile illness.</w:t>
            </w:r>
          </w:p>
        </w:tc>
      </w:tr>
      <w:tr>
        <w:trPr>
          <w:cantSplit/>
        </w:trPr>
        <w:tc>
          <w:tcPr>
            <w:tcW w:type="dxa" w:w="2304"/>
            <w:vAlign w:val="top"/>
          </w:tcPr>
          <w:p>
            <w:pPr>
              <w:spacing w:after="40" w:before="0" w:line="259" w:lineRule="auto"/>
            </w:pPr>
            <w:r>
              <w:rPr>
                <w:rFonts w:ascii="Calibri" w:hAnsi="Calibri"/>
                <w:b/>
                <w:i w:val="0"/>
                <w:color w:val="212121"/>
                <w:sz w:val="19"/>
              </w:rPr>
              <w:t>Poor feeding / reduced intake (infants)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Young infants may feed poorly due to nasal blockage and respiratory distress.</w:t>
            </w:r>
          </w:p>
        </w:tc>
      </w:tr>
      <w:tr>
        <w:trPr>
          <w:cantSplit/>
        </w:trPr>
        <w:tc>
          <w:tcPr>
            <w:tcW w:type="dxa" w:w="2304"/>
            <w:vAlign w:val="top"/>
          </w:tcPr>
          <w:p>
            <w:pPr>
              <w:spacing w:after="40" w:before="0" w:line="259" w:lineRule="auto"/>
            </w:pPr>
            <w:r>
              <w:rPr>
                <w:rFonts w:ascii="Calibri" w:hAnsi="Calibri"/>
                <w:b/>
                <w:i w:val="0"/>
                <w:color w:val="212121"/>
                <w:sz w:val="19"/>
              </w:rPr>
              <w:t>Hoarseness / barking (croupy) cough</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laryngotracheal involvement (croup).</w:t>
            </w:r>
          </w:p>
        </w:tc>
      </w:tr>
      <w:tr>
        <w:trPr>
          <w:cantSplit/>
        </w:trPr>
        <w:tc>
          <w:tcPr>
            <w:tcW w:type="dxa" w:w="2304"/>
            <w:vAlign w:val="top"/>
          </w:tcPr>
          <w:p>
            <w:pPr>
              <w:spacing w:after="40" w:before="0" w:line="259" w:lineRule="auto"/>
            </w:pPr>
            <w:r>
              <w:rPr>
                <w:rFonts w:ascii="Calibri" w:hAnsi="Calibri"/>
                <w:b/>
                <w:i w:val="0"/>
                <w:color w:val="212121"/>
                <w:sz w:val="19"/>
              </w:rPr>
              <w:t>Ear pain (otalgia)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associated acute otitis media, especially in children.</w:t>
            </w:r>
          </w:p>
        </w:tc>
      </w:tr>
      <w:tr>
        <w:trPr>
          <w:cantSplit/>
        </w:trPr>
        <w:tc>
          <w:tcPr>
            <w:tcW w:type="dxa" w:w="2304"/>
            <w:vAlign w:val="top"/>
          </w:tcPr>
          <w:p>
            <w:pPr>
              <w:spacing w:after="40" w:before="0" w:line="259" w:lineRule="auto"/>
            </w:pPr>
            <w:r>
              <w:rPr>
                <w:rFonts w:ascii="Calibri" w:hAnsi="Calibri"/>
                <w:b/>
                <w:i w:val="0"/>
                <w:color w:val="212121"/>
                <w:sz w:val="19"/>
              </w:rPr>
              <w:t>Headache &amp; body aches (myalgia)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Non-specific systemic features of viral infection.</w:t>
            </w:r>
          </w:p>
        </w:tc>
      </w:tr>
      <w:tr>
        <w:trPr>
          <w:cantSplit/>
        </w:trPr>
        <w:tc>
          <w:tcPr>
            <w:tcW w:type="dxa" w:w="2304"/>
            <w:vAlign w:val="top"/>
          </w:tcPr>
          <w:p>
            <w:pPr>
              <w:spacing w:after="40" w:before="0" w:line="259" w:lineRule="auto"/>
            </w:pPr>
            <w:r>
              <w:rPr>
                <w:rFonts w:ascii="Calibri" w:hAnsi="Calibri"/>
                <w:b/>
                <w:i w:val="0"/>
                <w:color w:val="212121"/>
                <w:sz w:val="19"/>
              </w:rPr>
              <w:t>Vomiting / diarrhoea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Occasional gastrointestinal upset, mainly in young children.</w:t>
            </w:r>
          </w:p>
        </w:tc>
      </w:tr>
      <w:tr>
        <w:trPr>
          <w:cantSplit/>
        </w:trPr>
        <w:tc>
          <w:tcPr>
            <w:tcW w:type="dxa" w:w="2304"/>
            <w:vAlign w:val="top"/>
          </w:tcPr>
          <w:p>
            <w:pPr>
              <w:spacing w:after="40" w:before="0" w:line="259" w:lineRule="auto"/>
            </w:pPr>
            <w:r>
              <w:rPr>
                <w:rFonts w:ascii="Calibri" w:hAnsi="Calibri"/>
                <w:b/>
                <w:i w:val="0"/>
                <w:color w:val="212121"/>
                <w:sz w:val="19"/>
              </w:rPr>
              <w:t>Skin rash</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An uncommon, non-specific viral exanthem may occur.</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Fever (raised temperature)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Documented pyrexia on examination.</w:t>
            </w:r>
          </w:p>
        </w:tc>
      </w:tr>
      <w:tr>
        <w:trPr>
          <w:cantSplit/>
        </w:trPr>
        <w:tc>
          <w:tcPr>
            <w:tcW w:type="dxa" w:w="3456"/>
            <w:vAlign w:val="top"/>
          </w:tcPr>
          <w:p>
            <w:pPr>
              <w:spacing w:after="40" w:before="0" w:line="259" w:lineRule="auto"/>
            </w:pPr>
            <w:r>
              <w:rPr>
                <w:rFonts w:ascii="Calibri" w:hAnsi="Calibri"/>
                <w:b/>
                <w:i w:val="0"/>
                <w:color w:val="212121"/>
                <w:sz w:val="19"/>
              </w:rPr>
              <w:t>Tachypnoea (rapid breathing)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Age-adjusted increased respiratory rate signals lower-respiratory involvement.</w:t>
            </w:r>
          </w:p>
        </w:tc>
      </w:tr>
      <w:tr>
        <w:trPr>
          <w:cantSplit/>
        </w:trPr>
        <w:tc>
          <w:tcPr>
            <w:tcW w:type="dxa" w:w="3456"/>
            <w:vAlign w:val="top"/>
          </w:tcPr>
          <w:p>
            <w:pPr>
              <w:spacing w:after="40" w:before="0" w:line="259" w:lineRule="auto"/>
            </w:pPr>
            <w:r>
              <w:rPr>
                <w:rFonts w:ascii="Calibri" w:hAnsi="Calibri"/>
                <w:b/>
                <w:i w:val="0"/>
                <w:color w:val="212121"/>
                <w:sz w:val="19"/>
              </w:rPr>
              <w:t>Wheeze / rhonchi on auscultation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Expiratory wheeze from small-airway obstruction.</w:t>
            </w:r>
          </w:p>
        </w:tc>
      </w:tr>
      <w:tr>
        <w:trPr>
          <w:cantSplit/>
        </w:trPr>
        <w:tc>
          <w:tcPr>
            <w:tcW w:type="dxa" w:w="3456"/>
            <w:vAlign w:val="top"/>
          </w:tcPr>
          <w:p>
            <w:pPr>
              <w:spacing w:after="40" w:before="0" w:line="259" w:lineRule="auto"/>
            </w:pPr>
            <w:r>
              <w:rPr>
                <w:rFonts w:ascii="Calibri" w:hAnsi="Calibri"/>
                <w:b/>
                <w:i w:val="0"/>
                <w:color w:val="212121"/>
                <w:sz w:val="19"/>
              </w:rPr>
              <w:t>Crackles / crepitations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Suggest bronchiolitis or pneumonia.</w:t>
            </w:r>
          </w:p>
        </w:tc>
      </w:tr>
      <w:tr>
        <w:trPr>
          <w:cantSplit/>
        </w:trPr>
        <w:tc>
          <w:tcPr>
            <w:tcW w:type="dxa" w:w="3456"/>
            <w:vAlign w:val="top"/>
          </w:tcPr>
          <w:p>
            <w:pPr>
              <w:spacing w:after="40" w:before="0" w:line="259" w:lineRule="auto"/>
            </w:pPr>
            <w:r>
              <w:rPr>
                <w:rFonts w:ascii="Calibri" w:hAnsi="Calibri"/>
                <w:b/>
                <w:i w:val="0"/>
                <w:color w:val="212121"/>
                <w:sz w:val="19"/>
              </w:rPr>
              <w:t>Chest retractions / accessory-muscle use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Intercostal/subcostal recession indicating increased work of breathing (children).</w:t>
            </w:r>
          </w:p>
        </w:tc>
      </w:tr>
      <w:tr>
        <w:trPr>
          <w:cantSplit/>
        </w:trPr>
        <w:tc>
          <w:tcPr>
            <w:tcW w:type="dxa" w:w="3456"/>
            <w:vAlign w:val="top"/>
          </w:tcPr>
          <w:p>
            <w:pPr>
              <w:spacing w:after="40" w:before="0" w:line="259" w:lineRule="auto"/>
            </w:pPr>
            <w:r>
              <w:rPr>
                <w:rFonts w:ascii="Calibri" w:hAnsi="Calibri"/>
                <w:b/>
                <w:i w:val="0"/>
                <w:color w:val="212121"/>
                <w:sz w:val="19"/>
              </w:rPr>
              <w:t>Nasal discharge &amp; pharyngeal erythema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Upper-airway inflammatory signs.</w:t>
            </w:r>
          </w:p>
        </w:tc>
      </w:tr>
      <w:tr>
        <w:trPr>
          <w:cantSplit/>
        </w:trPr>
        <w:tc>
          <w:tcPr>
            <w:tcW w:type="dxa" w:w="3456"/>
            <w:vAlign w:val="top"/>
          </w:tcPr>
          <w:p>
            <w:pPr>
              <w:spacing w:after="40" w:before="0" w:line="259" w:lineRule="auto"/>
            </w:pPr>
            <w:r>
              <w:rPr>
                <w:rFonts w:ascii="Calibri" w:hAnsi="Calibri"/>
                <w:b/>
                <w:i w:val="0"/>
                <w:color w:val="212121"/>
                <w:sz w:val="19"/>
              </w:rPr>
              <w:t>Hypoxaemia (low SpO2)</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Oxygen saturation below 92-94% marks significant respiratory compromise.</w:t>
            </w:r>
          </w:p>
        </w:tc>
      </w:tr>
      <w:tr>
        <w:trPr>
          <w:cantSplit/>
        </w:trPr>
        <w:tc>
          <w:tcPr>
            <w:tcW w:type="dxa" w:w="3456"/>
            <w:vAlign w:val="top"/>
          </w:tcPr>
          <w:p>
            <w:pPr>
              <w:spacing w:after="40" w:before="0" w:line="259" w:lineRule="auto"/>
            </w:pPr>
            <w:r>
              <w:rPr>
                <w:rFonts w:ascii="Calibri" w:hAnsi="Calibri"/>
                <w:b/>
                <w:i w:val="0"/>
                <w:color w:val="212121"/>
                <w:sz w:val="19"/>
              </w:rPr>
              <w:t>Bulging/erythematous tympanic membrane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Otoscopic sign of associated acute otitis media.</w:t>
            </w:r>
          </w:p>
        </w:tc>
      </w:tr>
      <w:tr>
        <w:trPr>
          <w:cantSplit/>
        </w:trPr>
        <w:tc>
          <w:tcPr>
            <w:tcW w:type="dxa" w:w="3456"/>
            <w:vAlign w:val="top"/>
          </w:tcPr>
          <w:p>
            <w:pPr>
              <w:spacing w:after="40" w:before="0" w:line="259" w:lineRule="auto"/>
            </w:pPr>
            <w:r>
              <w:rPr>
                <w:rFonts w:ascii="Calibri" w:hAnsi="Calibri"/>
                <w:b/>
                <w:i w:val="0"/>
                <w:color w:val="212121"/>
                <w:sz w:val="19"/>
              </w:rPr>
              <w:t>Inspiratory stridor</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Indicates upper-airway (croup) involvement.</w:t>
            </w:r>
          </w:p>
        </w:tc>
      </w:tr>
      <w:tr>
        <w:trPr>
          <w:cantSplit/>
        </w:trPr>
        <w:tc>
          <w:tcPr>
            <w:tcW w:type="dxa" w:w="3456"/>
            <w:vAlign w:val="top"/>
          </w:tcPr>
          <w:p>
            <w:pPr>
              <w:spacing w:after="40" w:before="0" w:line="259" w:lineRule="auto"/>
            </w:pPr>
            <w:r>
              <w:rPr>
                <w:rFonts w:ascii="Calibri" w:hAnsi="Calibri"/>
                <w:b/>
                <w:i w:val="0"/>
                <w:color w:val="212121"/>
                <w:sz w:val="19"/>
              </w:rPr>
              <w:t>Cyanosis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Central cyanosis reflects severe hypoxaemia and respiratory failure.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bronchiolitis (a leading viral cause after RSV)</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Viral pneumonia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Croup (laryngotracheobronchitis)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Wheeze and asthma/COPD exacerbation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otitis media</w:t>
            </w:r>
          </w:p>
        </w:tc>
        <w:tc>
          <w:tcPr>
            <w:tcW w:type="dxa" w:w="2980"/>
            <w:vAlign w:val="top"/>
          </w:tcPr>
          <w:p>
            <w:pPr>
              <w:spacing w:after="40" w:before="0" w:line="259" w:lineRule="auto"/>
            </w:pPr>
            <w:r>
              <w:rPr>
                <w:rFonts w:ascii="Calibri" w:hAnsi="Calibri"/>
                <w:b w:val="0"/>
                <w:i w:val="0"/>
                <w:color w:val="212121"/>
                <w:sz w:val="19"/>
              </w:rPr>
              <w:t>Direct lower- and upper-respiratory manifestations of HMPV infection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bacterial pneumonia (superinfection)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Hypoxaemic respiratory failure needing oxygen or ventilation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respiratory distress syndrome (ARDS)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Apnoea in young/premature infants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Dehydration from fever and poor intake</w:t>
            </w:r>
          </w:p>
        </w:tc>
        <w:tc>
          <w:tcPr>
            <w:tcW w:type="dxa" w:w="2980"/>
            <w:vAlign w:val="top"/>
          </w:tcPr>
          <w:p>
            <w:pPr>
              <w:spacing w:after="40" w:before="0" w:line="259" w:lineRule="auto"/>
            </w:pPr>
            <w:r>
              <w:rPr>
                <w:rFonts w:ascii="Calibri" w:hAnsi="Calibri"/>
                <w:b w:val="0"/>
                <w:i w:val="0"/>
                <w:color w:val="212121"/>
                <w:sz w:val="19"/>
              </w:rPr>
              <w:t>Result from progressive lower-respiratory damage, superinfection and systemic effects, mainly in high-risk hosts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Prolonged hospitalisation and ICU admission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Post-viral recurrent wheeze / airway hyper-reactivity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Long-term impairment of lung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Decompensation of chronic heart or lung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Death in vulnerable patients (infants, elderly, immunocompromised)</w:t>
            </w:r>
          </w:p>
        </w:tc>
        <w:tc>
          <w:tcPr>
            <w:tcW w:type="dxa" w:w="2980"/>
            <w:vAlign w:val="top"/>
          </w:tcPr>
          <w:p>
            <w:pPr>
              <w:spacing w:after="40" w:before="0" w:line="259" w:lineRule="auto"/>
            </w:pPr>
            <w:r>
              <w:rPr>
                <w:rFonts w:ascii="Calibri" w:hAnsi="Calibri"/>
                <w:b w:val="0"/>
                <w:i w:val="0"/>
                <w:color w:val="212121"/>
                <w:sz w:val="19"/>
              </w:rPr>
              <w:t>Longer-term or disabling outcomes of severe or complicated HMPV infection</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Acute bronchiolitis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HMPV is a leading viral cause of infant bronchiolitis, second only to RSV, sharing airway tropism and inflammatory mechanisms.</w:t>
            </w:r>
          </w:p>
        </w:tc>
      </w:tr>
      <w:tr>
        <w:trPr>
          <w:cantSplit/>
        </w:trPr>
        <w:tc>
          <w:tcPr>
            <w:tcW w:type="dxa" w:w="2232"/>
            <w:vAlign w:val="top"/>
          </w:tcPr>
          <w:p>
            <w:pPr>
              <w:spacing w:after="40" w:before="0" w:line="259" w:lineRule="auto"/>
            </w:pPr>
            <w:r>
              <w:rPr>
                <w:rFonts w:ascii="Calibri" w:hAnsi="Calibri"/>
                <w:b/>
                <w:i w:val="0"/>
                <w:color w:val="212121"/>
                <w:sz w:val="19"/>
              </w:rPr>
              <w:t>Pneumonia (viral, and secondary bacterial)</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Complication Of</w:t>
            </w:r>
          </w:p>
        </w:tc>
        <w:tc>
          <w:tcPr>
            <w:tcW w:type="dxa" w:w="4852"/>
            <w:vAlign w:val="top"/>
          </w:tcPr>
          <w:p>
            <w:pPr>
              <w:spacing w:after="40" w:before="0" w:line="259" w:lineRule="auto"/>
            </w:pPr>
            <w:r>
              <w:rPr>
                <w:rFonts w:ascii="Calibri" w:hAnsi="Calibri"/>
                <w:b w:val="0"/>
                <w:i w:val="0"/>
                <w:color w:val="212121"/>
                <w:sz w:val="19"/>
              </w:rPr>
              <w:t>Lower-respiratory progression of HMPV can produce viral pneumonia and predispose to secondary bacterial pneumonia.</w:t>
            </w:r>
          </w:p>
        </w:tc>
      </w:tr>
      <w:tr>
        <w:trPr>
          <w:cantSplit/>
        </w:trPr>
        <w:tc>
          <w:tcPr>
            <w:tcW w:type="dxa" w:w="2232"/>
            <w:vAlign w:val="top"/>
          </w:tcPr>
          <w:p>
            <w:pPr>
              <w:spacing w:after="40" w:before="0" w:line="259" w:lineRule="auto"/>
            </w:pPr>
            <w:r>
              <w:rPr>
                <w:rFonts w:ascii="Calibri" w:hAnsi="Calibri"/>
                <w:b/>
                <w:i w:val="0"/>
                <w:color w:val="212121"/>
                <w:sz w:val="19"/>
              </w:rPr>
              <w:t>Asthma exacerbation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HMPV frequently triggers wheeze and acute asthma attacks; asthma in turn worsens the course of infection.</w:t>
            </w:r>
          </w:p>
        </w:tc>
      </w:tr>
      <w:tr>
        <w:trPr>
          <w:cantSplit/>
        </w:trPr>
        <w:tc>
          <w:tcPr>
            <w:tcW w:type="dxa" w:w="2232"/>
            <w:vAlign w:val="top"/>
          </w:tcPr>
          <w:p>
            <w:pPr>
              <w:spacing w:after="40" w:before="0" w:line="259" w:lineRule="auto"/>
            </w:pPr>
            <w:r>
              <w:rPr>
                <w:rFonts w:ascii="Calibri" w:hAnsi="Calibri"/>
                <w:b/>
                <w:i w:val="0"/>
                <w:color w:val="212121"/>
                <w:sz w:val="19"/>
              </w:rPr>
              <w:t>COPD exacerbation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recognised viral precipitant of COPD exacerbations and severe LRTI requiring hospitalisation.</w:t>
            </w:r>
          </w:p>
        </w:tc>
      </w:tr>
      <w:tr>
        <w:trPr>
          <w:cantSplit/>
        </w:trPr>
        <w:tc>
          <w:tcPr>
            <w:tcW w:type="dxa" w:w="2232"/>
            <w:vAlign w:val="top"/>
          </w:tcPr>
          <w:p>
            <w:pPr>
              <w:spacing w:after="40" w:before="0" w:line="259" w:lineRule="auto"/>
            </w:pPr>
            <w:r>
              <w:rPr>
                <w:rFonts w:ascii="Calibri" w:hAnsi="Calibri"/>
                <w:b/>
                <w:i w:val="0"/>
                <w:color w:val="212121"/>
                <w:sz w:val="19"/>
              </w:rPr>
              <w:t>Acute otitis media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Complication Of</w:t>
            </w:r>
          </w:p>
        </w:tc>
        <w:tc>
          <w:tcPr>
            <w:tcW w:type="dxa" w:w="4852"/>
            <w:vAlign w:val="top"/>
          </w:tcPr>
          <w:p>
            <w:pPr>
              <w:spacing w:after="40" w:before="0" w:line="259" w:lineRule="auto"/>
            </w:pPr>
            <w:r>
              <w:rPr>
                <w:rFonts w:ascii="Calibri" w:hAnsi="Calibri"/>
                <w:b w:val="0"/>
                <w:i w:val="0"/>
                <w:color w:val="212121"/>
                <w:sz w:val="19"/>
              </w:rPr>
              <w:t>Common paediatric complication, with the virus detectable in middle-ear fluid.</w:t>
            </w:r>
          </w:p>
        </w:tc>
      </w:tr>
      <w:tr>
        <w:trPr>
          <w:cantSplit/>
        </w:trPr>
        <w:tc>
          <w:tcPr>
            <w:tcW w:type="dxa" w:w="2232"/>
            <w:vAlign w:val="top"/>
          </w:tcPr>
          <w:p>
            <w:pPr>
              <w:spacing w:after="40" w:before="0" w:line="259" w:lineRule="auto"/>
            </w:pPr>
            <w:r>
              <w:rPr>
                <w:rFonts w:ascii="Calibri" w:hAnsi="Calibri"/>
                <w:b/>
                <w:i w:val="0"/>
                <w:color w:val="212121"/>
                <w:sz w:val="19"/>
              </w:rPr>
              <w:t>Croup (laryngotracheobronchitis)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HMPV can cause the barking cough and stridor of croup through upper-airway inflammation.</w:t>
            </w:r>
          </w:p>
        </w:tc>
      </w:tr>
      <w:tr>
        <w:trPr>
          <w:cantSplit/>
        </w:trPr>
        <w:tc>
          <w:tcPr>
            <w:tcW w:type="dxa" w:w="2232"/>
            <w:vAlign w:val="top"/>
          </w:tcPr>
          <w:p>
            <w:pPr>
              <w:spacing w:after="40" w:before="0" w:line="259" w:lineRule="auto"/>
            </w:pPr>
            <w:r>
              <w:rPr>
                <w:rFonts w:ascii="Calibri" w:hAnsi="Calibri"/>
                <w:b/>
                <w:i w:val="0"/>
                <w:color w:val="212121"/>
                <w:sz w:val="19"/>
              </w:rPr>
              <w:t>Respiratory viral co-infection (RSV, rhinovirus, parainfluenza)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HMPV is often detected alongside other respiratory viruses; co-detection complicates diagnosis and may affect severity.</w:t>
            </w:r>
          </w:p>
          <w:p>
            <w:pPr>
              <w:spacing w:after="40" w:before="0" w:line="259" w:lineRule="auto"/>
            </w:pPr>
            <w:r>
              <w:rPr>
                <w:rFonts w:ascii="Calibri" w:hAnsi="Calibri"/>
                <w:b/>
                <w:i w:val="0"/>
                <w:color w:val="212121"/>
                <w:sz w:val="19"/>
              </w:rPr>
              <w:t>Rhinovirus co-detection up to ~14%</w:t>
            </w:r>
          </w:p>
        </w:tc>
      </w:tr>
      <w:tr>
        <w:trPr>
          <w:cantSplit/>
        </w:trPr>
        <w:tc>
          <w:tcPr>
            <w:tcW w:type="dxa" w:w="2232"/>
            <w:vAlign w:val="top"/>
          </w:tcPr>
          <w:p>
            <w:pPr>
              <w:spacing w:after="40" w:before="0" w:line="259" w:lineRule="auto"/>
            </w:pPr>
            <w:r>
              <w:rPr>
                <w:rFonts w:ascii="Calibri" w:hAnsi="Calibri"/>
                <w:b/>
                <w:i w:val="0"/>
                <w:color w:val="212121"/>
                <w:sz w:val="19"/>
              </w:rPr>
              <w:t>Hypoxaemic respiratory failure / ARDS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Severe HMPV LRTI can progress to respiratory failure needing intensive care.</w:t>
            </w:r>
          </w:p>
          <w:p>
            <w:pPr>
              <w:spacing w:after="40" w:before="0" w:line="259" w:lineRule="auto"/>
            </w:pPr>
            <w:r>
              <w:rPr>
                <w:rFonts w:ascii="Calibri" w:hAnsi="Calibri"/>
                <w:b/>
                <w:i w:val="0"/>
                <w:color w:val="212121"/>
                <w:sz w:val="19"/>
              </w:rPr>
              <w:t>ICU admission ~28.6% among hospitalised positives (MIST cohort)</w:t>
            </w:r>
          </w:p>
        </w:tc>
      </w:tr>
      <w:tr>
        <w:trPr>
          <w:cantSplit/>
        </w:trPr>
        <w:tc>
          <w:tcPr>
            <w:tcW w:type="dxa" w:w="2232"/>
            <w:vAlign w:val="top"/>
          </w:tcPr>
          <w:p>
            <w:pPr>
              <w:spacing w:after="40" w:before="0" w:line="259" w:lineRule="auto"/>
            </w:pPr>
            <w:r>
              <w:rPr>
                <w:rFonts w:ascii="Calibri" w:hAnsi="Calibri"/>
                <w:b/>
                <w:i w:val="0"/>
                <w:color w:val="212121"/>
                <w:sz w:val="19"/>
              </w:rPr>
              <w:t>Immunocompromised states (transplant, haematological malignancy)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These conditions markedly increase the risk of severe, prolonged and fatal HMPV disease and alter monitoring and treatment.</w:t>
            </w:r>
          </w:p>
        </w:tc>
      </w:tr>
      <w:tr>
        <w:trPr>
          <w:cantSplit/>
        </w:trPr>
        <w:tc>
          <w:tcPr>
            <w:tcW w:type="dxa" w:w="2232"/>
            <w:vAlign w:val="top"/>
          </w:tcPr>
          <w:p>
            <w:pPr>
              <w:spacing w:after="40" w:before="0" w:line="259" w:lineRule="auto"/>
            </w:pPr>
            <w:r>
              <w:rPr>
                <w:rFonts w:ascii="Calibri" w:hAnsi="Calibri"/>
                <w:b/>
                <w:i w:val="0"/>
                <w:color w:val="212121"/>
                <w:sz w:val="19"/>
              </w:rPr>
              <w:t>Chronic heart failure / cardiac disease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HMPV respiratory infection can precipitate cardiac decompensation; coexisting heart disease alters prognosis and management.</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HMPV is a common cold-and-cough virus that spreads by droplets, close contact and contaminated surfaces, mostly in winter and the monsoon.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warning signs that need medical care: fast or laboured breathing, chest in-drawing, bluish lips, poor feeding in infants, high or persistent fever, and worsening breathlessness in the elderly or those with asthma/COPD.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that there is no specific antiviral drug and no vaccine yet - care is supportive, and most healthy people recover in a few days to a week.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infants, older adults and immunocompromised family members away from anyone with a cough or cold.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demand antibiotics for a viral cough; use them only if a doctor confirms bacterial superinfection.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young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 of the 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High-risk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public</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Hygiene</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Wash hands frequently with soap and water for at least 20 seconds, especially before feeding a child and after coughing, sneezing or touching shared surfaces.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Cover coughs and sneezes with a tissue or the elbow, and dispose of tissues safely.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a mask when you have respiratory symptoms or when caring for a sick person, particularly in crowded or hospital settings.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Clean and disinfect frequently-touched surfaces and toys during outbreaks.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sharing utensils, cups and towels; stay home from work/school while symptomatic.</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Daycare/school settings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Hospital &amp; care-home staff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of high-risk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Rest during the acute febrile illness and avoid strenuous exertion until symptoms settle.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Resume light activity gradually as breathing and energy recover.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the elderly, maintain regular moderate activity between illnesses to preserve respiratory reserve and reduce frailty.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review before resuming exercise if breathlessness or wheeze persists.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Recovering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chronic lung disease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children are well nourished with adequate protein, and correct micronutrient deficiencies (vitamin A/D, zinc) that impair immunity.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Promote exclusive breastfeeding for the first 6 months to give infants passive immunity.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a balanced diet rich in fruits, vegetables and whole grains to support immune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vitamin D sufficiency, especially in children and the housebound elderly.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Under-5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Breastfeeding mothers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 individuals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hydration with fluids, oral rehydration or breast milk to loosen secretions and prevent dehydration during fever.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small, frequent, easily-swallowed meals when appetite is reduced.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Continue breastfeeding through the illness in infants.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Watch for and promptly treat signs of dehydration (reduced urine, lethargy, dry mouth).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Febrile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age-appropriate sleep (7-9 hours for adults) to keep antiviral immunity robust.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Prioritise rest and sleep during recovery to speed resolution.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the sleeping environment well-ventilated and avoid overcrowded shared bedrooms during outbreaks.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ages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Recovering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smoke, and keep children and the elderly away from secondhand smoke, which worsens respiratory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household biomass-fuel smoke by using clean cookstoves, improved ventilation or cleaner fuels (LPG).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smoking-cessation support to patients with recurrent or severe respiratory infections.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households using solid fuel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with young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asthma/COPD</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alcohol use, which impairs immune defence and can worsen pneumonia.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intake and stay well hydrated during any acute respiratory illness.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pneumonia</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chronic stress with relaxation, physical activity and social support to help maintain immune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Reassure families that HMPV is usually mild and self-limiting to reduce undue anxiety during seasonal surges.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caregivers of hospitalised children or high-risk patients, who may experience significant stress.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Anxious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public during outbreaks</w:t>
            </w:r>
          </w:p>
        </w:tc>
        <w:tc>
          <w:tcPr>
            <w:tcW w:type="dxa" w:w="1036"/>
            <w:vAlign w:val="top"/>
          </w:tcPr>
          <w:p>
            <w:pPr>
              <w:spacing w:after="40" w:before="0" w:line="259" w:lineRule="auto"/>
            </w:pPr>
            <w:r>
              <w:rPr>
                <w:rFonts w:ascii="Calibri" w:hAnsi="Calibri"/>
                <w:b w:val="0"/>
                <w:i w:val="0"/>
                <w:color w:val="212121"/>
                <w:sz w:val="19"/>
              </w:rPr>
              <w:t>Low</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mc.ncbi.nlm.nih.gov/articles/PMC12476094/" TargetMode="External"/><Relationship Id="rId10" Type="http://schemas.openxmlformats.org/officeDocument/2006/relationships/hyperlink" Target="https://www.monaldi-archives.org/macd/article/view/3383" TargetMode="External"/><Relationship Id="rId11" Type="http://schemas.openxmlformats.org/officeDocument/2006/relationships/hyperlink" Target="https://pmc.ncbi.nlm.nih.gov/articles/PMC12339782/" TargetMode="External"/><Relationship Id="rId12" Type="http://schemas.openxmlformats.org/officeDocument/2006/relationships/hyperlink" Target="https://www.cdc.gov/human-metapneumovirus/about/index.html" TargetMode="External"/><Relationship Id="rId13" Type="http://schemas.openxmlformats.org/officeDocument/2006/relationships/hyperlink" Target="https://my.clevelandclinic.org/health/diseases/22443-human-metapneumovirus-hmp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