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Respiratory Syncytial Virus</w:t>
      </w:r>
    </w:p>
    <w:p>
      <w:pPr>
        <w:spacing w:before="0" w:after="160"/>
      </w:pPr>
      <w:r>
        <w:rPr>
          <w:rFonts w:ascii="Calibri" w:hAnsi="Calibri"/>
          <w:b/>
          <w:i w:val="0"/>
          <w:color w:val="212121"/>
          <w:sz w:val="22"/>
        </w:rPr>
        <w:t xml:space="preserve">AKA </w:t>
      </w:r>
      <w:r>
        <w:rPr>
          <w:rFonts w:ascii="Calibri" w:hAnsi="Calibri"/>
          <w:b w:val="0"/>
          <w:i w:val="0"/>
          <w:color w:val="212121"/>
          <w:sz w:val="22"/>
        </w:rPr>
        <w:t>i.e., RSV, Human respiratory syncytial virus (hRSV/HRSV), Human orthopneumovirus, RSV bronchiolitis</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Respiratory syncytial virus (RSV) is a common, highly contagious enveloped RNA virus of the family Pneumoviridae (genus Orthopneumovirus) that infects the nose, throat and lower airways. It is the single leading cause of acute lower respiratory infection (ALRI) - chiefly bronchiolitis and viral pneumonia - in infants and young children worldwide. Nearly all children are infected at least once by the age of two years; illness is usually a self-limiting cold, but can progress to severe, oxygen-requiring lower respiratory disease, especially in infants under 6 months, premature babies, and children with heart or lung disease. RSV also causes severe respiratory illness in older adults and immunocompromised individuals.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RSV is a very high-burden infection in Indian children. A 2025 systematic analysis (BMJ Global Health) estimated that in 2020 RSV caused about 12.6 million ALRI episodes, roughly 1 million hospitalisations and about 36,700 deaths among under-5 children in India, contributing to 4.4% of all under-5 deaths. Among hospitalised under-5 children RSV positivity is high - 31.8% in a northern-Indian (Kashmir) cohort - and RSV accounted for about 16% of paediatric acute respiratory infections in an eastern-Indian (Odisha) study. Globally RSV causes an estimated 3.6 million hospitalisations and around 100,000 under-5 deaths each year, with more than 97% of these deaths occurring in low- and middle-income countries.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RSV is often a clinical diagnosis in a young child with typical bronchiolitis during the RSV season; laboratory confirmation and severity assessment rest on one or more of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Clinical bronchiolitis - an infant or young child with coryza progressing over 2-5 days to cough, tachypnoea, wheeze and/or fine crackles, chest retractions and feeding difficulty during the local RSV season;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Reverse-transcription PCR / multiplex respiratory panel on a nasopharyngeal swab or aspirate - the most sensitive test, confirms RSV and distinguishes subtypes RSV-A and RSV-B and co-infections;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RSV rapid antigen detection test (immunochromatographic) on nasopharyngeal secretions - rapid bedside result with good sensitivity in infants (sensitivity falls in older children and adults);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Direct or indirect immunofluorescence (DFA) on nasopharyngeal epithelial cells;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Pulse oximetry (SpO2) to detect hypoxaemia, guiding oxygen therapy and hospital admission;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Chest radiograph reserved for severe disease or suspected complication (hyperinflation, peribronchial cuffing, atelectasis, or lobar infiltrate suggesting bacterial pneumonia) - not routine in typical bronchiolitis.</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RSV infection is described along several axes relevant to management:</w:t>
      </w:r>
    </w:p>
    <w:p>
      <w:pPr>
        <w:spacing w:before="0" w:after="80"/>
      </w:pPr>
      <w:r>
        <w:rPr>
          <w:rFonts w:ascii="Calibri" w:hAnsi="Calibri"/>
          <w:b w:val="0"/>
          <w:i w:val="0"/>
          <w:color w:val="212121"/>
          <w:sz w:val="21"/>
        </w:rPr>
        <w:t>(1) By virus subtype: RSV-A and RSV-B co-circulate each season; RSV-A frequently predominates and is often associated with more severe disease (globally RSV-A ~55.7% vs RSV-B ~44.3% of typed infections);</w:t>
      </w:r>
    </w:p>
    <w:p>
      <w:pPr>
        <w:spacing w:before="0" w:after="80"/>
      </w:pPr>
      <w:r>
        <w:rPr>
          <w:rFonts w:ascii="Calibri" w:hAnsi="Calibri"/>
          <w:b w:val="0"/>
          <w:i w:val="0"/>
          <w:color w:val="212121"/>
          <w:sz w:val="21"/>
        </w:rPr>
        <w:t>(2) By clinical syndrome: upper-respiratory illness (coryza), acute bronchiolitis, viral pneumonia, apnoea in young/preterm infants, and acute wheeze or asthma exacerbation in older children;</w:t>
      </w:r>
    </w:p>
    <w:p>
      <w:pPr>
        <w:spacing w:before="0" w:after="80"/>
      </w:pPr>
      <w:r>
        <w:rPr>
          <w:rFonts w:ascii="Calibri" w:hAnsi="Calibri"/>
          <w:b w:val="0"/>
          <w:i w:val="0"/>
          <w:color w:val="212121"/>
          <w:sz w:val="21"/>
        </w:rPr>
        <w:t>(3) By severity: mild (managed at home), moderate (increased work of breathing, feeding 50-75% of normal), and severe (hypoxaemia, marked respiratory distress, apnoea, or inability to feed - requiring hospitalisation, oxygen or ventilatory support);</w:t>
      </w:r>
    </w:p>
    <w:p>
      <w:pPr>
        <w:spacing w:before="0" w:after="80"/>
      </w:pPr>
      <w:r>
        <w:rPr>
          <w:rFonts w:ascii="Calibri" w:hAnsi="Calibri"/>
          <w:b w:val="0"/>
          <w:i w:val="0"/>
          <w:color w:val="212121"/>
          <w:sz w:val="21"/>
        </w:rPr>
        <w:t>(4) By host risk: routine (previously healthy term infants, who still account for most hospitalisations) versus high-risk hosts - premature and low-birth-weight infants, chronic lung disease of prematurity (BPD), haemodynamically significant congenital heart disease, immunocompromise, Down syndrome, neuromuscular disorders, and older adults with cardiopulmonary comorbidity.</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Viral agent: Human RSV, an enveloped negative-sense single-stranded RNA virus (Pneumoviridae); the F (fusion) and G (attachment) surface glycoproteins mediate cell entry and syncytium formation and are the main vaccine/antibody targets.</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Transmission: Spread by large respiratory droplets and by hands and fomites (the virus survives hours on surfaces); it is highly contagious in households, crowded homes, day-care centres and hospital wards.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Young age and immature immunity: Small airway calibre and an immature immune response make infants prone to bronchiolar oedema, mucus plugging and airway obstruction; risk is highest under 6 months.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Prematurity and low birth weight: Reduced transplacental maternal antibody and underdeveloped lungs and airways predispose to severe, prolonged disease and respiratory failure.</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Underlying cardiopulmonary or immune disease: Congenital heart disease, chronic lung disease/BPD, immunodeficiency and neuromuscular disease markedly increase severity and mortality.</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Environmental exposures: Household tobacco smoke, indoor biomass/solid-fuel air pollution, overcrowding, day-care attendance and absence of breastfeeding raise both acquisition and severity.</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Seasonality: In much of India RSV circulation peaks during the rainy/monsoon and winter months, concentrating infections and hospitalisations.</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Infants under 6 months</w:t>
            </w:r>
          </w:p>
        </w:tc>
        <w:tc>
          <w:tcPr>
            <w:tcW w:type="dxa" w:w="4276"/>
            <w:vAlign w:val="top"/>
          </w:tcPr>
          <w:p>
            <w:pPr>
              <w:spacing w:after="60" w:line="259" w:lineRule="auto"/>
            </w:pPr>
            <w:r>
              <w:rPr>
                <w:rFonts w:ascii="Calibri" w:hAnsi="Calibri"/>
                <w:b w:val="0"/>
                <w:i w:val="0"/>
                <w:color w:val="212121"/>
                <w:sz w:val="19"/>
              </w:rPr>
              <w:t>Highest-risk group: very small airways are easily obstructed by bronchiolar inflammation and mucus, and passively acquired maternal antibody is waning while the infant's own immunity is immature.</w:t>
            </w:r>
          </w:p>
          <w:p>
            <w:pPr>
              <w:spacing w:after="40" w:before="60" w:line="259" w:lineRule="auto"/>
            </w:pPr>
            <w:r>
              <w:rPr>
                <w:rFonts w:ascii="Calibri" w:hAnsi="Calibri"/>
                <w:b w:val="0"/>
                <w:i w:val="0"/>
                <w:color w:val="212121"/>
                <w:sz w:val="19"/>
              </w:rPr>
              <w:t>RSV positivity among hospitalised children aged 0 to &lt;6 months in LMICs is 41.3% - the highest of any age band - and remains high at 40.2% even in those under 2 months.</w:t>
            </w:r>
          </w:p>
          <w:p>
            <w:pPr>
              <w:spacing w:after="40" w:line="252" w:lineRule="auto"/>
            </w:pPr>
            <w:hyperlink r:id="rId9">
              <w:r>
                <w:rPr>
                  <w:rFonts w:ascii="Calibri" w:hAnsi="Calibri" w:cs="Calibri"/>
                  <w:sz w:val="18"/>
                  <w:color w:val="1155CC"/>
                  <w:u w:val="single"/>
                </w:rPr>
                <w:t xml:space="preserve">pmc.ncbi.nlm.nih.gov/PMC13037220 - LMIC RSV hospitalisation meta-analysis</w:t>
              </w:r>
            </w:hyperlink>
          </w:p>
          <w:p>
            <w:pPr>
              <w:spacing w:before="60" w:after="40"/>
            </w:pPr>
            <w:r>
              <w:rPr>
                <w:rFonts w:ascii="Calibri" w:hAnsi="Calibri"/>
                <w:b w:val="0"/>
                <w:i w:val="0"/>
                <w:color w:val="5A5A5A"/>
                <w:sz w:val="18"/>
              </w:rPr>
              <w:t>#infants  #bronchiolitis  #maternalantibody  #smallairways  #under6months</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Young children (6-59 months)</w:t>
            </w:r>
          </w:p>
        </w:tc>
        <w:tc>
          <w:tcPr>
            <w:tcW w:type="dxa" w:w="4276"/>
            <w:vAlign w:val="top"/>
          </w:tcPr>
          <w:p>
            <w:pPr>
              <w:spacing w:after="60" w:line="259" w:lineRule="auto"/>
            </w:pPr>
            <w:r>
              <w:rPr>
                <w:rFonts w:ascii="Calibri" w:hAnsi="Calibri"/>
                <w:b w:val="0"/>
                <w:i w:val="0"/>
                <w:color w:val="212121"/>
                <w:sz w:val="19"/>
              </w:rPr>
              <w:t>Almost all children are infected by age two; toddlers remain prone to bronchiolitis, viral pneumonia and RSV-triggered wheeze, though average severity is lower than in early infancy.</w:t>
            </w:r>
          </w:p>
          <w:p>
            <w:pPr>
              <w:spacing w:after="40" w:before="60" w:line="259" w:lineRule="auto"/>
            </w:pPr>
            <w:r>
              <w:rPr>
                <w:rFonts w:ascii="Calibri" w:hAnsi="Calibri"/>
                <w:b w:val="0"/>
                <w:i w:val="0"/>
                <w:color w:val="212121"/>
                <w:sz w:val="19"/>
              </w:rPr>
              <w:t>RSV positivity among hospitalised children aged 6 to &lt;60 months in LMICs is 18.9%; RSV caused ~16% of paediatric acute respiratory infections in an eastern-Indian (Odisha) study.</w:t>
            </w:r>
          </w:p>
          <w:p>
            <w:pPr>
              <w:spacing w:after="40" w:line="252" w:lineRule="auto"/>
            </w:pPr>
            <w:hyperlink r:id="rId10">
              <w:r>
                <w:rPr>
                  <w:rFonts w:ascii="Calibri" w:hAnsi="Calibri" w:cs="Calibri"/>
                  <w:sz w:val="18"/>
                  <w:color w:val="1155CC"/>
                  <w:u w:val="single"/>
                </w:rPr>
                <w:t xml:space="preserve">pmc.ncbi.nlm.nih.gov/PMC12675948 - Odisha under-five ARI study</w:t>
              </w:r>
            </w:hyperlink>
          </w:p>
          <w:p>
            <w:pPr>
              <w:spacing w:before="60" w:after="40"/>
            </w:pPr>
            <w:r>
              <w:rPr>
                <w:rFonts w:ascii="Calibri" w:hAnsi="Calibri"/>
                <w:b w:val="0"/>
                <w:i w:val="0"/>
                <w:color w:val="5A5A5A"/>
                <w:sz w:val="18"/>
              </w:rPr>
              <w:t>#toddlers  #underfive  #pneumonia  #wheeze  #daycare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Older adults (&gt;=60 years)</w:t>
            </w:r>
          </w:p>
        </w:tc>
        <w:tc>
          <w:tcPr>
            <w:tcW w:type="dxa" w:w="4276"/>
            <w:vAlign w:val="top"/>
          </w:tcPr>
          <w:p>
            <w:pPr>
              <w:spacing w:after="60" w:line="259" w:lineRule="auto"/>
            </w:pPr>
            <w:r>
              <w:rPr>
                <w:rFonts w:ascii="Calibri" w:hAnsi="Calibri"/>
                <w:b w:val="0"/>
                <w:i w:val="0"/>
                <w:color w:val="212121"/>
                <w:sz w:val="19"/>
              </w:rPr>
              <w:t>RSV is increasingly recognised as a cause of severe lower-respiratory illness in the elderly, precipitating pneumonia and exacerbations of COPD and heart failure, particularly with comorbidity.</w:t>
            </w:r>
          </w:p>
          <w:p>
            <w:pPr>
              <w:spacing w:after="40" w:before="60" w:line="259" w:lineRule="auto"/>
            </w:pPr>
            <w:r>
              <w:rPr>
                <w:rFonts w:ascii="Calibri" w:hAnsi="Calibri"/>
                <w:b w:val="0"/>
                <w:i w:val="0"/>
                <w:color w:val="212121"/>
                <w:sz w:val="19"/>
              </w:rPr>
              <w:t>Pooled RSV prevalence among adults &gt;=50 years presenting with respiratory illness in low- and middle-income countries is about 3.9%, and 5.1% in high-risk adults aged 18-59 years.</w:t>
            </w:r>
          </w:p>
          <w:p>
            <w:pPr>
              <w:spacing w:after="40" w:line="252" w:lineRule="auto"/>
            </w:pPr>
            <w:hyperlink r:id="rId11">
              <w:r>
                <w:rPr>
                  <w:rFonts w:ascii="Calibri" w:hAnsi="Calibri" w:cs="Calibri"/>
                  <w:sz w:val="18"/>
                  <w:color w:val="1155CC"/>
                  <w:u w:val="single"/>
                </w:rPr>
                <w:t xml:space="preserve">pmc.ncbi.nlm.nih.gov/PMC12855681 - RSV in adults, LMIC meta-analysis</w:t>
              </w:r>
            </w:hyperlink>
          </w:p>
          <w:p>
            <w:pPr>
              <w:spacing w:before="60" w:after="40"/>
            </w:pPr>
            <w:r>
              <w:rPr>
                <w:rFonts w:ascii="Calibri" w:hAnsi="Calibri"/>
                <w:b w:val="0"/>
                <w:i w:val="0"/>
                <w:color w:val="5A5A5A"/>
                <w:sz w:val="18"/>
              </w:rPr>
              <w:t>#elderly  #COPD  #heartfailure  #olderadults  #comorbidity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 infants</w:t>
            </w:r>
          </w:p>
        </w:tc>
        <w:tc>
          <w:tcPr>
            <w:tcW w:type="dxa" w:w="4276"/>
            <w:vAlign w:val="top"/>
          </w:tcPr>
          <w:p>
            <w:pPr>
              <w:spacing w:after="60" w:line="259" w:lineRule="auto"/>
            </w:pPr>
            <w:r>
              <w:rPr>
                <w:rFonts w:ascii="Calibri" w:hAnsi="Calibri"/>
                <w:b w:val="0"/>
                <w:i w:val="0"/>
                <w:color w:val="212121"/>
                <w:sz w:val="19"/>
              </w:rPr>
              <w:t>Male infants show a modestly higher rate of severe RSV bronchiolitis and hospitalisation, attributed to smaller relative airway calibre in early infancy.</w:t>
            </w:r>
          </w:p>
          <w:p>
            <w:pPr>
              <w:spacing w:after="40" w:before="60" w:line="259" w:lineRule="auto"/>
            </w:pPr>
            <w:r>
              <w:rPr>
                <w:rFonts w:ascii="Calibri" w:hAnsi="Calibri"/>
                <w:b w:val="0"/>
                <w:i w:val="0"/>
                <w:color w:val="212121"/>
                <w:sz w:val="19"/>
              </w:rPr>
              <w:t>A male predominance in severe RSV bronchiolitis and hospitalisation is consistently reported across cohorts.</w:t>
            </w:r>
          </w:p>
          <w:p>
            <w:pPr>
              <w:spacing w:before="60" w:after="40"/>
            </w:pPr>
            <w:r>
              <w:rPr>
                <w:rFonts w:ascii="Calibri" w:hAnsi="Calibri"/>
                <w:b w:val="0"/>
                <w:i w:val="0"/>
                <w:color w:val="5A5A5A"/>
                <w:sz w:val="18"/>
              </w:rPr>
              <w:t>#male  #airwaycalibre  #hospitalisation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overcrowded households</w:t>
            </w:r>
          </w:p>
        </w:tc>
        <w:tc>
          <w:tcPr>
            <w:tcW w:type="dxa" w:w="4276"/>
            <w:vAlign w:val="top"/>
          </w:tcPr>
          <w:p>
            <w:pPr>
              <w:spacing w:after="60" w:line="259" w:lineRule="auto"/>
            </w:pPr>
            <w:r>
              <w:rPr>
                <w:rFonts w:ascii="Calibri" w:hAnsi="Calibri"/>
                <w:b w:val="0"/>
                <w:i w:val="0"/>
                <w:color w:val="212121"/>
                <w:sz w:val="19"/>
              </w:rPr>
              <w:t>Overcrowding accelerates droplet and fomite transmission, while poverty, limited health access and delayed care worsen outcomes - a major driver of the RSV death gap in low-resource settings.</w:t>
            </w:r>
          </w:p>
          <w:p>
            <w:pPr>
              <w:spacing w:after="40" w:before="60" w:line="259" w:lineRule="auto"/>
            </w:pPr>
            <w:r>
              <w:rPr>
                <w:rFonts w:ascii="Calibri" w:hAnsi="Calibri"/>
                <w:b w:val="0"/>
                <w:i w:val="0"/>
                <w:color w:val="212121"/>
                <w:sz w:val="19"/>
              </w:rPr>
              <w:t>More than 97% of childhood RSV deaths occur in low- and middle-income countries such as India.</w:t>
            </w:r>
          </w:p>
          <w:p>
            <w:pPr>
              <w:spacing w:after="40" w:line="252" w:lineRule="auto"/>
            </w:pPr>
            <w:hyperlink r:id="rId12">
              <w:r>
                <w:rPr>
                  <w:rFonts w:ascii="Calibri" w:hAnsi="Calibri" w:cs="Calibri"/>
                  <w:sz w:val="18"/>
                  <w:color w:val="1155CC"/>
                  <w:u w:val="single"/>
                </w:rPr>
                <w:t xml:space="preserve">who.int - RSV fact sheet</w:t>
              </w:r>
            </w:hyperlink>
          </w:p>
          <w:p>
            <w:pPr>
              <w:spacing w:before="60" w:after="40"/>
            </w:pPr>
            <w:r>
              <w:rPr>
                <w:rFonts w:ascii="Calibri" w:hAnsi="Calibri"/>
                <w:b w:val="0"/>
                <w:i w:val="0"/>
                <w:color w:val="5A5A5A"/>
                <w:sz w:val="18"/>
              </w:rPr>
              <w:t>#poverty  #overcrowding  #healthaccess  #LMIC  #inequity</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 / ethnicity</w:t>
            </w:r>
          </w:p>
        </w:tc>
        <w:tc>
          <w:tcPr>
            <w:tcW w:type="dxa" w:w="2160"/>
            <w:vAlign w:val="top"/>
          </w:tcPr>
          <w:p>
            <w:pPr>
              <w:spacing w:after="40" w:before="0" w:line="259" w:lineRule="auto"/>
            </w:pPr>
            <w:r>
              <w:rPr>
                <w:rFonts w:ascii="Calibri" w:hAnsi="Calibri"/>
                <w:b w:val="0"/>
                <w:i w:val="0"/>
                <w:color w:val="212121"/>
                <w:sz w:val="19"/>
              </w:rPr>
              <w:t>Indian / South Asian under-5 children</w:t>
            </w:r>
          </w:p>
        </w:tc>
        <w:tc>
          <w:tcPr>
            <w:tcW w:type="dxa" w:w="4276"/>
            <w:vAlign w:val="top"/>
          </w:tcPr>
          <w:p>
            <w:pPr>
              <w:spacing w:after="60" w:line="259" w:lineRule="auto"/>
            </w:pPr>
            <w:r>
              <w:rPr>
                <w:rFonts w:ascii="Calibri" w:hAnsi="Calibri"/>
                <w:b w:val="0"/>
                <w:i w:val="0"/>
                <w:color w:val="212121"/>
                <w:sz w:val="19"/>
              </w:rPr>
              <w:t>India carries one of the largest absolute RSV burdens globally because of its large birth cohort, high ALRI incidence and constrained access to oxygen and intensive care.</w:t>
            </w:r>
          </w:p>
          <w:p>
            <w:pPr>
              <w:spacing w:after="40" w:before="60" w:line="259" w:lineRule="auto"/>
            </w:pPr>
            <w:r>
              <w:rPr>
                <w:rFonts w:ascii="Calibri" w:hAnsi="Calibri"/>
                <w:b w:val="0"/>
                <w:i w:val="0"/>
                <w:color w:val="212121"/>
                <w:sz w:val="19"/>
              </w:rPr>
              <w:t>In 2020 RSV caused an estimated 12.6 million ALRI episodes, ~1 million hospitalisations and ~36,700 deaths in Indian under-5 children, contributing to 4.4% of all under-5 deaths.</w:t>
            </w:r>
          </w:p>
          <w:p>
            <w:pPr>
              <w:spacing w:after="40" w:line="252" w:lineRule="auto"/>
            </w:pPr>
            <w:hyperlink r:id="rId13">
              <w:r>
                <w:rPr>
                  <w:rFonts w:ascii="Calibri" w:hAnsi="Calibri" w:cs="Calibri"/>
                  <w:sz w:val="18"/>
                  <w:color w:val="1155CC"/>
                  <w:u w:val="single"/>
                </w:rPr>
                <w:t xml:space="preserve">pmc.ncbi.nlm.nih.gov/PMC12645627 - RSV burden in Indian under-5 children, 2020</w:t>
              </w:r>
            </w:hyperlink>
          </w:p>
          <w:p>
            <w:pPr>
              <w:spacing w:before="60" w:after="40"/>
            </w:pPr>
            <w:r>
              <w:rPr>
                <w:rFonts w:ascii="Calibri" w:hAnsi="Calibri"/>
                <w:b w:val="0"/>
                <w:i w:val="0"/>
                <w:color w:val="5A5A5A"/>
                <w:sz w:val="18"/>
              </w:rPr>
              <w:t>#India  #southasia  #U5burden  #ALRI  #birthcohort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Season / climate</w:t>
            </w:r>
          </w:p>
        </w:tc>
        <w:tc>
          <w:tcPr>
            <w:tcW w:type="dxa" w:w="2160"/>
            <w:vAlign w:val="top"/>
          </w:tcPr>
          <w:p>
            <w:pPr>
              <w:spacing w:after="40" w:before="0" w:line="259" w:lineRule="auto"/>
            </w:pPr>
            <w:r>
              <w:rPr>
                <w:rFonts w:ascii="Calibri" w:hAnsi="Calibri"/>
                <w:b w:val="0"/>
                <w:i w:val="0"/>
                <w:color w:val="212121"/>
                <w:sz w:val="19"/>
              </w:rPr>
              <w:t>Infants born just before or during the RSV season</w:t>
            </w:r>
          </w:p>
        </w:tc>
        <w:tc>
          <w:tcPr>
            <w:tcW w:type="dxa" w:w="4276"/>
            <w:vAlign w:val="top"/>
          </w:tcPr>
          <w:p>
            <w:pPr>
              <w:spacing w:after="60" w:line="259" w:lineRule="auto"/>
            </w:pPr>
            <w:r>
              <w:rPr>
                <w:rFonts w:ascii="Calibri" w:hAnsi="Calibri"/>
                <w:b w:val="0"/>
                <w:i w:val="0"/>
                <w:color w:val="212121"/>
                <w:sz w:val="19"/>
              </w:rPr>
              <w:t>Being young (under 3-6 months) during peak circulation is a key severity risk; in much of India RSV peaks in the rainy/monsoon and winter months, concentrating exposure.</w:t>
            </w:r>
          </w:p>
          <w:p>
            <w:pPr>
              <w:spacing w:after="40" w:before="60" w:line="259" w:lineRule="auto"/>
            </w:pPr>
            <w:r>
              <w:rPr>
                <w:rFonts w:ascii="Calibri" w:hAnsi="Calibri"/>
                <w:b w:val="0"/>
                <w:i w:val="0"/>
                <w:color w:val="212121"/>
                <w:sz w:val="19"/>
              </w:rPr>
              <w:t>An eastern-Indian study found viral respiratory infections, RSV included, peaked in the post-monsoon period (October).</w:t>
            </w:r>
          </w:p>
          <w:p>
            <w:pPr>
              <w:spacing w:after="40" w:line="252" w:lineRule="auto"/>
            </w:pPr>
            <w:hyperlink r:id="rId10">
              <w:r>
                <w:rPr>
                  <w:rFonts w:ascii="Calibri" w:hAnsi="Calibri" w:cs="Calibri"/>
                  <w:sz w:val="18"/>
                  <w:color w:val="1155CC"/>
                  <w:u w:val="single"/>
                </w:rPr>
                <w:t xml:space="preserve">pmc.ncbi.nlm.nih.gov/PMC12675948 - seasonality of under-five ARI, Odisha</w:t>
              </w:r>
            </w:hyperlink>
          </w:p>
          <w:p>
            <w:pPr>
              <w:spacing w:before="60" w:after="40"/>
            </w:pPr>
            <w:r>
              <w:rPr>
                <w:rFonts w:ascii="Calibri" w:hAnsi="Calibri"/>
                <w:b w:val="0"/>
                <w:i w:val="0"/>
                <w:color w:val="5A5A5A"/>
                <w:sz w:val="18"/>
              </w:rPr>
              <w:t>#monsoon  #winter  #seasonality  #postmonsoon  #peakseason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w:t>
            </w:r>
          </w:p>
        </w:tc>
        <w:tc>
          <w:tcPr>
            <w:tcW w:type="dxa" w:w="2160"/>
            <w:vAlign w:val="top"/>
          </w:tcPr>
          <w:p>
            <w:pPr>
              <w:spacing w:after="40" w:before="0" w:line="259" w:lineRule="auto"/>
            </w:pPr>
            <w:r>
              <w:rPr>
                <w:rFonts w:ascii="Calibri" w:hAnsi="Calibri"/>
                <w:b w:val="0"/>
                <w:i w:val="0"/>
                <w:color w:val="212121"/>
                <w:sz w:val="19"/>
              </w:rPr>
              <w:t>Northern-Indian hospitalised children</w:t>
            </w:r>
          </w:p>
        </w:tc>
        <w:tc>
          <w:tcPr>
            <w:tcW w:type="dxa" w:w="4276"/>
            <w:vAlign w:val="top"/>
          </w:tcPr>
          <w:p>
            <w:pPr>
              <w:spacing w:after="60" w:line="259" w:lineRule="auto"/>
            </w:pPr>
            <w:r>
              <w:rPr>
                <w:rFonts w:ascii="Calibri" w:hAnsi="Calibri"/>
                <w:b w:val="0"/>
                <w:i w:val="0"/>
                <w:color w:val="212121"/>
                <w:sz w:val="19"/>
              </w:rPr>
              <w:t>Hospital-based surveillance in northern India shows RSV is a dominant cause of severe paediatric lower-respiratory admissions, with strong seasonal clustering.</w:t>
            </w:r>
          </w:p>
          <w:p>
            <w:pPr>
              <w:spacing w:after="40" w:before="60" w:line="259" w:lineRule="auto"/>
            </w:pPr>
            <w:r>
              <w:rPr>
                <w:rFonts w:ascii="Calibri" w:hAnsi="Calibri"/>
                <w:b w:val="0"/>
                <w:i w:val="0"/>
                <w:color w:val="212121"/>
                <w:sz w:val="19"/>
              </w:rPr>
              <w:t>RSV positivity was 31.8% among hospitalised children under 5 years in Kashmir, with RSV-A (30.3%) far exceeding RSV-B (1.5%).</w:t>
            </w:r>
          </w:p>
          <w:p>
            <w:pPr>
              <w:spacing w:after="40" w:line="252" w:lineRule="auto"/>
            </w:pPr>
            <w:hyperlink r:id="rId14">
              <w:r>
                <w:rPr>
                  <w:rFonts w:ascii="Calibri" w:hAnsi="Calibri" w:cs="Calibri"/>
                  <w:sz w:val="18"/>
                  <w:color w:val="1155CC"/>
                  <w:u w:val="single"/>
                </w:rPr>
                <w:t xml:space="preserve">pubmed.ncbi.nlm.nih.gov/41045533 - RSV burden &amp; seasonality, Kashmir</w:t>
              </w:r>
            </w:hyperlink>
          </w:p>
          <w:p>
            <w:pPr>
              <w:spacing w:before="60" w:after="40"/>
            </w:pPr>
            <w:r>
              <w:rPr>
                <w:rFonts w:ascii="Calibri" w:hAnsi="Calibri"/>
                <w:b w:val="0"/>
                <w:i w:val="0"/>
                <w:color w:val="5A5A5A"/>
                <w:sz w:val="18"/>
              </w:rPr>
              <w:t>#Kashmir  #RSV_A  #surveillance  #northindia  #hospitalised</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Passive smoking</w:t>
            </w:r>
          </w:p>
        </w:tc>
        <w:tc>
          <w:tcPr>
            <w:tcW w:type="dxa" w:w="2160"/>
            <w:vAlign w:val="top"/>
          </w:tcPr>
          <w:p>
            <w:pPr>
              <w:spacing w:after="40" w:before="0" w:line="259" w:lineRule="auto"/>
            </w:pPr>
            <w:r>
              <w:rPr>
                <w:rFonts w:ascii="Calibri" w:hAnsi="Calibri"/>
                <w:b w:val="0"/>
                <w:i w:val="0"/>
                <w:color w:val="212121"/>
                <w:sz w:val="19"/>
              </w:rPr>
              <w:t>Infants in households with tobacco or biomass smoke</w:t>
            </w:r>
          </w:p>
        </w:tc>
        <w:tc>
          <w:tcPr>
            <w:tcW w:type="dxa" w:w="4276"/>
            <w:vAlign w:val="top"/>
          </w:tcPr>
          <w:p>
            <w:pPr>
              <w:spacing w:after="60" w:line="259" w:lineRule="auto"/>
            </w:pPr>
            <w:r>
              <w:rPr>
                <w:rFonts w:ascii="Calibri" w:hAnsi="Calibri"/>
                <w:b w:val="0"/>
                <w:i w:val="0"/>
                <w:color w:val="212121"/>
                <w:sz w:val="19"/>
              </w:rPr>
              <w:t>Second-hand tobacco smoke and indoor biomass/solid-fuel smoke impair mucociliary clearance and airway epithelium, converting mild RSV into severe, oxygen-requiring disease.</w:t>
            </w:r>
          </w:p>
          <w:p>
            <w:pPr>
              <w:spacing w:after="40" w:before="60" w:line="259" w:lineRule="auto"/>
            </w:pPr>
            <w:r>
              <w:rPr>
                <w:rFonts w:ascii="Calibri" w:hAnsi="Calibri"/>
                <w:b w:val="0"/>
                <w:i w:val="0"/>
                <w:color w:val="212121"/>
                <w:sz w:val="19"/>
              </w:rPr>
              <w:t>In hospitalised infants, maternal smoke exposure raised the odds of RSV pneumonia about 5-fold (OR 5.01), and smoking by both parents raised the odds of needing oxygen therapy (OR 2.41).</w:t>
            </w:r>
          </w:p>
          <w:p>
            <w:pPr>
              <w:spacing w:after="40" w:line="252" w:lineRule="auto"/>
            </w:pPr>
            <w:hyperlink r:id="rId15">
              <w:r>
                <w:rPr>
                  <w:rFonts w:ascii="Calibri" w:hAnsi="Calibri" w:cs="Calibri"/>
                  <w:sz w:val="18"/>
                  <w:color w:val="1155CC"/>
                  <w:u w:val="single"/>
                </w:rPr>
                <w:t xml:space="preserve">pmc.ncbi.nlm.nih.gov/PMC10458146 - risk factors for severe RSV</w:t>
              </w:r>
            </w:hyperlink>
          </w:p>
          <w:p>
            <w:pPr>
              <w:spacing w:before="60" w:after="40"/>
            </w:pPr>
            <w:r>
              <w:rPr>
                <w:rFonts w:ascii="Calibri" w:hAnsi="Calibri"/>
                <w:b w:val="0"/>
                <w:i w:val="0"/>
                <w:color w:val="5A5A5A"/>
                <w:sz w:val="18"/>
              </w:rPr>
              <w:t>#passivesmoke  #biomass  #indoorairpollution  #ETS  #mucociliary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Day-care / crowding</w:t>
            </w:r>
          </w:p>
        </w:tc>
        <w:tc>
          <w:tcPr>
            <w:tcW w:type="dxa" w:w="2160"/>
            <w:vAlign w:val="top"/>
          </w:tcPr>
          <w:p>
            <w:pPr>
              <w:spacing w:after="40" w:before="0" w:line="259" w:lineRule="auto"/>
            </w:pPr>
            <w:r>
              <w:rPr>
                <w:rFonts w:ascii="Calibri" w:hAnsi="Calibri"/>
                <w:b w:val="0"/>
                <w:i w:val="0"/>
                <w:color w:val="212121"/>
                <w:sz w:val="19"/>
              </w:rPr>
              <w:t>Children in day-care or with school-age siblings</w:t>
            </w:r>
          </w:p>
        </w:tc>
        <w:tc>
          <w:tcPr>
            <w:tcW w:type="dxa" w:w="4276"/>
            <w:vAlign w:val="top"/>
          </w:tcPr>
          <w:p>
            <w:pPr>
              <w:spacing w:after="60" w:line="259" w:lineRule="auto"/>
            </w:pPr>
            <w:r>
              <w:rPr>
                <w:rFonts w:ascii="Calibri" w:hAnsi="Calibri"/>
                <w:b w:val="0"/>
                <w:i w:val="0"/>
                <w:color w:val="212121"/>
                <w:sz w:val="19"/>
              </w:rPr>
              <w:t>Day-care attendance and older siblings repeatedly introduce RSV into the home, increasing exposure of vulnerable young infants.</w:t>
            </w:r>
          </w:p>
          <w:p>
            <w:pPr>
              <w:spacing w:after="40" w:before="60" w:line="259" w:lineRule="auto"/>
            </w:pPr>
            <w:r>
              <w:rPr>
                <w:rFonts w:ascii="Calibri" w:hAnsi="Calibri"/>
                <w:b w:val="0"/>
                <w:i w:val="0"/>
                <w:color w:val="212121"/>
                <w:sz w:val="19"/>
              </w:rPr>
              <w:t>Crowding and day-care attendance are established risk factors for early RSV acquisition and recurrent infection.</w:t>
            </w:r>
          </w:p>
          <w:p>
            <w:pPr>
              <w:spacing w:before="60" w:after="40"/>
            </w:pPr>
            <w:r>
              <w:rPr>
                <w:rFonts w:ascii="Calibri" w:hAnsi="Calibri"/>
                <w:b w:val="0"/>
                <w:i w:val="0"/>
                <w:color w:val="5A5A5A"/>
                <w:sz w:val="18"/>
              </w:rPr>
              <w:t>#daycare  #siblings  #crowding  #exposure  #householdspread</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Breastfeeding</w:t>
            </w:r>
          </w:p>
        </w:tc>
        <w:tc>
          <w:tcPr>
            <w:tcW w:type="dxa" w:w="2160"/>
            <w:vAlign w:val="top"/>
          </w:tcPr>
          <w:p>
            <w:pPr>
              <w:spacing w:after="40" w:before="0" w:line="259" w:lineRule="auto"/>
            </w:pPr>
            <w:r>
              <w:rPr>
                <w:rFonts w:ascii="Calibri" w:hAnsi="Calibri"/>
                <w:b w:val="0"/>
                <w:i w:val="0"/>
                <w:color w:val="212121"/>
                <w:sz w:val="19"/>
              </w:rPr>
              <w:t>Non-breastfed or briefly breastfed infants</w:t>
            </w:r>
          </w:p>
        </w:tc>
        <w:tc>
          <w:tcPr>
            <w:tcW w:type="dxa" w:w="4276"/>
            <w:vAlign w:val="top"/>
          </w:tcPr>
          <w:p>
            <w:pPr>
              <w:spacing w:after="60" w:line="259" w:lineRule="auto"/>
            </w:pPr>
            <w:r>
              <w:rPr>
                <w:rFonts w:ascii="Calibri" w:hAnsi="Calibri"/>
                <w:b w:val="0"/>
                <w:i w:val="0"/>
                <w:color w:val="212121"/>
                <w:sz w:val="19"/>
              </w:rPr>
              <w:t>Breast milk supplies secretory IgA, lactoferrin and other protective factors; absent or short breastfeeding removes this passive defence and is linked to more frequent and severe RSV-LRTI.</w:t>
            </w:r>
          </w:p>
          <w:p>
            <w:pPr>
              <w:spacing w:after="40" w:before="60" w:line="259" w:lineRule="auto"/>
            </w:pPr>
            <w:r>
              <w:rPr>
                <w:rFonts w:ascii="Calibri" w:hAnsi="Calibri"/>
                <w:b w:val="0"/>
                <w:i w:val="0"/>
                <w:color w:val="212121"/>
                <w:sz w:val="19"/>
              </w:rPr>
              <w:t>Lack of breastfeeding is a recognised, modifiable risk factor for RSV lower-respiratory infection and hospitalisation.</w:t>
            </w:r>
          </w:p>
          <w:p>
            <w:pPr>
              <w:spacing w:before="60" w:after="40"/>
            </w:pPr>
            <w:r>
              <w:rPr>
                <w:rFonts w:ascii="Calibri" w:hAnsi="Calibri"/>
                <w:b w:val="0"/>
                <w:i w:val="0"/>
                <w:color w:val="5A5A5A"/>
                <w:sz w:val="18"/>
              </w:rPr>
              <w:t>#breastfeeding  #secretoryIgA  #lactoferrin  #passiveimmunity  #exclusivebreastfeeding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Malnutrition</w:t>
            </w:r>
          </w:p>
        </w:tc>
        <w:tc>
          <w:tcPr>
            <w:tcW w:type="dxa" w:w="2160"/>
            <w:vAlign w:val="top"/>
          </w:tcPr>
          <w:p>
            <w:pPr>
              <w:spacing w:after="40" w:before="0" w:line="259" w:lineRule="auto"/>
            </w:pPr>
            <w:r>
              <w:rPr>
                <w:rFonts w:ascii="Calibri" w:hAnsi="Calibri"/>
                <w:b w:val="0"/>
                <w:i w:val="0"/>
                <w:color w:val="212121"/>
                <w:sz w:val="19"/>
              </w:rPr>
              <w:t>Underweight / wasted children</w:t>
            </w:r>
          </w:p>
        </w:tc>
        <w:tc>
          <w:tcPr>
            <w:tcW w:type="dxa" w:w="4276"/>
            <w:vAlign w:val="top"/>
          </w:tcPr>
          <w:p>
            <w:pPr>
              <w:spacing w:after="60" w:line="259" w:lineRule="auto"/>
            </w:pPr>
            <w:r>
              <w:rPr>
                <w:rFonts w:ascii="Calibri" w:hAnsi="Calibri"/>
                <w:b w:val="0"/>
                <w:i w:val="0"/>
                <w:color w:val="212121"/>
                <w:sz w:val="19"/>
              </w:rPr>
              <w:t>Undernutrition impairs cell-mediated and mucosal immunity and respiratory muscle strength, worsening RSV severity - a highly relevant risk in India given its child-undernutrition burden.</w:t>
            </w:r>
          </w:p>
          <w:p>
            <w:pPr>
              <w:spacing w:after="40" w:before="60" w:line="259" w:lineRule="auto"/>
            </w:pPr>
            <w:r>
              <w:rPr>
                <w:rFonts w:ascii="Calibri" w:hAnsi="Calibri"/>
                <w:b w:val="0"/>
                <w:i w:val="0"/>
                <w:color w:val="212121"/>
                <w:sz w:val="19"/>
              </w:rPr>
              <w:t>Undernutrition is a consistent determinant of severe ALRI and death in under-5 children in low-resource settings.</w:t>
            </w:r>
          </w:p>
          <w:p>
            <w:pPr>
              <w:spacing w:before="60" w:after="40"/>
            </w:pPr>
            <w:r>
              <w:rPr>
                <w:rFonts w:ascii="Calibri" w:hAnsi="Calibri"/>
                <w:b w:val="0"/>
                <w:i w:val="0"/>
                <w:color w:val="5A5A5A"/>
                <w:sz w:val="18"/>
              </w:rPr>
              <w:t>#malnutrition  #underweight  #wasting  #immunity  #NFHS5</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Family history of atopy or asthma</w:t>
            </w:r>
          </w:p>
        </w:tc>
        <w:tc>
          <w:tcPr>
            <w:tcW w:type="dxa" w:w="4276"/>
            <w:vAlign w:val="top"/>
          </w:tcPr>
          <w:p>
            <w:pPr>
              <w:spacing w:after="60" w:line="259" w:lineRule="auto"/>
            </w:pPr>
            <w:r>
              <w:rPr>
                <w:rFonts w:ascii="Calibri" w:hAnsi="Calibri"/>
                <w:b w:val="0"/>
                <w:i w:val="0"/>
                <w:color w:val="212121"/>
                <w:sz w:val="19"/>
              </w:rPr>
              <w:t>A family history of asthma/atopy predisposes to RSV-associated wheeze and to post-bronchiolitis recurrent wheeze and childhood asthma.</w:t>
            </w:r>
          </w:p>
          <w:p>
            <w:pPr>
              <w:spacing w:after="40" w:before="60" w:line="259" w:lineRule="auto"/>
            </w:pPr>
            <w:r>
              <w:rPr>
                <w:rFonts w:ascii="Calibri" w:hAnsi="Calibri"/>
                <w:b w:val="0"/>
                <w:i w:val="0"/>
                <w:color w:val="212121"/>
                <w:sz w:val="19"/>
              </w:rPr>
              <w:t>Severe RSV bronchiolitis in infancy is associated with later recurrent wheeze and asthma.</w:t>
            </w:r>
          </w:p>
          <w:p>
            <w:pPr>
              <w:spacing w:after="40" w:line="252" w:lineRule="auto"/>
            </w:pPr>
            <w:hyperlink r:id="rId16">
              <w:r>
                <w:rPr>
                  <w:rFonts w:ascii="Calibri" w:hAnsi="Calibri" w:cs="Calibri"/>
                  <w:sz w:val="18"/>
                  <w:color w:val="1155CC"/>
                  <w:u w:val="single"/>
                </w:rPr>
                <w:t xml:space="preserve">pmc.ncbi.nlm.nih.gov/PMC13008312 - RSV: from discovery to vaccines</w:t>
              </w:r>
            </w:hyperlink>
          </w:p>
          <w:p>
            <w:pPr>
              <w:spacing w:before="60" w:after="40"/>
            </w:pPr>
            <w:r>
              <w:rPr>
                <w:rFonts w:ascii="Calibri" w:hAnsi="Calibri"/>
                <w:b w:val="0"/>
                <w:i w:val="0"/>
                <w:color w:val="5A5A5A"/>
                <w:sz w:val="18"/>
              </w:rPr>
              <w:t>#atopy  #asthma  #recurrentwheeze  #familyhistory  #airwayhyperreactivity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Prematurity / birth status</w:t>
            </w:r>
          </w:p>
        </w:tc>
        <w:tc>
          <w:tcPr>
            <w:tcW w:type="dxa" w:w="2160"/>
            <w:vAlign w:val="top"/>
          </w:tcPr>
          <w:p>
            <w:pPr>
              <w:spacing w:after="40" w:before="0" w:line="259" w:lineRule="auto"/>
            </w:pPr>
            <w:r>
              <w:rPr>
                <w:rFonts w:ascii="Calibri" w:hAnsi="Calibri"/>
                <w:b w:val="0"/>
                <w:i w:val="0"/>
                <w:color w:val="212121"/>
                <w:sz w:val="19"/>
              </w:rPr>
              <w:t>Premature &amp; low-birth-weight infants</w:t>
            </w:r>
          </w:p>
        </w:tc>
        <w:tc>
          <w:tcPr>
            <w:tcW w:type="dxa" w:w="4276"/>
            <w:vAlign w:val="top"/>
          </w:tcPr>
          <w:p>
            <w:pPr>
              <w:spacing w:after="60" w:line="259" w:lineRule="auto"/>
            </w:pPr>
            <w:r>
              <w:rPr>
                <w:rFonts w:ascii="Calibri" w:hAnsi="Calibri"/>
                <w:b w:val="0"/>
                <w:i w:val="0"/>
                <w:color w:val="212121"/>
                <w:sz w:val="19"/>
              </w:rPr>
              <w:t>Preterm birth means fewer transplacental antibodies and structurally immature lungs, sharply raising the risk of severe RSV, respiratory failure and prolonged hospital stay.</w:t>
            </w:r>
          </w:p>
          <w:p>
            <w:pPr>
              <w:spacing w:after="40" w:before="60" w:line="259" w:lineRule="auto"/>
            </w:pPr>
            <w:r>
              <w:rPr>
                <w:rFonts w:ascii="Calibri" w:hAnsi="Calibri"/>
                <w:b w:val="0"/>
                <w:i w:val="0"/>
                <w:color w:val="212121"/>
                <w:sz w:val="19"/>
              </w:rPr>
              <w:t>Prematurity raised the odds of needing oxygen (OR 1.71) and of respiratory failure (OR 3.13); low birth weight raised the odds of prolonged hospitalisation (OR 2.89).</w:t>
            </w:r>
          </w:p>
          <w:p>
            <w:pPr>
              <w:spacing w:after="40" w:line="252" w:lineRule="auto"/>
            </w:pPr>
            <w:hyperlink r:id="rId15">
              <w:r>
                <w:rPr>
                  <w:rFonts w:ascii="Calibri" w:hAnsi="Calibri" w:cs="Calibri"/>
                  <w:sz w:val="18"/>
                  <w:color w:val="1155CC"/>
                  <w:u w:val="single"/>
                </w:rPr>
                <w:t xml:space="preserve">pmc.ncbi.nlm.nih.gov/PMC10458146 - risk factors for severe RSV</w:t>
              </w:r>
            </w:hyperlink>
          </w:p>
          <w:p>
            <w:pPr>
              <w:spacing w:before="60" w:after="40"/>
            </w:pPr>
            <w:r>
              <w:rPr>
                <w:rFonts w:ascii="Calibri" w:hAnsi="Calibri"/>
                <w:b w:val="0"/>
                <w:i w:val="0"/>
                <w:color w:val="5A5A5A"/>
                <w:sz w:val="18"/>
              </w:rPr>
              <w:t>#prematurity  #lowbirthweight  #respiratoryfailure  #immaturelungs  #preterm</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Chronic lung disease of prematurity (BPD)</w:t>
            </w:r>
          </w:p>
        </w:tc>
        <w:tc>
          <w:tcPr>
            <w:tcW w:type="dxa" w:w="2160"/>
            <w:vAlign w:val="top"/>
          </w:tcPr>
          <w:p>
            <w:pPr>
              <w:spacing w:after="40" w:before="0" w:line="259" w:lineRule="auto"/>
            </w:pPr>
            <w:r>
              <w:rPr>
                <w:rFonts w:ascii="Calibri" w:hAnsi="Calibri"/>
                <w:b w:val="0"/>
                <w:i w:val="0"/>
                <w:color w:val="212121"/>
                <w:sz w:val="19"/>
              </w:rPr>
              <w:t>Infants with BPD / chronic lung disease</w:t>
            </w:r>
          </w:p>
        </w:tc>
        <w:tc>
          <w:tcPr>
            <w:tcW w:type="dxa" w:w="4276"/>
            <w:vAlign w:val="top"/>
          </w:tcPr>
          <w:p>
            <w:pPr>
              <w:spacing w:after="60" w:line="259" w:lineRule="auto"/>
            </w:pPr>
            <w:r>
              <w:rPr>
                <w:rFonts w:ascii="Calibri" w:hAnsi="Calibri"/>
                <w:b w:val="0"/>
                <w:i w:val="0"/>
                <w:color w:val="212121"/>
                <w:sz w:val="19"/>
              </w:rPr>
              <w:t>Damaged, poorly compliant lungs with limited reserve tolerate RSV bronchiolitis badly, frequently needing oxygen and intensive care; these infants are priority candidates for immunoprophylaxis.</w:t>
            </w:r>
          </w:p>
          <w:p>
            <w:pPr>
              <w:spacing w:after="40" w:before="60" w:line="259" w:lineRule="auto"/>
            </w:pPr>
            <w:r>
              <w:rPr>
                <w:rFonts w:ascii="Calibri" w:hAnsi="Calibri"/>
                <w:b w:val="0"/>
                <w:i w:val="0"/>
                <w:color w:val="212121"/>
                <w:sz w:val="19"/>
              </w:rPr>
              <w:t>Chronic lung disease of prematurity is among the classic high-risk conditions for severe RSV disease.</w:t>
            </w:r>
          </w:p>
          <w:p>
            <w:pPr>
              <w:spacing w:after="40" w:line="252" w:lineRule="auto"/>
            </w:pPr>
            <w:hyperlink r:id="rId16">
              <w:r>
                <w:rPr>
                  <w:rFonts w:ascii="Calibri" w:hAnsi="Calibri" w:cs="Calibri"/>
                  <w:sz w:val="18"/>
                  <w:color w:val="1155CC"/>
                  <w:u w:val="single"/>
                </w:rPr>
                <w:t xml:space="preserve">pmc.ncbi.nlm.nih.gov/PMC13008312 - high-risk groups for severe RSV</w:t>
              </w:r>
            </w:hyperlink>
          </w:p>
          <w:p>
            <w:pPr>
              <w:spacing w:before="60" w:after="40"/>
            </w:pPr>
            <w:r>
              <w:rPr>
                <w:rFonts w:ascii="Calibri" w:hAnsi="Calibri"/>
                <w:b w:val="0"/>
                <w:i w:val="0"/>
                <w:color w:val="5A5A5A"/>
                <w:sz w:val="18"/>
              </w:rPr>
              <w:t>#BPD  #chroniclungdisease  #oxygen  #prophylaxis  #highrisk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Congenital heart disease</w:t>
            </w:r>
          </w:p>
        </w:tc>
        <w:tc>
          <w:tcPr>
            <w:tcW w:type="dxa" w:w="2160"/>
            <w:vAlign w:val="top"/>
          </w:tcPr>
          <w:p>
            <w:pPr>
              <w:spacing w:after="40" w:before="0" w:line="259" w:lineRule="auto"/>
            </w:pPr>
            <w:r>
              <w:rPr>
                <w:rFonts w:ascii="Calibri" w:hAnsi="Calibri"/>
                <w:b w:val="0"/>
                <w:i w:val="0"/>
                <w:color w:val="212121"/>
                <w:sz w:val="19"/>
              </w:rPr>
              <w:t>Infants with haemodynamically significant CHD</w:t>
            </w:r>
          </w:p>
        </w:tc>
        <w:tc>
          <w:tcPr>
            <w:tcW w:type="dxa" w:w="4276"/>
            <w:vAlign w:val="top"/>
          </w:tcPr>
          <w:p>
            <w:pPr>
              <w:spacing w:after="60" w:line="259" w:lineRule="auto"/>
            </w:pPr>
            <w:r>
              <w:rPr>
                <w:rFonts w:ascii="Calibri" w:hAnsi="Calibri"/>
                <w:b w:val="0"/>
                <w:i w:val="0"/>
                <w:color w:val="212121"/>
                <w:sz w:val="19"/>
              </w:rPr>
              <w:t>Pulmonary over-circulation and limited cardiac reserve make RSV bronchiolitis poorly tolerated, with higher rates of respiratory failure; fluid and oxygen management is more complex.</w:t>
            </w:r>
          </w:p>
          <w:p>
            <w:pPr>
              <w:spacing w:after="40" w:before="60" w:line="259" w:lineRule="auto"/>
            </w:pPr>
            <w:r>
              <w:rPr>
                <w:rFonts w:ascii="Calibri" w:hAnsi="Calibri"/>
                <w:b w:val="0"/>
                <w:i w:val="0"/>
                <w:color w:val="212121"/>
                <w:sz w:val="19"/>
              </w:rPr>
              <w:t>Haemodynamically significant congenital heart disease is a recognised indication for RSV immunoprophylaxis.</w:t>
            </w:r>
          </w:p>
          <w:p>
            <w:pPr>
              <w:spacing w:after="40" w:line="252" w:lineRule="auto"/>
            </w:pPr>
            <w:hyperlink r:id="rId16">
              <w:r>
                <w:rPr>
                  <w:rFonts w:ascii="Calibri" w:hAnsi="Calibri" w:cs="Calibri"/>
                  <w:sz w:val="18"/>
                  <w:color w:val="1155CC"/>
                  <w:u w:val="single"/>
                </w:rPr>
                <w:t xml:space="preserve">pmc.ncbi.nlm.nih.gov/PMC13008312 - high-risk groups for severe RSV</w:t>
              </w:r>
            </w:hyperlink>
          </w:p>
          <w:p>
            <w:pPr>
              <w:spacing w:before="60" w:after="40"/>
            </w:pPr>
            <w:r>
              <w:rPr>
                <w:rFonts w:ascii="Calibri" w:hAnsi="Calibri"/>
                <w:b w:val="0"/>
                <w:i w:val="0"/>
                <w:color w:val="5A5A5A"/>
                <w:sz w:val="18"/>
              </w:rPr>
              <w:t>#CHD  #congenitalheart  #pulmonaryovercirculation  #prophylaxis  #highrisk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Immunocompromise</w:t>
            </w:r>
          </w:p>
        </w:tc>
        <w:tc>
          <w:tcPr>
            <w:tcW w:type="dxa" w:w="2160"/>
            <w:vAlign w:val="top"/>
          </w:tcPr>
          <w:p>
            <w:pPr>
              <w:spacing w:after="40" w:before="0" w:line="259" w:lineRule="auto"/>
            </w:pPr>
            <w:r>
              <w:rPr>
                <w:rFonts w:ascii="Calibri" w:hAnsi="Calibri"/>
                <w:b w:val="0"/>
                <w:i w:val="0"/>
                <w:color w:val="212121"/>
                <w:sz w:val="19"/>
              </w:rPr>
              <w:t>Immunodeficient / post-transplant / on chemotherapy</w:t>
            </w:r>
          </w:p>
        </w:tc>
        <w:tc>
          <w:tcPr>
            <w:tcW w:type="dxa" w:w="4276"/>
            <w:vAlign w:val="top"/>
          </w:tcPr>
          <w:p>
            <w:pPr>
              <w:spacing w:after="60" w:line="259" w:lineRule="auto"/>
            </w:pPr>
            <w:r>
              <w:rPr>
                <w:rFonts w:ascii="Calibri" w:hAnsi="Calibri"/>
                <w:b w:val="0"/>
                <w:i w:val="0"/>
                <w:color w:val="212121"/>
                <w:sz w:val="19"/>
              </w:rPr>
              <w:t>Impaired viral clearance leads to prolonged shedding and progression to severe or fatal lower respiratory disease; these hosts also transmit RSV for longer.</w:t>
            </w:r>
          </w:p>
          <w:p>
            <w:pPr>
              <w:spacing w:after="40" w:before="60" w:line="259" w:lineRule="auto"/>
            </w:pPr>
            <w:r>
              <w:rPr>
                <w:rFonts w:ascii="Calibri" w:hAnsi="Calibri"/>
                <w:b w:val="0"/>
                <w:i w:val="0"/>
                <w:color w:val="212121"/>
                <w:sz w:val="19"/>
              </w:rPr>
              <w:t>Immunocompromised children and adults are at high risk of severe and prolonged RSV infection.</w:t>
            </w:r>
          </w:p>
          <w:p>
            <w:pPr>
              <w:spacing w:after="40" w:line="252" w:lineRule="auto"/>
            </w:pPr>
            <w:hyperlink r:id="rId16">
              <w:r>
                <w:rPr>
                  <w:rFonts w:ascii="Calibri" w:hAnsi="Calibri" w:cs="Calibri"/>
                  <w:sz w:val="18"/>
                  <w:color w:val="1155CC"/>
                  <w:u w:val="single"/>
                </w:rPr>
                <w:t xml:space="preserve">pmc.ncbi.nlm.nih.gov/PMC13008312 - RSV in immunocompromised hosts</w:t>
              </w:r>
            </w:hyperlink>
          </w:p>
          <w:p>
            <w:pPr>
              <w:spacing w:before="60" w:after="40"/>
            </w:pPr>
            <w:r>
              <w:rPr>
                <w:rFonts w:ascii="Calibri" w:hAnsi="Calibri"/>
                <w:b w:val="0"/>
                <w:i w:val="0"/>
                <w:color w:val="5A5A5A"/>
                <w:sz w:val="18"/>
              </w:rPr>
              <w:t>#immunocompromised  #transplant  #prolongedshedding  #severe  #highrisk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Down syndrome / neuromuscular disease</w:t>
            </w:r>
          </w:p>
        </w:tc>
        <w:tc>
          <w:tcPr>
            <w:tcW w:type="dxa" w:w="2160"/>
            <w:vAlign w:val="top"/>
          </w:tcPr>
          <w:p>
            <w:pPr>
              <w:spacing w:after="40" w:before="0" w:line="259" w:lineRule="auto"/>
            </w:pPr>
            <w:r>
              <w:rPr>
                <w:rFonts w:ascii="Calibri" w:hAnsi="Calibri"/>
                <w:b w:val="0"/>
                <w:i w:val="0"/>
                <w:color w:val="212121"/>
                <w:sz w:val="19"/>
              </w:rPr>
              <w:t>Children with Down syndrome or neuromuscular disorders</w:t>
            </w:r>
          </w:p>
        </w:tc>
        <w:tc>
          <w:tcPr>
            <w:tcW w:type="dxa" w:w="4276"/>
            <w:vAlign w:val="top"/>
          </w:tcPr>
          <w:p>
            <w:pPr>
              <w:spacing w:after="60" w:line="259" w:lineRule="auto"/>
            </w:pPr>
            <w:r>
              <w:rPr>
                <w:rFonts w:ascii="Calibri" w:hAnsi="Calibri"/>
                <w:b w:val="0"/>
                <w:i w:val="0"/>
                <w:color w:val="212121"/>
                <w:sz w:val="19"/>
              </w:rPr>
              <w:t>Airway hypotonia, weaker cough, aspiration risk and frequent cardiac defects increase RSV severity and the need for respiratory support.</w:t>
            </w:r>
          </w:p>
          <w:p>
            <w:pPr>
              <w:spacing w:after="40" w:before="60" w:line="259" w:lineRule="auto"/>
            </w:pPr>
            <w:r>
              <w:rPr>
                <w:rFonts w:ascii="Calibri" w:hAnsi="Calibri"/>
                <w:b w:val="0"/>
                <w:i w:val="0"/>
                <w:color w:val="212121"/>
                <w:sz w:val="19"/>
              </w:rPr>
              <w:t>Down syndrome and neuromuscular disorders are listed among conditions predisposing to severe RSV disease.</w:t>
            </w:r>
          </w:p>
          <w:p>
            <w:pPr>
              <w:spacing w:after="40" w:line="252" w:lineRule="auto"/>
            </w:pPr>
            <w:hyperlink r:id="rId16">
              <w:r>
                <w:rPr>
                  <w:rFonts w:ascii="Calibri" w:hAnsi="Calibri" w:cs="Calibri"/>
                  <w:sz w:val="18"/>
                  <w:color w:val="1155CC"/>
                  <w:u w:val="single"/>
                </w:rPr>
                <w:t xml:space="preserve">pmc.ncbi.nlm.nih.gov/PMC13008312 - high-risk groups for severe RSV</w:t>
              </w:r>
            </w:hyperlink>
          </w:p>
          <w:p>
            <w:pPr>
              <w:spacing w:before="60" w:after="40"/>
            </w:pPr>
            <w:r>
              <w:rPr>
                <w:rFonts w:ascii="Calibri" w:hAnsi="Calibri"/>
                <w:b w:val="0"/>
                <w:i w:val="0"/>
                <w:color w:val="5A5A5A"/>
                <w:sz w:val="18"/>
              </w:rPr>
              <w:t>#downsyndrome  #neuromuscular  #hypotonia  #aspiration  #highrisk</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Physical activity of the infant is not a determinant of RSV acquisition; general fitness and good ventilation support respiratory recovery, but direct preventive evidence is weak. In older adults, deconditioning and frailty worsen RSV outcomes.</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Exclusive breastfeeding supplies secretory IgA and other protective factors that lower RSV-LRTI risk and severity, while undernutrition impairs immunity and markedly worsens ALRI outcomes in Indian children.</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Overcrowded, poorly ventilated sleeping conditions facilitate transmission and are common in high-burden settings, but sleep itself is not a strong independent RSV risk factor; disturbed sleep is largely a symptom of illness.</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Second-hand tobacco smoke and indoor biomass smoke are among the strongest modifiable risk factors for severe RSV; maternal smoke exposure raised the odds of RSV pneumonia about 5-fold (OR 5.01) in hospitalised infants.</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Alcohol is not a determinant of RSV in infants; the only relevance is that caregiver intoxication may delay recognition of danger signs, and antenatal alcohol harms overall infant health.</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Caregiver anxiety or postnatal depression can delay care-seeking and reduce adherence to supportive care and prophylaxis, indirectly affecting outcomes; there is no direct effect on RSV acquisition.</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Hydration does not prevent RSV, but maintaining fluid intake is central to management because tachypnoea and poor feeding readily cause dehydration in infected infants.</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Not relevant to RSV acquisition or prevention; caffeine is used therapeutically for apnoea of prematurity, which is a separate context.</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Hand hygiene, respiratory etiquette, surface disinfection and cohorting are highly effective at reducing RSV transmission in homes, day-care and hospitals, given robust fomite and droplet spread.</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Key provoking factors are exposure during the RSV season, contact with symptomatic individuals, day-care attendance, overcrowding and household smoke - all increasing both acquisition and severity.</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Exclusive breastfeeding duration</w:t>
            </w:r>
          </w:p>
        </w:tc>
        <w:tc>
          <w:tcPr>
            <w:tcW w:type="dxa" w:w="1655"/>
            <w:vAlign w:val="top"/>
          </w:tcPr>
          <w:p>
            <w:pPr>
              <w:spacing w:after="40" w:before="0" w:line="259" w:lineRule="auto"/>
            </w:pPr>
            <w:r>
              <w:rPr>
                <w:rFonts w:ascii="Calibri" w:hAnsi="Calibri"/>
                <w:b w:val="0"/>
                <w:i w:val="0"/>
                <w:color w:val="212121"/>
                <w:sz w:val="19"/>
              </w:rPr>
              <w:t>Infants 0-6 months</w:t>
            </w:r>
          </w:p>
        </w:tc>
        <w:tc>
          <w:tcPr>
            <w:tcW w:type="dxa" w:w="1512"/>
            <w:vAlign w:val="top"/>
          </w:tcPr>
          <w:p>
            <w:pPr>
              <w:spacing w:after="40" w:before="0" w:line="259" w:lineRule="auto"/>
            </w:pPr>
            <w:r>
              <w:rPr>
                <w:rFonts w:ascii="Calibri" w:hAnsi="Calibri"/>
                <w:b w:val="0"/>
                <w:i w:val="0"/>
                <w:color w:val="212121"/>
                <w:sz w:val="19"/>
              </w:rPr>
              <w:t>&gt;= 6 months exclusive</w:t>
            </w:r>
          </w:p>
        </w:tc>
        <w:tc>
          <w:tcPr>
            <w:tcW w:type="dxa" w:w="1512"/>
            <w:vAlign w:val="top"/>
          </w:tcPr>
          <w:p>
            <w:pPr>
              <w:spacing w:after="40" w:before="0" w:line="259" w:lineRule="auto"/>
            </w:pPr>
            <w:r>
              <w:rPr>
                <w:rFonts w:ascii="Calibri" w:hAnsi="Calibri"/>
                <w:b w:val="0"/>
                <w:i w:val="0"/>
                <w:color w:val="212121"/>
                <w:sz w:val="19"/>
              </w:rPr>
              <w:t>&lt; 4 months or never breastfed</w:t>
            </w:r>
          </w:p>
        </w:tc>
        <w:tc>
          <w:tcPr>
            <w:tcW w:type="dxa" w:w="1468"/>
            <w:vAlign w:val="top"/>
          </w:tcPr>
          <w:p>
            <w:pPr>
              <w:spacing w:after="40" w:before="0" w:line="259" w:lineRule="auto"/>
            </w:pPr>
            <w:r>
              <w:rPr>
                <w:rFonts w:ascii="Calibri" w:hAnsi="Calibri"/>
                <w:b w:val="0"/>
                <w:i w:val="0"/>
                <w:color w:val="212121"/>
                <w:sz w:val="19"/>
              </w:rPr>
              <w:t>Breast-milk secretory IgA lowers RSV-LRTI risk and severity</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Weight-for-age (WHO Z-score)</w:t>
            </w:r>
          </w:p>
        </w:tc>
        <w:tc>
          <w:tcPr>
            <w:tcW w:type="dxa" w:w="1655"/>
            <w:vAlign w:val="top"/>
          </w:tcPr>
          <w:p>
            <w:pPr>
              <w:spacing w:after="40" w:before="0" w:line="259" w:lineRule="auto"/>
            </w:pPr>
            <w:r>
              <w:rPr>
                <w:rFonts w:ascii="Calibri" w:hAnsi="Calibri"/>
                <w:b w:val="0"/>
                <w:i w:val="0"/>
                <w:color w:val="212121"/>
                <w:sz w:val="19"/>
              </w:rPr>
              <w:t>Under-5 children</w:t>
            </w:r>
          </w:p>
        </w:tc>
        <w:tc>
          <w:tcPr>
            <w:tcW w:type="dxa" w:w="1512"/>
            <w:vAlign w:val="top"/>
          </w:tcPr>
          <w:p>
            <w:pPr>
              <w:spacing w:after="40" w:before="0" w:line="259" w:lineRule="auto"/>
            </w:pPr>
            <w:r>
              <w:rPr>
                <w:rFonts w:ascii="Calibri" w:hAnsi="Calibri"/>
                <w:b w:val="0"/>
                <w:i w:val="0"/>
                <w:color w:val="212121"/>
                <w:sz w:val="19"/>
              </w:rPr>
              <w:t>&gt;= -2 SD (normal)</w:t>
            </w:r>
          </w:p>
        </w:tc>
        <w:tc>
          <w:tcPr>
            <w:tcW w:type="dxa" w:w="1512"/>
            <w:vAlign w:val="top"/>
          </w:tcPr>
          <w:p>
            <w:pPr>
              <w:spacing w:after="40" w:before="0" w:line="259" w:lineRule="auto"/>
            </w:pPr>
            <w:r>
              <w:rPr>
                <w:rFonts w:ascii="Calibri" w:hAnsi="Calibri"/>
                <w:b w:val="0"/>
                <w:i w:val="0"/>
                <w:color w:val="212121"/>
                <w:sz w:val="19"/>
              </w:rPr>
              <w:t>&lt; -2 SD (underweight / wasting)</w:t>
            </w:r>
          </w:p>
        </w:tc>
        <w:tc>
          <w:tcPr>
            <w:tcW w:type="dxa" w:w="1468"/>
            <w:vAlign w:val="top"/>
          </w:tcPr>
          <w:p>
            <w:pPr>
              <w:spacing w:after="40" w:before="0" w:line="259" w:lineRule="auto"/>
            </w:pPr>
            <w:r>
              <w:rPr>
                <w:rFonts w:ascii="Calibri" w:hAnsi="Calibri"/>
                <w:b w:val="0"/>
                <w:i w:val="0"/>
                <w:color w:val="212121"/>
                <w:sz w:val="19"/>
              </w:rPr>
              <w:t>Undernutrition impairs immunity and worsens RSV outcomes</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25-hydroxyvitamin D</w:t>
            </w:r>
          </w:p>
        </w:tc>
        <w:tc>
          <w:tcPr>
            <w:tcW w:type="dxa" w:w="1655"/>
            <w:vAlign w:val="top"/>
          </w:tcPr>
          <w:p>
            <w:pPr>
              <w:spacing w:after="40" w:before="0" w:line="259" w:lineRule="auto"/>
            </w:pPr>
            <w:r>
              <w:rPr>
                <w:rFonts w:ascii="Calibri" w:hAnsi="Calibri"/>
                <w:b w:val="0"/>
                <w:i w:val="0"/>
                <w:color w:val="212121"/>
                <w:sz w:val="19"/>
              </w:rPr>
              <w:t>Infants / young children</w:t>
            </w:r>
          </w:p>
        </w:tc>
        <w:tc>
          <w:tcPr>
            <w:tcW w:type="dxa" w:w="1512"/>
            <w:vAlign w:val="top"/>
          </w:tcPr>
          <w:p>
            <w:pPr>
              <w:spacing w:after="40" w:before="0" w:line="259" w:lineRule="auto"/>
            </w:pPr>
            <w:r>
              <w:rPr>
                <w:rFonts w:ascii="Calibri" w:hAnsi="Calibri"/>
                <w:b w:val="0"/>
                <w:i w:val="0"/>
                <w:color w:val="212121"/>
                <w:sz w:val="19"/>
              </w:rPr>
              <w:t>&gt;= 20 ng/mL</w:t>
            </w:r>
          </w:p>
        </w:tc>
        <w:tc>
          <w:tcPr>
            <w:tcW w:type="dxa" w:w="1512"/>
            <w:vAlign w:val="top"/>
          </w:tcPr>
          <w:p>
            <w:pPr>
              <w:spacing w:after="40" w:before="0" w:line="259" w:lineRule="auto"/>
            </w:pPr>
            <w:r>
              <w:rPr>
                <w:rFonts w:ascii="Calibri" w:hAnsi="Calibri"/>
                <w:b w:val="0"/>
                <w:i w:val="0"/>
                <w:color w:val="212121"/>
                <w:sz w:val="19"/>
              </w:rPr>
              <w:t>&lt; 20 ng/mL (deficiency)</w:t>
            </w:r>
          </w:p>
        </w:tc>
        <w:tc>
          <w:tcPr>
            <w:tcW w:type="dxa" w:w="1468"/>
            <w:vAlign w:val="top"/>
          </w:tcPr>
          <w:p>
            <w:pPr>
              <w:spacing w:after="40" w:before="0" w:line="259" w:lineRule="auto"/>
            </w:pPr>
            <w:r>
              <w:rPr>
                <w:rFonts w:ascii="Calibri" w:hAnsi="Calibri"/>
                <w:b w:val="0"/>
                <w:i w:val="0"/>
                <w:color w:val="212121"/>
                <w:sz w:val="19"/>
              </w:rPr>
              <w:t>Vitamin D deficiency has been linked to more severe bronchiolitis (association only)</w:t>
            </w:r>
          </w:p>
        </w:tc>
      </w:tr>
      <w:tr>
        <w:trPr>
          <w:cantSplit/>
        </w:trPr>
        <w:tc>
          <w:tcPr>
            <w:tcW w:type="dxa" w:w="1512"/>
            <w:vMerge w:val="restart"/>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Household tobacco smoke exposure</w:t>
            </w:r>
          </w:p>
        </w:tc>
        <w:tc>
          <w:tcPr>
            <w:tcW w:type="dxa" w:w="1655"/>
            <w:vAlign w:val="top"/>
          </w:tcPr>
          <w:p>
            <w:pPr>
              <w:spacing w:after="40" w:before="0" w:line="259" w:lineRule="auto"/>
            </w:pPr>
            <w:r>
              <w:rPr>
                <w:rFonts w:ascii="Calibri" w:hAnsi="Calibri"/>
                <w:b w:val="0"/>
                <w:i w:val="0"/>
                <w:color w:val="212121"/>
                <w:sz w:val="19"/>
              </w:rPr>
              <w:t>Infants at home</w:t>
            </w:r>
          </w:p>
        </w:tc>
        <w:tc>
          <w:tcPr>
            <w:tcW w:type="dxa" w:w="1512"/>
            <w:vAlign w:val="top"/>
          </w:tcPr>
          <w:p>
            <w:pPr>
              <w:spacing w:after="40" w:before="0" w:line="259" w:lineRule="auto"/>
            </w:pPr>
            <w:r>
              <w:rPr>
                <w:rFonts w:ascii="Calibri" w:hAnsi="Calibri"/>
                <w:b w:val="0"/>
                <w:i w:val="0"/>
                <w:color w:val="212121"/>
                <w:sz w:val="19"/>
              </w:rPr>
              <w:t>0 household smokers</w:t>
            </w:r>
          </w:p>
        </w:tc>
        <w:tc>
          <w:tcPr>
            <w:tcW w:type="dxa" w:w="1512"/>
            <w:vAlign w:val="top"/>
          </w:tcPr>
          <w:p>
            <w:pPr>
              <w:spacing w:after="40" w:before="0" w:line="259" w:lineRule="auto"/>
            </w:pPr>
            <w:r>
              <w:rPr>
                <w:rFonts w:ascii="Calibri" w:hAnsi="Calibri"/>
                <w:b w:val="0"/>
                <w:i w:val="0"/>
                <w:color w:val="212121"/>
                <w:sz w:val="19"/>
              </w:rPr>
              <w:t>&gt;= 1 smoker / any second-hand smoke</w:t>
            </w:r>
          </w:p>
        </w:tc>
        <w:tc>
          <w:tcPr>
            <w:tcW w:type="dxa" w:w="1468"/>
            <w:vAlign w:val="top"/>
          </w:tcPr>
          <w:p>
            <w:pPr>
              <w:spacing w:after="60" w:line="259" w:lineRule="auto"/>
            </w:pPr>
            <w:r>
              <w:rPr>
                <w:rFonts w:ascii="Calibri" w:hAnsi="Calibri"/>
                <w:b w:val="0"/>
                <w:i w:val="0"/>
                <w:color w:val="212121"/>
                <w:sz w:val="19"/>
              </w:rPr>
              <w:t>Passive smoke sharply raises severe RSV; maternal smoke OR ~5 for pneumonia</w:t>
            </w:r>
          </w:p>
          <w:p>
            <w:pPr>
              <w:spacing w:after="40" w:line="252" w:lineRule="auto"/>
            </w:pPr>
            <w:hyperlink r:id="rId15">
              <w:r>
                <w:rPr>
                  <w:rFonts w:ascii="Calibri" w:hAnsi="Calibri" w:cs="Calibri"/>
                  <w:sz w:val="18"/>
                  <w:color w:val="1155CC"/>
                  <w:u w:val="single"/>
                </w:rPr>
                <w:t xml:space="preserve">https://pmc.ncbi.nlm.nih.gov/articles/PMC10458146/</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Antenatal / indoor biomass smoke</w:t>
            </w:r>
          </w:p>
        </w:tc>
        <w:tc>
          <w:tcPr>
            <w:tcW w:type="dxa" w:w="1655"/>
            <w:vAlign w:val="top"/>
          </w:tcPr>
          <w:p>
            <w:pPr>
              <w:spacing w:after="40" w:before="0" w:line="259" w:lineRule="auto"/>
            </w:pPr>
            <w:r>
              <w:rPr>
                <w:rFonts w:ascii="Calibri" w:hAnsi="Calibri"/>
                <w:b w:val="0"/>
                <w:i w:val="0"/>
                <w:color w:val="212121"/>
                <w:sz w:val="19"/>
              </w:rPr>
              <w:t>Pregnancy &amp; infancy</w:t>
            </w:r>
          </w:p>
        </w:tc>
        <w:tc>
          <w:tcPr>
            <w:tcW w:type="dxa" w:w="1512"/>
            <w:vAlign w:val="top"/>
          </w:tcPr>
          <w:p>
            <w:pPr>
              <w:spacing w:after="40" w:before="0" w:line="259" w:lineRule="auto"/>
            </w:pPr>
            <w:r>
              <w:rPr>
                <w:rFonts w:ascii="Calibri" w:hAnsi="Calibri"/>
                <w:b w:val="0"/>
                <w:i w:val="0"/>
                <w:color w:val="212121"/>
                <w:sz w:val="19"/>
              </w:rPr>
              <w:t>No smoke exposure</w:t>
            </w:r>
          </w:p>
        </w:tc>
        <w:tc>
          <w:tcPr>
            <w:tcW w:type="dxa" w:w="1512"/>
            <w:vAlign w:val="top"/>
          </w:tcPr>
          <w:p>
            <w:pPr>
              <w:spacing w:after="40" w:before="0" w:line="259" w:lineRule="auto"/>
            </w:pPr>
            <w:r>
              <w:rPr>
                <w:rFonts w:ascii="Calibri" w:hAnsi="Calibri"/>
                <w:b w:val="0"/>
                <w:i w:val="0"/>
                <w:color w:val="212121"/>
                <w:sz w:val="19"/>
              </w:rPr>
              <w:t>Any solid-fuel/biomass smoke or antenatal smoking</w:t>
            </w:r>
          </w:p>
        </w:tc>
        <w:tc>
          <w:tcPr>
            <w:tcW w:type="dxa" w:w="1468"/>
            <w:vAlign w:val="top"/>
          </w:tcPr>
          <w:p>
            <w:pPr>
              <w:spacing w:after="60" w:line="259" w:lineRule="auto"/>
            </w:pPr>
            <w:r>
              <w:rPr>
                <w:rFonts w:ascii="Calibri" w:hAnsi="Calibri"/>
                <w:b w:val="0"/>
                <w:i w:val="0"/>
                <w:color w:val="212121"/>
                <w:sz w:val="19"/>
              </w:rPr>
              <w:t>Prenatal and indoor air pollution increase RSV severity</w:t>
            </w:r>
          </w:p>
          <w:p>
            <w:pPr>
              <w:spacing w:after="40" w:line="252" w:lineRule="auto"/>
            </w:pPr>
            <w:hyperlink r:id="rId15">
              <w:r>
                <w:rPr>
                  <w:rFonts w:ascii="Calibri" w:hAnsi="Calibri" w:cs="Calibri"/>
                  <w:sz w:val="18"/>
                  <w:color w:val="1155CC"/>
                  <w:u w:val="single"/>
                </w:rPr>
                <w:t xml:space="preserve">https://pmc.ncbi.nlm.nih.gov/articles/PMC10458146/</w:t>
              </w:r>
            </w:hyperlink>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Caregiver hand hygiene</w:t>
            </w:r>
          </w:p>
        </w:tc>
        <w:tc>
          <w:tcPr>
            <w:tcW w:type="dxa" w:w="1655"/>
            <w:vAlign w:val="top"/>
          </w:tcPr>
          <w:p>
            <w:pPr>
              <w:spacing w:after="40" w:before="0" w:line="259" w:lineRule="auto"/>
            </w:pPr>
            <w:r>
              <w:rPr>
                <w:rFonts w:ascii="Calibri" w:hAnsi="Calibri"/>
                <w:b w:val="0"/>
                <w:i w:val="0"/>
                <w:color w:val="212121"/>
                <w:sz w:val="19"/>
              </w:rPr>
              <w:t>Household contacts</w:t>
            </w:r>
          </w:p>
        </w:tc>
        <w:tc>
          <w:tcPr>
            <w:tcW w:type="dxa" w:w="1512"/>
            <w:vAlign w:val="top"/>
          </w:tcPr>
          <w:p>
            <w:pPr>
              <w:spacing w:after="40" w:before="0" w:line="259" w:lineRule="auto"/>
            </w:pPr>
            <w:r>
              <w:rPr>
                <w:rFonts w:ascii="Calibri" w:hAnsi="Calibri"/>
                <w:b w:val="0"/>
                <w:i w:val="0"/>
                <w:color w:val="212121"/>
                <w:sz w:val="19"/>
              </w:rPr>
              <w:t>Hand-wash before feeding/handling infant</w:t>
            </w:r>
          </w:p>
        </w:tc>
        <w:tc>
          <w:tcPr>
            <w:tcW w:type="dxa" w:w="1512"/>
            <w:vAlign w:val="top"/>
          </w:tcPr>
          <w:p>
            <w:pPr>
              <w:spacing w:after="40" w:before="0" w:line="259" w:lineRule="auto"/>
            </w:pPr>
            <w:r>
              <w:rPr>
                <w:rFonts w:ascii="Calibri" w:hAnsi="Calibri"/>
                <w:b w:val="0"/>
                <w:i w:val="0"/>
                <w:color w:val="212121"/>
                <w:sz w:val="19"/>
              </w:rPr>
              <w:t>Infrequent handwashing / no surface cleaning</w:t>
            </w:r>
          </w:p>
        </w:tc>
        <w:tc>
          <w:tcPr>
            <w:tcW w:type="dxa" w:w="1468"/>
            <w:vAlign w:val="top"/>
          </w:tcPr>
          <w:p>
            <w:pPr>
              <w:spacing w:after="40" w:before="0" w:line="259" w:lineRule="auto"/>
            </w:pPr>
            <w:r>
              <w:rPr>
                <w:rFonts w:ascii="Calibri" w:hAnsi="Calibri"/>
                <w:b w:val="0"/>
                <w:i w:val="0"/>
                <w:color w:val="212121"/>
                <w:sz w:val="19"/>
              </w:rPr>
              <w:t>Hand hygiene and surface disinfection cut RSV transmission</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Day-care attendance / crowding</w:t>
            </w:r>
          </w:p>
        </w:tc>
        <w:tc>
          <w:tcPr>
            <w:tcW w:type="dxa" w:w="1655"/>
            <w:vAlign w:val="top"/>
          </w:tcPr>
          <w:p>
            <w:pPr>
              <w:spacing w:after="40" w:before="0" w:line="259" w:lineRule="auto"/>
            </w:pPr>
            <w:r>
              <w:rPr>
                <w:rFonts w:ascii="Calibri" w:hAnsi="Calibri"/>
                <w:b w:val="0"/>
                <w:i w:val="0"/>
                <w:color w:val="212121"/>
                <w:sz w:val="19"/>
              </w:rPr>
              <w:t>Infants &amp; toddlers</w:t>
            </w:r>
          </w:p>
        </w:tc>
        <w:tc>
          <w:tcPr>
            <w:tcW w:type="dxa" w:w="1512"/>
            <w:vAlign w:val="top"/>
          </w:tcPr>
          <w:p>
            <w:pPr>
              <w:spacing w:after="40" w:before="0" w:line="259" w:lineRule="auto"/>
            </w:pPr>
            <w:r>
              <w:rPr>
                <w:rFonts w:ascii="Calibri" w:hAnsi="Calibri"/>
                <w:b w:val="0"/>
                <w:i w:val="0"/>
                <w:color w:val="212121"/>
                <w:sz w:val="19"/>
              </w:rPr>
              <w:t>Home care, low household density</w:t>
            </w:r>
          </w:p>
        </w:tc>
        <w:tc>
          <w:tcPr>
            <w:tcW w:type="dxa" w:w="1512"/>
            <w:vAlign w:val="top"/>
          </w:tcPr>
          <w:p>
            <w:pPr>
              <w:spacing w:after="40" w:before="0" w:line="259" w:lineRule="auto"/>
            </w:pPr>
            <w:r>
              <w:rPr>
                <w:rFonts w:ascii="Calibri" w:hAnsi="Calibri"/>
                <w:b w:val="0"/>
                <w:i w:val="0"/>
                <w:color w:val="212121"/>
                <w:sz w:val="19"/>
              </w:rPr>
              <w:t>Day-care or overcrowded household</w:t>
            </w:r>
          </w:p>
        </w:tc>
        <w:tc>
          <w:tcPr>
            <w:tcW w:type="dxa" w:w="1468"/>
            <w:vAlign w:val="top"/>
          </w:tcPr>
          <w:p>
            <w:pPr>
              <w:spacing w:after="40" w:before="0" w:line="259" w:lineRule="auto"/>
            </w:pPr>
            <w:r>
              <w:rPr>
                <w:rFonts w:ascii="Calibri" w:hAnsi="Calibri"/>
                <w:b w:val="0"/>
                <w:i w:val="0"/>
                <w:color w:val="212121"/>
                <w:sz w:val="19"/>
              </w:rPr>
              <w:t>Crowding and day-care raise exposure to RSV</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Age entering first RSV season</w:t>
            </w:r>
          </w:p>
        </w:tc>
        <w:tc>
          <w:tcPr>
            <w:tcW w:type="dxa" w:w="1655"/>
            <w:vAlign w:val="top"/>
          </w:tcPr>
          <w:p>
            <w:pPr>
              <w:spacing w:after="40" w:before="0" w:line="259" w:lineRule="auto"/>
            </w:pPr>
            <w:r>
              <w:rPr>
                <w:rFonts w:ascii="Calibri" w:hAnsi="Calibri"/>
                <w:b w:val="0"/>
                <w:i w:val="0"/>
                <w:color w:val="212121"/>
                <w:sz w:val="19"/>
              </w:rPr>
              <w:t>Newborns</w:t>
            </w:r>
          </w:p>
        </w:tc>
        <w:tc>
          <w:tcPr>
            <w:tcW w:type="dxa" w:w="1512"/>
            <w:vAlign w:val="top"/>
          </w:tcPr>
          <w:p>
            <w:pPr>
              <w:spacing w:after="40" w:before="0" w:line="259" w:lineRule="auto"/>
            </w:pPr>
            <w:r>
              <w:rPr>
                <w:rFonts w:ascii="Calibri" w:hAnsi="Calibri"/>
                <w:b w:val="0"/>
                <w:i w:val="0"/>
                <w:color w:val="212121"/>
                <w:sz w:val="19"/>
              </w:rPr>
              <w:t>Born after the seasonal peak</w:t>
            </w:r>
          </w:p>
        </w:tc>
        <w:tc>
          <w:tcPr>
            <w:tcW w:type="dxa" w:w="1512"/>
            <w:vAlign w:val="top"/>
          </w:tcPr>
          <w:p>
            <w:pPr>
              <w:spacing w:after="40" w:before="0" w:line="259" w:lineRule="auto"/>
            </w:pPr>
            <w:r>
              <w:rPr>
                <w:rFonts w:ascii="Calibri" w:hAnsi="Calibri"/>
                <w:b w:val="0"/>
                <w:i w:val="0"/>
                <w:color w:val="212121"/>
                <w:sz w:val="19"/>
              </w:rPr>
              <w:t>&lt; 3-6 months old during peak season</w:t>
            </w:r>
          </w:p>
        </w:tc>
        <w:tc>
          <w:tcPr>
            <w:tcW w:type="dxa" w:w="1468"/>
            <w:vAlign w:val="top"/>
          </w:tcPr>
          <w:p>
            <w:pPr>
              <w:spacing w:after="60" w:line="259" w:lineRule="auto"/>
            </w:pPr>
            <w:r>
              <w:rPr>
                <w:rFonts w:ascii="Calibri" w:hAnsi="Calibri"/>
                <w:b w:val="0"/>
                <w:i w:val="0"/>
                <w:color w:val="212121"/>
                <w:sz w:val="19"/>
              </w:rPr>
              <w:t>Young age at first RSV season is a key severity risk</w:t>
            </w:r>
          </w:p>
          <w:p>
            <w:pPr>
              <w:spacing w:after="40" w:line="252" w:lineRule="auto"/>
            </w:pPr>
            <w:hyperlink r:id="rId9">
              <w:r>
                <w:rPr>
                  <w:rFonts w:ascii="Calibri" w:hAnsi="Calibri" w:cs="Calibri"/>
                  <w:sz w:val="18"/>
                  <w:color w:val="1155CC"/>
                  <w:u w:val="single"/>
                </w:rPr>
                <w:t xml:space="preserve">https://pmc.ncbi.nlm.nih.gov/articles/PMC13037220/</w:t>
              </w:r>
            </w:hyperlink>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Home ventilation / fresh-air exposure</w:t>
            </w:r>
          </w:p>
        </w:tc>
        <w:tc>
          <w:tcPr>
            <w:tcW w:type="dxa" w:w="1655"/>
            <w:vAlign w:val="top"/>
          </w:tcPr>
          <w:p>
            <w:pPr>
              <w:spacing w:after="40" w:before="0" w:line="259" w:lineRule="auto"/>
            </w:pPr>
            <w:r>
              <w:rPr>
                <w:rFonts w:ascii="Calibri" w:hAnsi="Calibri"/>
                <w:b w:val="0"/>
                <w:i w:val="0"/>
                <w:color w:val="212121"/>
                <w:sz w:val="19"/>
              </w:rPr>
              <w:t>Household</w:t>
            </w:r>
          </w:p>
        </w:tc>
        <w:tc>
          <w:tcPr>
            <w:tcW w:type="dxa" w:w="1512"/>
            <w:vAlign w:val="top"/>
          </w:tcPr>
          <w:p>
            <w:pPr>
              <w:spacing w:after="40" w:before="0" w:line="259" w:lineRule="auto"/>
            </w:pPr>
            <w:r>
              <w:rPr>
                <w:rFonts w:ascii="Calibri" w:hAnsi="Calibri"/>
                <w:b w:val="0"/>
                <w:i w:val="0"/>
                <w:color w:val="212121"/>
                <w:sz w:val="19"/>
              </w:rPr>
              <w:t>Well-ventilated, smoke-free home</w:t>
            </w:r>
          </w:p>
        </w:tc>
        <w:tc>
          <w:tcPr>
            <w:tcW w:type="dxa" w:w="1512"/>
            <w:vAlign w:val="top"/>
          </w:tcPr>
          <w:p>
            <w:pPr>
              <w:spacing w:after="40" w:before="0" w:line="259" w:lineRule="auto"/>
            </w:pPr>
            <w:r>
              <w:rPr>
                <w:rFonts w:ascii="Calibri" w:hAnsi="Calibri"/>
                <w:b w:val="0"/>
                <w:i w:val="0"/>
                <w:color w:val="212121"/>
                <w:sz w:val="19"/>
              </w:rPr>
              <w:t>Poorly ventilated, crowded, smoky room</w:t>
            </w:r>
          </w:p>
        </w:tc>
        <w:tc>
          <w:tcPr>
            <w:tcW w:type="dxa" w:w="1468"/>
            <w:vAlign w:val="top"/>
          </w:tcPr>
          <w:p>
            <w:pPr>
              <w:spacing w:after="40" w:before="0" w:line="259" w:lineRule="auto"/>
            </w:pPr>
            <w:r>
              <w:rPr>
                <w:rFonts w:ascii="Calibri" w:hAnsi="Calibri"/>
                <w:b w:val="0"/>
                <w:i w:val="0"/>
                <w:color w:val="212121"/>
                <w:sz w:val="19"/>
              </w:rPr>
              <w:t>Ventilation lowers droplet and fomite viral load (supportive)</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Molecular</w:t>
            </w:r>
          </w:p>
        </w:tc>
        <w:tc>
          <w:tcPr>
            <w:tcW w:type="dxa" w:w="1036"/>
            <w:vAlign w:val="top"/>
          </w:tcPr>
          <w:p>
            <w:pPr>
              <w:spacing w:after="40" w:before="0" w:line="259" w:lineRule="auto"/>
            </w:pPr>
            <w:r>
              <w:rPr>
                <w:rFonts w:ascii="Calibri" w:hAnsi="Calibri"/>
                <w:b w:val="0"/>
                <w:i w:val="0"/>
                <w:color w:val="212121"/>
                <w:sz w:val="16"/>
              </w:rPr>
              <w:t>RSV RT-PCR (nasopharyngeal swab/aspirate)</w:t>
            </w:r>
          </w:p>
        </w:tc>
        <w:tc>
          <w:tcPr>
            <w:tcW w:type="dxa" w:w="892"/>
            <w:vAlign w:val="top"/>
          </w:tcPr>
          <w:p>
            <w:pPr>
              <w:spacing w:after="40" w:before="0" w:line="259" w:lineRule="auto"/>
            </w:pPr>
            <w:r>
              <w:rPr>
                <w:rFonts w:ascii="Calibri" w:hAnsi="Calibri"/>
                <w:b w:val="0"/>
                <w:i w:val="0"/>
                <w:color w:val="212121"/>
                <w:sz w:val="16"/>
              </w:rPr>
              <w:t>Multiplex Respiratory Panel PCR</w:t>
            </w:r>
          </w:p>
        </w:tc>
        <w:tc>
          <w:tcPr>
            <w:tcW w:type="dxa" w:w="950"/>
            <w:vAlign w:val="top"/>
          </w:tcPr>
          <w:p>
            <w:pPr>
              <w:spacing w:after="40" w:before="0" w:line="259" w:lineRule="auto"/>
            </w:pPr>
            <w:r>
              <w:rPr>
                <w:rFonts w:ascii="Calibri" w:hAnsi="Calibri"/>
                <w:b w:val="0"/>
                <w:i w:val="0"/>
                <w:color w:val="212121"/>
                <w:sz w:val="16"/>
              </w:rPr>
              <w:t>RSV RNA not detected</w:t>
            </w:r>
          </w:p>
        </w:tc>
        <w:tc>
          <w:tcPr>
            <w:tcW w:type="dxa" w:w="950"/>
            <w:vAlign w:val="top"/>
          </w:tcPr>
          <w:p>
            <w:pPr>
              <w:spacing w:after="40" w:before="0" w:line="259" w:lineRule="auto"/>
            </w:pPr>
            <w:r>
              <w:rPr>
                <w:rFonts w:ascii="Calibri" w:hAnsi="Calibri"/>
                <w:b w:val="0"/>
                <w:i w:val="0"/>
                <w:color w:val="212121"/>
                <w:sz w:val="16"/>
              </w:rPr>
              <w:t>RSV RNA detected (RSV-A or RSV-B)</w:t>
            </w:r>
          </w:p>
        </w:tc>
        <w:tc>
          <w:tcPr>
            <w:tcW w:type="dxa" w:w="1036"/>
            <w:vAlign w:val="top"/>
          </w:tcPr>
          <w:p>
            <w:pPr>
              <w:spacing w:after="40" w:before="0" w:line="259" w:lineRule="auto"/>
            </w:pPr>
            <w:r>
              <w:rPr>
                <w:rFonts w:ascii="Calibri" w:hAnsi="Calibri"/>
                <w:b w:val="0"/>
                <w:i w:val="0"/>
                <w:color w:val="212121"/>
                <w:sz w:val="16"/>
              </w:rPr>
              <w:t>Gold standard; most sensitive, subtypes RSV-A/B and detects viral/bacterial co-infection</w:t>
            </w:r>
          </w:p>
        </w:tc>
        <w:tc>
          <w:tcPr>
            <w:tcW w:type="dxa" w:w="1036"/>
            <w:vAlign w:val="top"/>
          </w:tcPr>
          <w:p>
            <w:pPr>
              <w:spacing w:after="40" w:before="0" w:line="259" w:lineRule="auto"/>
            </w:pPr>
            <w:r>
              <w:rPr>
                <w:rFonts w:ascii="Calibri" w:hAnsi="Calibri"/>
                <w:b w:val="0"/>
                <w:i w:val="0"/>
                <w:color w:val="212121"/>
                <w:sz w:val="16"/>
              </w:rPr>
              <w:t>Hospitalised infants, severe ARI/SARI, immunocompromised</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Best yield from nasopharyngeal aspirate/deep swab</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Antigen</w:t>
            </w:r>
          </w:p>
        </w:tc>
        <w:tc>
          <w:tcPr>
            <w:tcW w:type="dxa" w:w="1036"/>
            <w:vAlign w:val="top"/>
          </w:tcPr>
          <w:p>
            <w:pPr>
              <w:spacing w:after="40" w:before="0" w:line="259" w:lineRule="auto"/>
            </w:pPr>
            <w:r>
              <w:rPr>
                <w:rFonts w:ascii="Calibri" w:hAnsi="Calibri"/>
                <w:b w:val="0"/>
                <w:i w:val="0"/>
                <w:color w:val="212121"/>
                <w:sz w:val="16"/>
              </w:rPr>
              <w:t>RSV rapid antigen detection test</w:t>
            </w:r>
          </w:p>
        </w:tc>
        <w:tc>
          <w:tcPr>
            <w:tcW w:type="dxa" w:w="892"/>
            <w:vAlign w:val="top"/>
          </w:tcPr>
          <w:p>
            <w:pPr>
              <w:spacing w:after="40" w:before="0" w:line="259" w:lineRule="auto"/>
            </w:pPr>
            <w:r>
              <w:rPr>
                <w:rFonts w:ascii="Calibri" w:hAnsi="Calibri"/>
                <w:b w:val="0"/>
                <w:i w:val="0"/>
                <w:color w:val="212121"/>
                <w:sz w:val="16"/>
              </w:rPr>
              <w:t>Immunochromatographic assay</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 for RSV antigen</w:t>
            </w:r>
          </w:p>
        </w:tc>
        <w:tc>
          <w:tcPr>
            <w:tcW w:type="dxa" w:w="1036"/>
            <w:vAlign w:val="top"/>
          </w:tcPr>
          <w:p>
            <w:pPr>
              <w:spacing w:after="40" w:before="0" w:line="259" w:lineRule="auto"/>
            </w:pPr>
            <w:r>
              <w:rPr>
                <w:rFonts w:ascii="Calibri" w:hAnsi="Calibri"/>
                <w:b w:val="0"/>
                <w:i w:val="0"/>
                <w:color w:val="212121"/>
                <w:sz w:val="16"/>
              </w:rPr>
              <w:t>Rapid bedside result; good sensitivity in infants, lower in older children/adults</w:t>
            </w:r>
          </w:p>
        </w:tc>
        <w:tc>
          <w:tcPr>
            <w:tcW w:type="dxa" w:w="1036"/>
            <w:vAlign w:val="top"/>
          </w:tcPr>
          <w:p>
            <w:pPr>
              <w:spacing w:after="40" w:before="0" w:line="259" w:lineRule="auto"/>
            </w:pPr>
            <w:r>
              <w:rPr>
                <w:rFonts w:ascii="Calibri" w:hAnsi="Calibri"/>
                <w:b w:val="0"/>
                <w:i w:val="0"/>
                <w:color w:val="212121"/>
                <w:sz w:val="16"/>
              </w:rPr>
              <w:t>Young children in season, outpatient/ED</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Confirm with PCR if negative but clinically suspected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Immunofluorescence</w:t>
            </w:r>
          </w:p>
        </w:tc>
        <w:tc>
          <w:tcPr>
            <w:tcW w:type="dxa" w:w="1036"/>
            <w:vAlign w:val="top"/>
          </w:tcPr>
          <w:p>
            <w:pPr>
              <w:spacing w:after="40" w:before="0" w:line="259" w:lineRule="auto"/>
            </w:pPr>
            <w:r>
              <w:rPr>
                <w:rFonts w:ascii="Calibri" w:hAnsi="Calibri"/>
                <w:b w:val="0"/>
                <w:i w:val="0"/>
                <w:color w:val="212121"/>
                <w:sz w:val="16"/>
              </w:rPr>
              <w:t>Direct fluorescent antibody (DFA)</w:t>
            </w:r>
          </w:p>
        </w:tc>
        <w:tc>
          <w:tcPr>
            <w:tcW w:type="dxa" w:w="892"/>
            <w:vAlign w:val="top"/>
          </w:tcPr>
          <w:p>
            <w:pPr>
              <w:spacing w:after="40" w:before="0" w:line="259" w:lineRule="auto"/>
            </w:pPr>
            <w:r>
              <w:rPr>
                <w:rFonts w:ascii="Calibri" w:hAnsi="Calibri"/>
                <w:b w:val="0"/>
                <w:i w:val="0"/>
                <w:color w:val="212121"/>
                <w:sz w:val="16"/>
              </w:rPr>
              <w:t>IF microscopy on NP epithelial cells</w:t>
            </w:r>
          </w:p>
        </w:tc>
        <w:tc>
          <w:tcPr>
            <w:tcW w:type="dxa" w:w="950"/>
            <w:vAlign w:val="top"/>
          </w:tcPr>
          <w:p>
            <w:pPr>
              <w:spacing w:after="40" w:before="0" w:line="259" w:lineRule="auto"/>
            </w:pPr>
            <w:r>
              <w:rPr>
                <w:rFonts w:ascii="Calibri" w:hAnsi="Calibri"/>
                <w:b w:val="0"/>
                <w:i w:val="0"/>
                <w:color w:val="212121"/>
                <w:sz w:val="16"/>
              </w:rPr>
              <w:t>No RSV antigen</w:t>
            </w:r>
          </w:p>
        </w:tc>
        <w:tc>
          <w:tcPr>
            <w:tcW w:type="dxa" w:w="950"/>
            <w:vAlign w:val="top"/>
          </w:tcPr>
          <w:p>
            <w:pPr>
              <w:spacing w:after="40" w:before="0" w:line="259" w:lineRule="auto"/>
            </w:pPr>
            <w:r>
              <w:rPr>
                <w:rFonts w:ascii="Calibri" w:hAnsi="Calibri"/>
                <w:b w:val="0"/>
                <w:i w:val="0"/>
                <w:color w:val="212121"/>
                <w:sz w:val="16"/>
              </w:rPr>
              <w:t>RSV antigen-positive cells</w:t>
            </w:r>
          </w:p>
        </w:tc>
        <w:tc>
          <w:tcPr>
            <w:tcW w:type="dxa" w:w="1036"/>
            <w:vAlign w:val="top"/>
          </w:tcPr>
          <w:p>
            <w:pPr>
              <w:spacing w:after="40" w:before="0" w:line="259" w:lineRule="auto"/>
            </w:pPr>
            <w:r>
              <w:rPr>
                <w:rFonts w:ascii="Calibri" w:hAnsi="Calibri"/>
                <w:b w:val="0"/>
                <w:i w:val="0"/>
                <w:color w:val="212121"/>
                <w:sz w:val="16"/>
              </w:rPr>
              <w:t>Rapid; requires an adequate ciliated-cell specimen</w:t>
            </w:r>
          </w:p>
        </w:tc>
        <w:tc>
          <w:tcPr>
            <w:tcW w:type="dxa" w:w="1036"/>
            <w:vAlign w:val="top"/>
          </w:tcPr>
          <w:p>
            <w:pPr>
              <w:spacing w:after="40" w:before="0" w:line="259" w:lineRule="auto"/>
            </w:pPr>
            <w:r>
              <w:rPr>
                <w:rFonts w:ascii="Calibri" w:hAnsi="Calibri"/>
                <w:b w:val="0"/>
                <w:i w:val="0"/>
                <w:color w:val="212121"/>
                <w:sz w:val="16"/>
              </w:rPr>
              <w:t>Hospitalised infants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Operator- and specimen-dependent</w:t>
            </w:r>
          </w:p>
        </w:tc>
      </w:tr>
      <w:tr>
        <w:trPr>
          <w:cantSplit/>
        </w:trPr>
        <w:tc>
          <w:tcPr>
            <w:tcW w:type="dxa" w:w="892"/>
            <w:vAlign w:val="top"/>
          </w:tcPr>
          <w:p>
            <w:pPr>
              <w:spacing w:after="40" w:before="0" w:line="259" w:lineRule="auto"/>
            </w:pPr>
            <w:r>
              <w:rPr>
                <w:rFonts w:ascii="Calibri" w:hAnsi="Calibri"/>
                <w:b w:val="0"/>
                <w:i w:val="0"/>
                <w:color w:val="212121"/>
                <w:sz w:val="16"/>
              </w:rPr>
              <w:t>Monitoring</w:t>
            </w:r>
          </w:p>
        </w:tc>
        <w:tc>
          <w:tcPr>
            <w:tcW w:type="dxa" w:w="835"/>
            <w:vAlign w:val="top"/>
          </w:tcPr>
          <w:p>
            <w:pPr>
              <w:spacing w:after="40" w:before="0" w:line="259" w:lineRule="auto"/>
            </w:pPr>
            <w:r>
              <w:rPr>
                <w:rFonts w:ascii="Calibri" w:hAnsi="Calibri"/>
                <w:b w:val="0"/>
                <w:i w:val="0"/>
                <w:color w:val="212121"/>
                <w:sz w:val="16"/>
              </w:rPr>
              <w:t>Bedside</w:t>
            </w:r>
          </w:p>
        </w:tc>
        <w:tc>
          <w:tcPr>
            <w:tcW w:type="dxa" w:w="1036"/>
            <w:vAlign w:val="top"/>
          </w:tcPr>
          <w:p>
            <w:pPr>
              <w:spacing w:after="40" w:before="0" w:line="259" w:lineRule="auto"/>
            </w:pPr>
            <w:r>
              <w:rPr>
                <w:rFonts w:ascii="Calibri" w:hAnsi="Calibri"/>
                <w:b w:val="0"/>
                <w:i w:val="0"/>
                <w:color w:val="212121"/>
                <w:sz w:val="16"/>
              </w:rPr>
              <w:t>Oxygen saturation (SpO2)</w:t>
            </w:r>
          </w:p>
        </w:tc>
        <w:tc>
          <w:tcPr>
            <w:tcW w:type="dxa" w:w="892"/>
            <w:vAlign w:val="top"/>
          </w:tcPr>
          <w:p>
            <w:pPr>
              <w:spacing w:after="40" w:before="0" w:line="259" w:lineRule="auto"/>
            </w:pPr>
            <w:r>
              <w:rPr>
                <w:rFonts w:ascii="Calibri" w:hAnsi="Calibri"/>
                <w:b w:val="0"/>
                <w:i w:val="0"/>
                <w:color w:val="212121"/>
                <w:sz w:val="16"/>
              </w:rPr>
              <w:t>Pulse oximetry</w:t>
            </w:r>
          </w:p>
        </w:tc>
        <w:tc>
          <w:tcPr>
            <w:tcW w:type="dxa" w:w="950"/>
            <w:vAlign w:val="top"/>
          </w:tcPr>
          <w:p>
            <w:pPr>
              <w:spacing w:after="40" w:before="0" w:line="259" w:lineRule="auto"/>
            </w:pPr>
            <w:r>
              <w:rPr>
                <w:rFonts w:ascii="Calibri" w:hAnsi="Calibri"/>
                <w:b w:val="0"/>
                <w:i w:val="0"/>
                <w:color w:val="212121"/>
                <w:sz w:val="16"/>
              </w:rPr>
              <w:t>&gt;= 95% on room air</w:t>
            </w:r>
          </w:p>
        </w:tc>
        <w:tc>
          <w:tcPr>
            <w:tcW w:type="dxa" w:w="950"/>
            <w:vAlign w:val="top"/>
          </w:tcPr>
          <w:p>
            <w:pPr>
              <w:spacing w:after="40" w:before="0" w:line="259" w:lineRule="auto"/>
            </w:pPr>
            <w:r>
              <w:rPr>
                <w:rFonts w:ascii="Calibri" w:hAnsi="Calibri"/>
                <w:b w:val="0"/>
                <w:i w:val="0"/>
                <w:color w:val="212121"/>
                <w:sz w:val="16"/>
              </w:rPr>
              <w:t>&lt; 90-92% (hypoxaemia)</w:t>
            </w:r>
          </w:p>
        </w:tc>
        <w:tc>
          <w:tcPr>
            <w:tcW w:type="dxa" w:w="1036"/>
            <w:vAlign w:val="top"/>
          </w:tcPr>
          <w:p>
            <w:pPr>
              <w:spacing w:after="40" w:before="0" w:line="259" w:lineRule="auto"/>
            </w:pPr>
            <w:r>
              <w:rPr>
                <w:rFonts w:ascii="Calibri" w:hAnsi="Calibri"/>
                <w:b w:val="0"/>
                <w:i w:val="0"/>
                <w:color w:val="212121"/>
                <w:sz w:val="16"/>
              </w:rPr>
              <w:t>Detects hypoxaemia; guides oxygen therapy and admission</w:t>
            </w:r>
          </w:p>
        </w:tc>
        <w:tc>
          <w:tcPr>
            <w:tcW w:type="dxa" w:w="1036"/>
            <w:vAlign w:val="top"/>
          </w:tcPr>
          <w:p>
            <w:pPr>
              <w:spacing w:after="40" w:before="0" w:line="259" w:lineRule="auto"/>
            </w:pPr>
            <w:r>
              <w:rPr>
                <w:rFonts w:ascii="Calibri" w:hAnsi="Calibri"/>
                <w:b w:val="0"/>
                <w:i w:val="0"/>
                <w:color w:val="212121"/>
                <w:sz w:val="16"/>
              </w:rPr>
              <w:t>All infants with respiratory distress</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Gold standard (severity)</w:t>
            </w:r>
          </w:p>
        </w:tc>
        <w:tc>
          <w:tcPr>
            <w:tcW w:type="dxa" w:w="720"/>
            <w:vAlign w:val="top"/>
          </w:tcPr>
          <w:p>
            <w:pPr>
              <w:spacing w:after="40" w:before="0" w:line="259" w:lineRule="auto"/>
            </w:pPr>
            <w:r>
              <w:rPr>
                <w:rFonts w:ascii="Calibri" w:hAnsi="Calibri"/>
                <w:b w:val="0"/>
                <w:i w:val="0"/>
                <w:color w:val="212121"/>
                <w:sz w:val="16"/>
              </w:rPr>
              <w:t>Continuous monitoring in severe cases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Radiology</w:t>
            </w:r>
          </w:p>
        </w:tc>
        <w:tc>
          <w:tcPr>
            <w:tcW w:type="dxa" w:w="1036"/>
            <w:vAlign w:val="top"/>
          </w:tcPr>
          <w:p>
            <w:pPr>
              <w:spacing w:after="40" w:before="0" w:line="259" w:lineRule="auto"/>
            </w:pPr>
            <w:r>
              <w:rPr>
                <w:rFonts w:ascii="Calibri" w:hAnsi="Calibri"/>
                <w:b w:val="0"/>
                <w:i w:val="0"/>
                <w:color w:val="212121"/>
                <w:sz w:val="16"/>
              </w:rPr>
              <w:t>Chest radiograph</w:t>
            </w:r>
          </w:p>
        </w:tc>
        <w:tc>
          <w:tcPr>
            <w:tcW w:type="dxa" w:w="892"/>
            <w:vAlign w:val="top"/>
          </w:tcPr>
          <w:p>
            <w:pPr>
              <w:spacing w:after="40" w:before="0" w:line="259" w:lineRule="auto"/>
            </w:pPr>
            <w:r>
              <w:rPr>
                <w:rFonts w:ascii="Calibri" w:hAnsi="Calibri"/>
                <w:b w:val="0"/>
                <w:i w:val="0"/>
                <w:color w:val="212121"/>
                <w:sz w:val="16"/>
              </w:rPr>
              <w:t>Chest X-ray</w:t>
            </w:r>
          </w:p>
        </w:tc>
        <w:tc>
          <w:tcPr>
            <w:tcW w:type="dxa" w:w="950"/>
            <w:vAlign w:val="top"/>
          </w:tcPr>
          <w:p>
            <w:pPr>
              <w:spacing w:after="40" w:before="0" w:line="259" w:lineRule="auto"/>
            </w:pPr>
            <w:r>
              <w:rPr>
                <w:rFonts w:ascii="Calibri" w:hAnsi="Calibri"/>
                <w:b w:val="0"/>
                <w:i w:val="0"/>
                <w:color w:val="212121"/>
                <w:sz w:val="16"/>
              </w:rPr>
              <w:t>Clear fields / mild hyperinflation</w:t>
            </w:r>
          </w:p>
        </w:tc>
        <w:tc>
          <w:tcPr>
            <w:tcW w:type="dxa" w:w="950"/>
            <w:vAlign w:val="top"/>
          </w:tcPr>
          <w:p>
            <w:pPr>
              <w:spacing w:after="40" w:before="0" w:line="259" w:lineRule="auto"/>
            </w:pPr>
            <w:r>
              <w:rPr>
                <w:rFonts w:ascii="Calibri" w:hAnsi="Calibri"/>
                <w:b w:val="0"/>
                <w:i w:val="0"/>
                <w:color w:val="212121"/>
                <w:sz w:val="16"/>
              </w:rPr>
              <w:t>Hyperinflation, peribronchial cuffing, atelectasis or lobar infiltrate</w:t>
            </w:r>
          </w:p>
        </w:tc>
        <w:tc>
          <w:tcPr>
            <w:tcW w:type="dxa" w:w="1036"/>
            <w:vAlign w:val="top"/>
          </w:tcPr>
          <w:p>
            <w:pPr>
              <w:spacing w:after="40" w:before="0" w:line="259" w:lineRule="auto"/>
            </w:pPr>
            <w:r>
              <w:rPr>
                <w:rFonts w:ascii="Calibri" w:hAnsi="Calibri"/>
                <w:b w:val="0"/>
                <w:i w:val="0"/>
                <w:color w:val="212121"/>
                <w:sz w:val="16"/>
              </w:rPr>
              <w:t>Not routine; for severe disease or suspected pneumonia/complication</w:t>
            </w:r>
          </w:p>
        </w:tc>
        <w:tc>
          <w:tcPr>
            <w:tcW w:type="dxa" w:w="1036"/>
            <w:vAlign w:val="top"/>
          </w:tcPr>
          <w:p>
            <w:pPr>
              <w:spacing w:after="40" w:before="0" w:line="259" w:lineRule="auto"/>
            </w:pPr>
            <w:r>
              <w:rPr>
                <w:rFonts w:ascii="Calibri" w:hAnsi="Calibri"/>
                <w:b w:val="0"/>
                <w:i w:val="0"/>
                <w:color w:val="212121"/>
                <w:sz w:val="16"/>
              </w:rPr>
              <w:t>Severe bronchiolitis, suspected bacterial pneumonia</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Avoid routine CXR in typical bronchiolitis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CBC with CRP / procalcitonin</w:t>
            </w:r>
          </w:p>
        </w:tc>
        <w:tc>
          <w:tcPr>
            <w:tcW w:type="dxa" w:w="892"/>
            <w:vAlign w:val="top"/>
          </w:tcPr>
          <w:p>
            <w:pPr>
              <w:spacing w:after="40" w:before="0" w:line="259" w:lineRule="auto"/>
            </w:pPr>
            <w:r>
              <w:rPr>
                <w:rFonts w:ascii="Calibri" w:hAnsi="Calibri"/>
                <w:b w:val="0"/>
                <w:i w:val="0"/>
                <w:color w:val="212121"/>
                <w:sz w:val="16"/>
              </w:rPr>
              <w:t>Blood counts + inflammatory markers</w:t>
            </w:r>
          </w:p>
        </w:tc>
        <w:tc>
          <w:tcPr>
            <w:tcW w:type="dxa" w:w="950"/>
            <w:vAlign w:val="top"/>
          </w:tcPr>
          <w:p>
            <w:pPr>
              <w:spacing w:after="40" w:before="0" w:line="259" w:lineRule="auto"/>
            </w:pPr>
            <w:r>
              <w:rPr>
                <w:rFonts w:ascii="Calibri" w:hAnsi="Calibri"/>
                <w:b w:val="0"/>
                <w:i w:val="0"/>
                <w:color w:val="212121"/>
                <w:sz w:val="16"/>
              </w:rPr>
              <w:t>Normal WBC and CRP</w:t>
            </w:r>
          </w:p>
        </w:tc>
        <w:tc>
          <w:tcPr>
            <w:tcW w:type="dxa" w:w="950"/>
            <w:vAlign w:val="top"/>
          </w:tcPr>
          <w:p>
            <w:pPr>
              <w:spacing w:after="40" w:before="0" w:line="259" w:lineRule="auto"/>
            </w:pPr>
            <w:r>
              <w:rPr>
                <w:rFonts w:ascii="Calibri" w:hAnsi="Calibri"/>
                <w:b w:val="0"/>
                <w:i w:val="0"/>
                <w:color w:val="212121"/>
                <w:sz w:val="16"/>
              </w:rPr>
              <w:t>Elevated WBC/CRP/PCT</w:t>
            </w:r>
          </w:p>
        </w:tc>
        <w:tc>
          <w:tcPr>
            <w:tcW w:type="dxa" w:w="1036"/>
            <w:vAlign w:val="top"/>
          </w:tcPr>
          <w:p>
            <w:pPr>
              <w:spacing w:after="40" w:before="0" w:line="259" w:lineRule="auto"/>
            </w:pPr>
            <w:r>
              <w:rPr>
                <w:rFonts w:ascii="Calibri" w:hAnsi="Calibri"/>
                <w:b w:val="0"/>
                <w:i w:val="0"/>
                <w:color w:val="212121"/>
                <w:sz w:val="16"/>
              </w:rPr>
              <w:t>Helps identify secondary bacterial infection</w:t>
            </w:r>
          </w:p>
        </w:tc>
        <w:tc>
          <w:tcPr>
            <w:tcW w:type="dxa" w:w="1036"/>
            <w:vAlign w:val="top"/>
          </w:tcPr>
          <w:p>
            <w:pPr>
              <w:spacing w:after="40" w:before="0" w:line="259" w:lineRule="auto"/>
            </w:pPr>
            <w:r>
              <w:rPr>
                <w:rFonts w:ascii="Calibri" w:hAnsi="Calibri"/>
                <w:b w:val="0"/>
                <w:i w:val="0"/>
                <w:color w:val="212121"/>
                <w:sz w:val="16"/>
              </w:rPr>
              <w:t>Toxic-appearing, high fever, clinical deterioration</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Adjunct</w:t>
            </w:r>
          </w:p>
        </w:tc>
        <w:tc>
          <w:tcPr>
            <w:tcW w:type="dxa" w:w="720"/>
            <w:vAlign w:val="top"/>
          </w:tcPr>
          <w:p>
            <w:pPr>
              <w:spacing w:after="40" w:before="0" w:line="259" w:lineRule="auto"/>
            </w:pPr>
            <w:r>
              <w:rPr>
                <w:rFonts w:ascii="Calibri" w:hAnsi="Calibri"/>
                <w:b w:val="0"/>
                <w:i w:val="0"/>
                <w:color w:val="212121"/>
                <w:sz w:val="16"/>
              </w:rPr>
              <w:t>Usually normal/low in uncomplicated viral bronchiolitis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Blood gas</w:t>
            </w:r>
          </w:p>
        </w:tc>
        <w:tc>
          <w:tcPr>
            <w:tcW w:type="dxa" w:w="1036"/>
            <w:vAlign w:val="top"/>
          </w:tcPr>
          <w:p>
            <w:pPr>
              <w:spacing w:after="40" w:before="0" w:line="259" w:lineRule="auto"/>
            </w:pPr>
            <w:r>
              <w:rPr>
                <w:rFonts w:ascii="Calibri" w:hAnsi="Calibri"/>
                <w:b w:val="0"/>
                <w:i w:val="0"/>
                <w:color w:val="212121"/>
                <w:sz w:val="16"/>
              </w:rPr>
              <w:t>Capillary/arterial blood gas</w:t>
            </w:r>
          </w:p>
        </w:tc>
        <w:tc>
          <w:tcPr>
            <w:tcW w:type="dxa" w:w="892"/>
            <w:vAlign w:val="top"/>
          </w:tcPr>
          <w:p>
            <w:pPr>
              <w:spacing w:after="40" w:before="0" w:line="259" w:lineRule="auto"/>
            </w:pPr>
            <w:r>
              <w:rPr>
                <w:rFonts w:ascii="Calibri" w:hAnsi="Calibri"/>
                <w:b w:val="0"/>
                <w:i w:val="0"/>
                <w:color w:val="212121"/>
                <w:sz w:val="16"/>
              </w:rPr>
              <w:t>CBG / ABG</w:t>
            </w:r>
          </w:p>
        </w:tc>
        <w:tc>
          <w:tcPr>
            <w:tcW w:type="dxa" w:w="950"/>
            <w:vAlign w:val="top"/>
          </w:tcPr>
          <w:p>
            <w:pPr>
              <w:spacing w:after="40" w:before="0" w:line="259" w:lineRule="auto"/>
            </w:pPr>
            <w:r>
              <w:rPr>
                <w:rFonts w:ascii="Calibri" w:hAnsi="Calibri"/>
                <w:b w:val="0"/>
                <w:i w:val="0"/>
                <w:color w:val="212121"/>
                <w:sz w:val="16"/>
              </w:rPr>
              <w:t>Normal pH and pCO2</w:t>
            </w:r>
          </w:p>
        </w:tc>
        <w:tc>
          <w:tcPr>
            <w:tcW w:type="dxa" w:w="950"/>
            <w:vAlign w:val="top"/>
          </w:tcPr>
          <w:p>
            <w:pPr>
              <w:spacing w:after="40" w:before="0" w:line="259" w:lineRule="auto"/>
            </w:pPr>
            <w:r>
              <w:rPr>
                <w:rFonts w:ascii="Calibri" w:hAnsi="Calibri"/>
                <w:b w:val="0"/>
                <w:i w:val="0"/>
                <w:color w:val="212121"/>
                <w:sz w:val="16"/>
              </w:rPr>
              <w:t>Hypercapnia, respiratory acidosis</w:t>
            </w:r>
          </w:p>
        </w:tc>
        <w:tc>
          <w:tcPr>
            <w:tcW w:type="dxa" w:w="1036"/>
            <w:vAlign w:val="top"/>
          </w:tcPr>
          <w:p>
            <w:pPr>
              <w:spacing w:after="40" w:before="0" w:line="259" w:lineRule="auto"/>
            </w:pPr>
            <w:r>
              <w:rPr>
                <w:rFonts w:ascii="Calibri" w:hAnsi="Calibri"/>
                <w:b w:val="0"/>
                <w:i w:val="0"/>
                <w:color w:val="212121"/>
                <w:sz w:val="16"/>
              </w:rPr>
              <w:t>Assesses impending or established respiratory failure</w:t>
            </w:r>
          </w:p>
        </w:tc>
        <w:tc>
          <w:tcPr>
            <w:tcW w:type="dxa" w:w="1036"/>
            <w:vAlign w:val="top"/>
          </w:tcPr>
          <w:p>
            <w:pPr>
              <w:spacing w:after="40" w:before="0" w:line="259" w:lineRule="auto"/>
            </w:pPr>
            <w:r>
              <w:rPr>
                <w:rFonts w:ascii="Calibri" w:hAnsi="Calibri"/>
                <w:b w:val="0"/>
                <w:i w:val="0"/>
                <w:color w:val="212121"/>
                <w:sz w:val="16"/>
              </w:rPr>
              <w:t>Severe distress, apnoea, ICU candidates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Reserve for severe or ventilated infants</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Coryza then cough, wheeze, poor feeding, fever</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Progressive cough / breathing difficulty / feeding refusal in season</w:t>
            </w:r>
          </w:p>
        </w:tc>
        <w:tc>
          <w:tcPr>
            <w:tcW w:type="dxa" w:w="1036"/>
            <w:vAlign w:val="top"/>
          </w:tcPr>
          <w:p>
            <w:pPr>
              <w:spacing w:after="40" w:before="0" w:line="259" w:lineRule="auto"/>
            </w:pPr>
            <w:r>
              <w:rPr>
                <w:rFonts w:ascii="Calibri" w:hAnsi="Calibri"/>
                <w:b w:val="0"/>
                <w:i w:val="0"/>
                <w:color w:val="212121"/>
                <w:sz w:val="16"/>
              </w:rPr>
              <w:t>Typical bronchiolitis prodrome peaking day 3-5</w:t>
            </w:r>
          </w:p>
        </w:tc>
        <w:tc>
          <w:tcPr>
            <w:tcW w:type="dxa" w:w="1036"/>
            <w:vAlign w:val="top"/>
          </w:tcPr>
          <w:p>
            <w:pPr>
              <w:spacing w:after="40" w:before="0" w:line="259" w:lineRule="auto"/>
            </w:pPr>
            <w:r>
              <w:rPr>
                <w:rFonts w:ascii="Calibri" w:hAnsi="Calibri"/>
                <w:b w:val="0"/>
                <w:i w:val="0"/>
                <w:color w:val="212121"/>
                <w:sz w:val="16"/>
              </w:rPr>
              <w:t>Infants &lt;2 years in RSV season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Symptoms evolve in stages, not all at once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Birth &amp; risk history</w:t>
            </w:r>
          </w:p>
        </w:tc>
        <w:tc>
          <w:tcPr>
            <w:tcW w:type="dxa" w:w="979"/>
            <w:vAlign w:val="top"/>
          </w:tcPr>
          <w:p>
            <w:pPr>
              <w:spacing w:after="40" w:before="0" w:line="259" w:lineRule="auto"/>
            </w:pPr>
            <w:r>
              <w:rPr>
                <w:rFonts w:ascii="Calibri" w:hAnsi="Calibri"/>
                <w:b w:val="0"/>
                <w:i w:val="0"/>
                <w:color w:val="212121"/>
                <w:sz w:val="16"/>
              </w:rPr>
              <w:t>Prematurity, low birth weight, CHD/CLD, age &lt;3 months</w:t>
            </w:r>
          </w:p>
        </w:tc>
        <w:tc>
          <w:tcPr>
            <w:tcW w:type="dxa" w:w="950"/>
            <w:vAlign w:val="top"/>
          </w:tcPr>
          <w:p>
            <w:pPr>
              <w:spacing w:after="40" w:before="0" w:line="259" w:lineRule="auto"/>
            </w:pPr>
            <w:r>
              <w:rPr>
                <w:rFonts w:ascii="Calibri" w:hAnsi="Calibri"/>
                <w:b w:val="0"/>
                <w:i w:val="0"/>
                <w:color w:val="212121"/>
                <w:sz w:val="16"/>
              </w:rPr>
              <w:t>Term, no comorbidity</w:t>
            </w:r>
          </w:p>
        </w:tc>
        <w:tc>
          <w:tcPr>
            <w:tcW w:type="dxa" w:w="950"/>
            <w:vAlign w:val="top"/>
          </w:tcPr>
          <w:p>
            <w:pPr>
              <w:spacing w:after="40" w:before="0" w:line="259" w:lineRule="auto"/>
            </w:pPr>
            <w:r>
              <w:rPr>
                <w:rFonts w:ascii="Calibri" w:hAnsi="Calibri"/>
                <w:b w:val="0"/>
                <w:i w:val="0"/>
                <w:color w:val="212121"/>
                <w:sz w:val="16"/>
              </w:rPr>
              <w:t>Preterm/LBW/comorbid, or age &lt;3 months</w:t>
            </w:r>
          </w:p>
        </w:tc>
        <w:tc>
          <w:tcPr>
            <w:tcW w:type="dxa" w:w="1036"/>
            <w:vAlign w:val="top"/>
          </w:tcPr>
          <w:p>
            <w:pPr>
              <w:spacing w:after="40" w:before="0" w:line="259" w:lineRule="auto"/>
            </w:pPr>
            <w:r>
              <w:rPr>
                <w:rFonts w:ascii="Calibri" w:hAnsi="Calibri"/>
                <w:b w:val="0"/>
                <w:i w:val="0"/>
                <w:color w:val="212121"/>
                <w:sz w:val="16"/>
              </w:rPr>
              <w:t>Identifies the high-risk infant and lowers the admission threshold</w:t>
            </w:r>
          </w:p>
        </w:tc>
        <w:tc>
          <w:tcPr>
            <w:tcW w:type="dxa" w:w="1036"/>
            <w:vAlign w:val="top"/>
          </w:tcPr>
          <w:p>
            <w:pPr>
              <w:spacing w:after="40" w:before="0" w:line="259" w:lineRule="auto"/>
            </w:pPr>
            <w:r>
              <w:rPr>
                <w:rFonts w:ascii="Calibri" w:hAnsi="Calibri"/>
                <w:b w:val="0"/>
                <w:i w:val="0"/>
                <w:color w:val="212121"/>
                <w:sz w:val="16"/>
              </w:rPr>
              <w:t>Preterm, comorbid or very young infants</w:t>
            </w:r>
          </w:p>
        </w:tc>
        <w:tc>
          <w:tcPr>
            <w:tcW w:type="dxa" w:w="720"/>
            <w:vAlign w:val="top"/>
          </w:tcPr>
          <w:p>
            <w:pPr>
              <w:spacing w:after="40" w:before="0" w:line="259" w:lineRule="auto"/>
            </w:pPr>
            <w:r>
              <w:rPr>
                <w:rFonts w:ascii="Calibri" w:hAnsi="Calibri"/>
                <w:b w:val="0"/>
                <w:i w:val="0"/>
                <w:color w:val="212121"/>
                <w:sz w:val="16"/>
              </w:rPr>
              <w:t>Food; Smoking</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Guides immunoprophylaxis eligibility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Exposure / contact history</w:t>
            </w:r>
          </w:p>
        </w:tc>
        <w:tc>
          <w:tcPr>
            <w:tcW w:type="dxa" w:w="979"/>
            <w:vAlign w:val="top"/>
          </w:tcPr>
          <w:p>
            <w:pPr>
              <w:spacing w:after="40" w:before="0" w:line="259" w:lineRule="auto"/>
            </w:pPr>
            <w:r>
              <w:rPr>
                <w:rFonts w:ascii="Calibri" w:hAnsi="Calibri"/>
                <w:b w:val="0"/>
                <w:i w:val="0"/>
                <w:color w:val="212121"/>
                <w:sz w:val="16"/>
              </w:rPr>
              <w:t>Sick contacts, day-care, household smokers, crowding</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Sick contacts, second-hand smoke, crowding or day-care</w:t>
            </w:r>
          </w:p>
        </w:tc>
        <w:tc>
          <w:tcPr>
            <w:tcW w:type="dxa" w:w="1036"/>
            <w:vAlign w:val="top"/>
          </w:tcPr>
          <w:p>
            <w:pPr>
              <w:spacing w:after="40" w:before="0" w:line="259" w:lineRule="auto"/>
            </w:pPr>
            <w:r>
              <w:rPr>
                <w:rFonts w:ascii="Calibri" w:hAnsi="Calibri"/>
                <w:b w:val="0"/>
                <w:i w:val="0"/>
                <w:color w:val="212121"/>
                <w:sz w:val="16"/>
              </w:rPr>
              <w:t>Establishes transmission and severity risk</w:t>
            </w:r>
          </w:p>
        </w:tc>
        <w:tc>
          <w:tcPr>
            <w:tcW w:type="dxa" w:w="1036"/>
            <w:vAlign w:val="top"/>
          </w:tcPr>
          <w:p>
            <w:pPr>
              <w:spacing w:after="40" w:before="0" w:line="259" w:lineRule="auto"/>
            </w:pPr>
            <w:r>
              <w:rPr>
                <w:rFonts w:ascii="Calibri" w:hAnsi="Calibri"/>
                <w:b w:val="0"/>
                <w:i w:val="0"/>
                <w:color w:val="212121"/>
                <w:sz w:val="16"/>
              </w:rPr>
              <w:t>Households with smokers or crowding</w:t>
            </w:r>
          </w:p>
        </w:tc>
        <w:tc>
          <w:tcPr>
            <w:tcW w:type="dxa" w:w="720"/>
            <w:vAlign w:val="top"/>
          </w:tcPr>
          <w:p>
            <w:pPr>
              <w:spacing w:after="40" w:before="0" w:line="259" w:lineRule="auto"/>
            </w:pPr>
            <w:r>
              <w:rPr>
                <w:rFonts w:ascii="Calibri" w:hAnsi="Calibri"/>
                <w:b w:val="0"/>
                <w:i w:val="0"/>
                <w:color w:val="212121"/>
                <w:sz w:val="16"/>
              </w:rPr>
              <w:t>Smoking; Hygiene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Ask specifically about biomass/solid-fuel cooking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Respiratory rate</w:t>
            </w:r>
          </w:p>
        </w:tc>
        <w:tc>
          <w:tcPr>
            <w:tcW w:type="dxa" w:w="979"/>
            <w:vAlign w:val="top"/>
          </w:tcPr>
          <w:p>
            <w:pPr>
              <w:spacing w:after="40" w:before="0" w:line="259" w:lineRule="auto"/>
            </w:pPr>
            <w:r>
              <w:rPr>
                <w:rFonts w:ascii="Calibri" w:hAnsi="Calibri"/>
                <w:b w:val="0"/>
                <w:i w:val="0"/>
                <w:color w:val="212121"/>
                <w:sz w:val="16"/>
              </w:rPr>
              <w:t>Age-based fast breathing (WHO)</w:t>
            </w:r>
          </w:p>
        </w:tc>
        <w:tc>
          <w:tcPr>
            <w:tcW w:type="dxa" w:w="950"/>
            <w:vAlign w:val="top"/>
          </w:tcPr>
          <w:p>
            <w:pPr>
              <w:spacing w:after="40" w:before="0" w:line="259" w:lineRule="auto"/>
            </w:pPr>
            <w:r>
              <w:rPr>
                <w:rFonts w:ascii="Calibri" w:hAnsi="Calibri"/>
                <w:b w:val="0"/>
                <w:i w:val="0"/>
                <w:color w:val="212121"/>
                <w:sz w:val="16"/>
              </w:rPr>
              <w:t>&lt;50/min (2-11 mo); &lt;40/min (1-5 y)</w:t>
            </w:r>
          </w:p>
        </w:tc>
        <w:tc>
          <w:tcPr>
            <w:tcW w:type="dxa" w:w="950"/>
            <w:vAlign w:val="top"/>
          </w:tcPr>
          <w:p>
            <w:pPr>
              <w:spacing w:after="40" w:before="0" w:line="259" w:lineRule="auto"/>
            </w:pPr>
            <w:r>
              <w:rPr>
                <w:rFonts w:ascii="Calibri" w:hAnsi="Calibri"/>
                <w:b w:val="0"/>
                <w:i w:val="0"/>
                <w:color w:val="212121"/>
                <w:sz w:val="16"/>
              </w:rPr>
              <w:t>&gt;=60 (&lt;2 mo), &gt;=50 (2-11 mo), &gt;=40 (1-5 y)</w:t>
            </w:r>
          </w:p>
        </w:tc>
        <w:tc>
          <w:tcPr>
            <w:tcW w:type="dxa" w:w="1036"/>
            <w:vAlign w:val="top"/>
          </w:tcPr>
          <w:p>
            <w:pPr>
              <w:spacing w:after="40" w:before="0" w:line="259" w:lineRule="auto"/>
            </w:pPr>
            <w:r>
              <w:rPr>
                <w:rFonts w:ascii="Calibri" w:hAnsi="Calibri"/>
                <w:b w:val="0"/>
                <w:i w:val="0"/>
                <w:color w:val="212121"/>
                <w:sz w:val="16"/>
              </w:rPr>
              <w:t>Tachypnoea marks lower-respiratory involvement and severity</w:t>
            </w:r>
          </w:p>
        </w:tc>
        <w:tc>
          <w:tcPr>
            <w:tcW w:type="dxa" w:w="1036"/>
            <w:vAlign w:val="top"/>
          </w:tcPr>
          <w:p>
            <w:pPr>
              <w:spacing w:after="40" w:before="0" w:line="259" w:lineRule="auto"/>
            </w:pPr>
            <w:r>
              <w:rPr>
                <w:rFonts w:ascii="Calibri" w:hAnsi="Calibri"/>
                <w:b w:val="0"/>
                <w:i w:val="0"/>
                <w:color w:val="212121"/>
                <w:sz w:val="16"/>
              </w:rPr>
              <w:t>Any child with cough/difficulty breathing</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Count for a full 60 s while the child is calm</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Work of breathing</w:t>
            </w:r>
          </w:p>
        </w:tc>
        <w:tc>
          <w:tcPr>
            <w:tcW w:type="dxa" w:w="979"/>
            <w:vAlign w:val="top"/>
          </w:tcPr>
          <w:p>
            <w:pPr>
              <w:spacing w:after="40" w:before="0" w:line="259" w:lineRule="auto"/>
            </w:pPr>
            <w:r>
              <w:rPr>
                <w:rFonts w:ascii="Calibri" w:hAnsi="Calibri"/>
                <w:b w:val="0"/>
                <w:i w:val="0"/>
                <w:color w:val="212121"/>
                <w:sz w:val="16"/>
              </w:rPr>
              <w:t>Retractions, nasal flaring, grunting</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Subcostal/intercostal recession, flaring, grunting</w:t>
            </w:r>
          </w:p>
        </w:tc>
        <w:tc>
          <w:tcPr>
            <w:tcW w:type="dxa" w:w="1036"/>
            <w:vAlign w:val="top"/>
          </w:tcPr>
          <w:p>
            <w:pPr>
              <w:spacing w:after="40" w:before="0" w:line="259" w:lineRule="auto"/>
            </w:pPr>
            <w:r>
              <w:rPr>
                <w:rFonts w:ascii="Calibri" w:hAnsi="Calibri"/>
                <w:b w:val="0"/>
                <w:i w:val="0"/>
                <w:color w:val="212121"/>
                <w:sz w:val="16"/>
              </w:rPr>
              <w:t>Indicates increased respiratory effort / distress</w:t>
            </w:r>
          </w:p>
        </w:tc>
        <w:tc>
          <w:tcPr>
            <w:tcW w:type="dxa" w:w="1036"/>
            <w:vAlign w:val="top"/>
          </w:tcPr>
          <w:p>
            <w:pPr>
              <w:spacing w:after="40" w:before="0" w:line="259" w:lineRule="auto"/>
            </w:pPr>
            <w:r>
              <w:rPr>
                <w:rFonts w:ascii="Calibri" w:hAnsi="Calibri"/>
                <w:b w:val="0"/>
                <w:i w:val="0"/>
                <w:color w:val="212121"/>
                <w:sz w:val="16"/>
              </w:rPr>
              <w:t>Moderate-severe bronchiolitis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Grunting or head-bobbing signals severe disease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Chest auscultation</w:t>
            </w:r>
          </w:p>
        </w:tc>
        <w:tc>
          <w:tcPr>
            <w:tcW w:type="dxa" w:w="979"/>
            <w:vAlign w:val="top"/>
          </w:tcPr>
          <w:p>
            <w:pPr>
              <w:spacing w:after="40" w:before="0" w:line="259" w:lineRule="auto"/>
            </w:pPr>
            <w:r>
              <w:rPr>
                <w:rFonts w:ascii="Calibri" w:hAnsi="Calibri"/>
                <w:b w:val="0"/>
                <w:i w:val="0"/>
                <w:color w:val="212121"/>
                <w:sz w:val="16"/>
              </w:rPr>
              <w:t>Wheeze, fine crackles, air entry</w:t>
            </w:r>
          </w:p>
        </w:tc>
        <w:tc>
          <w:tcPr>
            <w:tcW w:type="dxa" w:w="950"/>
            <w:vAlign w:val="top"/>
          </w:tcPr>
          <w:p>
            <w:pPr>
              <w:spacing w:after="40" w:before="0" w:line="259" w:lineRule="auto"/>
            </w:pPr>
            <w:r>
              <w:rPr>
                <w:rFonts w:ascii="Calibri" w:hAnsi="Calibri"/>
                <w:b w:val="0"/>
                <w:i w:val="0"/>
                <w:color w:val="212121"/>
                <w:sz w:val="16"/>
              </w:rPr>
              <w:t>Vesicular, clear</w:t>
            </w:r>
          </w:p>
        </w:tc>
        <w:tc>
          <w:tcPr>
            <w:tcW w:type="dxa" w:w="950"/>
            <w:vAlign w:val="top"/>
          </w:tcPr>
          <w:p>
            <w:pPr>
              <w:spacing w:after="40" w:before="0" w:line="259" w:lineRule="auto"/>
            </w:pPr>
            <w:r>
              <w:rPr>
                <w:rFonts w:ascii="Calibri" w:hAnsi="Calibri"/>
                <w:b w:val="0"/>
                <w:i w:val="0"/>
                <w:color w:val="212121"/>
                <w:sz w:val="16"/>
              </w:rPr>
              <w:t>Diffuse wheeze/crackles, reduced air entry</w:t>
            </w:r>
          </w:p>
        </w:tc>
        <w:tc>
          <w:tcPr>
            <w:tcW w:type="dxa" w:w="1036"/>
            <w:vAlign w:val="top"/>
          </w:tcPr>
          <w:p>
            <w:pPr>
              <w:spacing w:after="40" w:before="0" w:line="259" w:lineRule="auto"/>
            </w:pPr>
            <w:r>
              <w:rPr>
                <w:rFonts w:ascii="Calibri" w:hAnsi="Calibri"/>
                <w:b w:val="0"/>
                <w:i w:val="0"/>
                <w:color w:val="212121"/>
                <w:sz w:val="16"/>
              </w:rPr>
              <w:t>Hallmark auscultatory findings of bronchiolitis</w:t>
            </w:r>
          </w:p>
        </w:tc>
        <w:tc>
          <w:tcPr>
            <w:tcW w:type="dxa" w:w="1036"/>
            <w:vAlign w:val="top"/>
          </w:tcPr>
          <w:p>
            <w:pPr>
              <w:spacing w:after="40" w:before="0" w:line="259" w:lineRule="auto"/>
            </w:pPr>
            <w:r>
              <w:rPr>
                <w:rFonts w:ascii="Calibri" w:hAnsi="Calibri"/>
                <w:b w:val="0"/>
                <w:i w:val="0"/>
                <w:color w:val="212121"/>
                <w:sz w:val="16"/>
              </w:rPr>
              <w:t>Infants with bronchiolitis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A silent chest indicates critical airflow limitation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Hydration &amp; feeding</w:t>
            </w:r>
          </w:p>
        </w:tc>
        <w:tc>
          <w:tcPr>
            <w:tcW w:type="dxa" w:w="979"/>
            <w:vAlign w:val="top"/>
          </w:tcPr>
          <w:p>
            <w:pPr>
              <w:spacing w:after="40" w:before="0" w:line="259" w:lineRule="auto"/>
            </w:pPr>
            <w:r>
              <w:rPr>
                <w:rFonts w:ascii="Calibri" w:hAnsi="Calibri"/>
                <w:b w:val="0"/>
                <w:i w:val="0"/>
                <w:color w:val="212121"/>
                <w:sz w:val="16"/>
              </w:rPr>
              <w:t>Intake, urine output, mucous membranes</w:t>
            </w:r>
          </w:p>
        </w:tc>
        <w:tc>
          <w:tcPr>
            <w:tcW w:type="dxa" w:w="950"/>
            <w:vAlign w:val="top"/>
          </w:tcPr>
          <w:p>
            <w:pPr>
              <w:spacing w:after="40" w:before="0" w:line="259" w:lineRule="auto"/>
            </w:pPr>
            <w:r>
              <w:rPr>
                <w:rFonts w:ascii="Calibri" w:hAnsi="Calibri"/>
                <w:b w:val="0"/>
                <w:i w:val="0"/>
                <w:color w:val="212121"/>
                <w:sz w:val="16"/>
              </w:rPr>
              <w:t>Adequate intake, moist mucosa</w:t>
            </w:r>
          </w:p>
        </w:tc>
        <w:tc>
          <w:tcPr>
            <w:tcW w:type="dxa" w:w="950"/>
            <w:vAlign w:val="top"/>
          </w:tcPr>
          <w:p>
            <w:pPr>
              <w:spacing w:after="40" w:before="0" w:line="259" w:lineRule="auto"/>
            </w:pPr>
            <w:r>
              <w:rPr>
                <w:rFonts w:ascii="Calibri" w:hAnsi="Calibri"/>
                <w:b w:val="0"/>
                <w:i w:val="0"/>
                <w:color w:val="212121"/>
                <w:sz w:val="16"/>
              </w:rPr>
              <w:t>Feeding &lt;50% normal, reduced urine, dry mucosa</w:t>
            </w:r>
          </w:p>
        </w:tc>
        <w:tc>
          <w:tcPr>
            <w:tcW w:type="dxa" w:w="1036"/>
            <w:vAlign w:val="top"/>
          </w:tcPr>
          <w:p>
            <w:pPr>
              <w:spacing w:after="40" w:before="0" w:line="259" w:lineRule="auto"/>
            </w:pPr>
            <w:r>
              <w:rPr>
                <w:rFonts w:ascii="Calibri" w:hAnsi="Calibri"/>
                <w:b w:val="0"/>
                <w:i w:val="0"/>
                <w:color w:val="212121"/>
                <w:sz w:val="16"/>
              </w:rPr>
              <w:t>Dehydration risk from tachypnoea and effort</w:t>
            </w:r>
          </w:p>
        </w:tc>
        <w:tc>
          <w:tcPr>
            <w:tcW w:type="dxa" w:w="1036"/>
            <w:vAlign w:val="top"/>
          </w:tcPr>
          <w:p>
            <w:pPr>
              <w:spacing w:after="40" w:before="0" w:line="259" w:lineRule="auto"/>
            </w:pPr>
            <w:r>
              <w:rPr>
                <w:rFonts w:ascii="Calibri" w:hAnsi="Calibri"/>
                <w:b w:val="0"/>
                <w:i w:val="0"/>
                <w:color w:val="212121"/>
                <w:sz w:val="16"/>
              </w:rPr>
              <w:t>Young infants</w:t>
            </w:r>
          </w:p>
        </w:tc>
        <w:tc>
          <w:tcPr>
            <w:tcW w:type="dxa" w:w="720"/>
            <w:vAlign w:val="top"/>
          </w:tcPr>
          <w:p>
            <w:pPr>
              <w:spacing w:after="40" w:before="0" w:line="259" w:lineRule="auto"/>
            </w:pPr>
            <w:r>
              <w:rPr>
                <w:rFonts w:ascii="Calibri" w:hAnsi="Calibri"/>
                <w:b w:val="0"/>
                <w:i w:val="0"/>
                <w:color w:val="212121"/>
                <w:sz w:val="16"/>
              </w:rPr>
              <w:t>Water; Food</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Feeding &lt;50% of normal is an admission criterion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Danger signs</w:t>
            </w:r>
          </w:p>
        </w:tc>
        <w:tc>
          <w:tcPr>
            <w:tcW w:type="dxa" w:w="979"/>
            <w:vAlign w:val="top"/>
          </w:tcPr>
          <w:p>
            <w:pPr>
              <w:spacing w:after="40" w:before="0" w:line="259" w:lineRule="auto"/>
            </w:pPr>
            <w:r>
              <w:rPr>
                <w:rFonts w:ascii="Calibri" w:hAnsi="Calibri"/>
                <w:b w:val="0"/>
                <w:i w:val="0"/>
                <w:color w:val="212121"/>
                <w:sz w:val="16"/>
              </w:rPr>
              <w:t>Apnoea, central cyanosis, lethargy</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Apnoea, central cyanosis, lethargy/altered sensorium</w:t>
            </w:r>
          </w:p>
        </w:tc>
        <w:tc>
          <w:tcPr>
            <w:tcW w:type="dxa" w:w="1036"/>
            <w:vAlign w:val="top"/>
          </w:tcPr>
          <w:p>
            <w:pPr>
              <w:spacing w:after="40" w:before="0" w:line="259" w:lineRule="auto"/>
            </w:pPr>
            <w:r>
              <w:rPr>
                <w:rFonts w:ascii="Calibri" w:hAnsi="Calibri"/>
                <w:b w:val="0"/>
                <w:i w:val="0"/>
                <w:color w:val="212121"/>
                <w:sz w:val="16"/>
              </w:rPr>
              <w:t>Red-flag signs mandating urgent hospital care</w:t>
            </w:r>
          </w:p>
        </w:tc>
        <w:tc>
          <w:tcPr>
            <w:tcW w:type="dxa" w:w="1036"/>
            <w:vAlign w:val="top"/>
          </w:tcPr>
          <w:p>
            <w:pPr>
              <w:spacing w:after="40" w:before="0" w:line="259" w:lineRule="auto"/>
            </w:pPr>
            <w:r>
              <w:rPr>
                <w:rFonts w:ascii="Calibri" w:hAnsi="Calibri"/>
                <w:b w:val="0"/>
                <w:i w:val="0"/>
                <w:color w:val="212121"/>
                <w:sz w:val="16"/>
              </w:rPr>
              <w:t>Neonates and preterm infants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Gold standard (severity)</w:t>
            </w:r>
          </w:p>
        </w:tc>
        <w:tc>
          <w:tcPr>
            <w:tcW w:type="dxa" w:w="720"/>
            <w:vAlign w:val="top"/>
          </w:tcPr>
          <w:p>
            <w:pPr>
              <w:spacing w:after="40" w:before="0" w:line="259" w:lineRule="auto"/>
            </w:pPr>
            <w:r>
              <w:rPr>
                <w:rFonts w:ascii="Calibri" w:hAnsi="Calibri"/>
                <w:b w:val="0"/>
                <w:i w:val="0"/>
                <w:color w:val="212121"/>
                <w:sz w:val="16"/>
              </w:rPr>
              <w:t>Apnoea can be the presenting sign in infants &lt;2 months</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Runny nose / nasal congestion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Early coryzal phase; usually the first symptom, 1-3 days before lower-airway signs.</w:t>
            </w:r>
          </w:p>
        </w:tc>
      </w:tr>
      <w:tr>
        <w:trPr>
          <w:cantSplit/>
        </w:trPr>
        <w:tc>
          <w:tcPr>
            <w:tcW w:type="dxa" w:w="2304"/>
            <w:vAlign w:val="top"/>
          </w:tcPr>
          <w:p>
            <w:pPr>
              <w:spacing w:after="40" w:before="0" w:line="259" w:lineRule="auto"/>
            </w:pPr>
            <w:r>
              <w:rPr>
                <w:rFonts w:ascii="Calibri" w:hAnsi="Calibri"/>
                <w:b/>
                <w:i w:val="0"/>
                <w:color w:val="212121"/>
                <w:sz w:val="19"/>
              </w:rPr>
              <w:t>Cough</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Frequent, often paroxysmal; the dominant lower-respiratory symptom of bronchiolitis.</w:t>
            </w:r>
          </w:p>
        </w:tc>
      </w:tr>
      <w:tr>
        <w:trPr>
          <w:cantSplit/>
        </w:trPr>
        <w:tc>
          <w:tcPr>
            <w:tcW w:type="dxa" w:w="2304"/>
            <w:vAlign w:val="top"/>
          </w:tcPr>
          <w:p>
            <w:pPr>
              <w:spacing w:after="40" w:before="0" w:line="259" w:lineRule="auto"/>
            </w:pPr>
            <w:r>
              <w:rPr>
                <w:rFonts w:ascii="Calibri" w:hAnsi="Calibri"/>
                <w:b/>
                <w:i w:val="0"/>
                <w:color w:val="212121"/>
                <w:sz w:val="19"/>
              </w:rPr>
              <w:t>Low-grade fever</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Mild fever is typical; high or prolonged fever should prompt evaluation for bacterial co-infection.</w:t>
            </w:r>
          </w:p>
        </w:tc>
      </w:tr>
      <w:tr>
        <w:trPr>
          <w:cantSplit/>
        </w:trPr>
        <w:tc>
          <w:tcPr>
            <w:tcW w:type="dxa" w:w="2304"/>
            <w:vAlign w:val="top"/>
          </w:tcPr>
          <w:p>
            <w:pPr>
              <w:spacing w:after="40" w:before="0" w:line="259" w:lineRule="auto"/>
            </w:pPr>
            <w:r>
              <w:rPr>
                <w:rFonts w:ascii="Calibri" w:hAnsi="Calibri"/>
                <w:b/>
                <w:i w:val="0"/>
                <w:color w:val="212121"/>
                <w:sz w:val="19"/>
              </w:rPr>
              <w:t>Poor feeding / reduced intake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Nasal blockage and rapid breathing make sucking difficult - a key marker of severity in infants.</w:t>
            </w:r>
          </w:p>
        </w:tc>
      </w:tr>
      <w:tr>
        <w:trPr>
          <w:cantSplit/>
        </w:trPr>
        <w:tc>
          <w:tcPr>
            <w:tcW w:type="dxa" w:w="2304"/>
            <w:vAlign w:val="top"/>
          </w:tcPr>
          <w:p>
            <w:pPr>
              <w:spacing w:after="40" w:before="0" w:line="259" w:lineRule="auto"/>
            </w:pPr>
            <w:r>
              <w:rPr>
                <w:rFonts w:ascii="Calibri" w:hAnsi="Calibri"/>
                <w:b/>
                <w:i w:val="0"/>
                <w:color w:val="212121"/>
                <w:sz w:val="19"/>
              </w:rPr>
              <w:t>Wheezing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Audible expiratory wheeze from small-airway obstruction; hallmark of RSV bronchiolitis.</w:t>
            </w:r>
          </w:p>
        </w:tc>
      </w:tr>
      <w:tr>
        <w:trPr>
          <w:cantSplit/>
        </w:trPr>
        <w:tc>
          <w:tcPr>
            <w:tcW w:type="dxa" w:w="2304"/>
            <w:vAlign w:val="top"/>
          </w:tcPr>
          <w:p>
            <w:pPr>
              <w:spacing w:after="40" w:before="0" w:line="259" w:lineRule="auto"/>
            </w:pPr>
            <w:r>
              <w:rPr>
                <w:rFonts w:ascii="Calibri" w:hAnsi="Calibri"/>
                <w:b/>
                <w:i w:val="0"/>
                <w:color w:val="212121"/>
                <w:sz w:val="19"/>
              </w:rPr>
              <w:t>Rapid or laboured breathing (tachypnoea)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Fast breathing with increased effort; reflects lower-respiratory involvement.</w:t>
            </w:r>
          </w:p>
        </w:tc>
      </w:tr>
      <w:tr>
        <w:trPr>
          <w:cantSplit/>
        </w:trPr>
        <w:tc>
          <w:tcPr>
            <w:tcW w:type="dxa" w:w="2304"/>
            <w:vAlign w:val="top"/>
          </w:tcPr>
          <w:p>
            <w:pPr>
              <w:spacing w:after="40" w:before="0" w:line="259" w:lineRule="auto"/>
            </w:pPr>
            <w:r>
              <w:rPr>
                <w:rFonts w:ascii="Calibri" w:hAnsi="Calibri"/>
                <w:b/>
                <w:i w:val="0"/>
                <w:color w:val="212121"/>
                <w:sz w:val="19"/>
              </w:rPr>
              <w:t>Irritability, decreased activity or lethargy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In very young infants this may be the only visible sign of significant illness.</w:t>
            </w:r>
          </w:p>
        </w:tc>
      </w:tr>
      <w:tr>
        <w:trPr>
          <w:cantSplit/>
        </w:trPr>
        <w:tc>
          <w:tcPr>
            <w:tcW w:type="dxa" w:w="2304"/>
            <w:vAlign w:val="top"/>
          </w:tcPr>
          <w:p>
            <w:pPr>
              <w:spacing w:after="40" w:before="0" w:line="259" w:lineRule="auto"/>
            </w:pPr>
            <w:r>
              <w:rPr>
                <w:rFonts w:ascii="Calibri" w:hAnsi="Calibri"/>
                <w:b/>
                <w:i w:val="0"/>
                <w:color w:val="212121"/>
                <w:sz w:val="19"/>
              </w:rPr>
              <w:t>Sneezing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Part of the upper-respiratory prodrome.</w:t>
            </w:r>
          </w:p>
        </w:tc>
      </w:tr>
      <w:tr>
        <w:trPr>
          <w:cantSplit/>
        </w:trPr>
        <w:tc>
          <w:tcPr>
            <w:tcW w:type="dxa" w:w="2304"/>
            <w:vAlign w:val="top"/>
          </w:tcPr>
          <w:p>
            <w:pPr>
              <w:spacing w:after="40" w:before="0" w:line="259" w:lineRule="auto"/>
            </w:pPr>
            <w:r>
              <w:rPr>
                <w:rFonts w:ascii="Calibri" w:hAnsi="Calibri"/>
                <w:b/>
                <w:i w:val="0"/>
                <w:color w:val="212121"/>
                <w:sz w:val="19"/>
              </w:rPr>
              <w:t>Chest in-drawing / difficulty breathing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Visible retractions and distress indicate moderate-to-severe disease needing assessment.</w:t>
            </w:r>
          </w:p>
        </w:tc>
      </w:tr>
      <w:tr>
        <w:trPr>
          <w:cantSplit/>
        </w:trPr>
        <w:tc>
          <w:tcPr>
            <w:tcW w:type="dxa" w:w="2304"/>
            <w:vAlign w:val="top"/>
          </w:tcPr>
          <w:p>
            <w:pPr>
              <w:spacing w:after="40" w:before="0" w:line="259" w:lineRule="auto"/>
            </w:pPr>
            <w:r>
              <w:rPr>
                <w:rFonts w:ascii="Calibri" w:hAnsi="Calibri"/>
                <w:b/>
                <w:i w:val="0"/>
                <w:color w:val="212121"/>
                <w:sz w:val="19"/>
              </w:rPr>
              <w:t>Apnoea (pauses in breathing)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Especially in neonates and preterm infants; can be the presenting feature and is a medical emergency.</w:t>
            </w:r>
          </w:p>
        </w:tc>
      </w:tr>
      <w:tr>
        <w:trPr>
          <w:cantSplit/>
        </w:trPr>
        <w:tc>
          <w:tcPr>
            <w:tcW w:type="dxa" w:w="2304"/>
            <w:vAlign w:val="top"/>
          </w:tcPr>
          <w:p>
            <w:pPr>
              <w:spacing w:after="40" w:before="0" w:line="259" w:lineRule="auto"/>
            </w:pPr>
            <w:r>
              <w:rPr>
                <w:rFonts w:ascii="Calibri" w:hAnsi="Calibri"/>
                <w:b/>
                <w:i w:val="0"/>
                <w:color w:val="212121"/>
                <w:sz w:val="19"/>
              </w:rPr>
              <w:t>Reduced wet nappies / signs of dehydration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Result of poor feeding and increased insensible loss from tachypnoea.</w:t>
            </w:r>
          </w:p>
        </w:tc>
      </w:tr>
      <w:tr>
        <w:trPr>
          <w:cantSplit/>
        </w:trPr>
        <w:tc>
          <w:tcPr>
            <w:tcW w:type="dxa" w:w="2304"/>
            <w:vAlign w:val="top"/>
          </w:tcPr>
          <w:p>
            <w:pPr>
              <w:spacing w:after="40" w:before="0" w:line="259" w:lineRule="auto"/>
            </w:pPr>
            <w:r>
              <w:rPr>
                <w:rFonts w:ascii="Calibri" w:hAnsi="Calibri"/>
                <w:b/>
                <w:i w:val="0"/>
                <w:color w:val="212121"/>
                <w:sz w:val="19"/>
              </w:rPr>
              <w:t>Cyanosis (bluish lips or skin)</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Indicates significant hypoxaemia and severe disease - requires emergency care.</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Tachypnoea (age-based fast breathing)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Respiratory rate above WHO age cut-offs; an objective severity marker.</w:t>
            </w:r>
          </w:p>
        </w:tc>
      </w:tr>
      <w:tr>
        <w:trPr>
          <w:cantSplit/>
        </w:trPr>
        <w:tc>
          <w:tcPr>
            <w:tcW w:type="dxa" w:w="3456"/>
            <w:vAlign w:val="top"/>
          </w:tcPr>
          <w:p>
            <w:pPr>
              <w:spacing w:after="40" w:before="0" w:line="259" w:lineRule="auto"/>
            </w:pPr>
            <w:r>
              <w:rPr>
                <w:rFonts w:ascii="Calibri" w:hAnsi="Calibri"/>
                <w:b/>
                <w:i w:val="0"/>
                <w:color w:val="212121"/>
                <w:sz w:val="19"/>
              </w:rPr>
              <w:t>Expiratory wheeze and fine end-inspiratory crackles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Classic auscultatory findings of bronchiolitis from small-airway inflammation.</w:t>
            </w:r>
          </w:p>
        </w:tc>
      </w:tr>
      <w:tr>
        <w:trPr>
          <w:cantSplit/>
        </w:trPr>
        <w:tc>
          <w:tcPr>
            <w:tcW w:type="dxa" w:w="3456"/>
            <w:vAlign w:val="top"/>
          </w:tcPr>
          <w:p>
            <w:pPr>
              <w:spacing w:after="40" w:before="0" w:line="259" w:lineRule="auto"/>
            </w:pPr>
            <w:r>
              <w:rPr>
                <w:rFonts w:ascii="Calibri" w:hAnsi="Calibri"/>
                <w:b/>
                <w:i w:val="0"/>
                <w:color w:val="212121"/>
                <w:sz w:val="19"/>
              </w:rPr>
              <w:t>Chest-wall retractions (subcostal/intercostal recession)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Sign of increased work of breathing.</w:t>
            </w:r>
          </w:p>
        </w:tc>
      </w:tr>
      <w:tr>
        <w:trPr>
          <w:cantSplit/>
        </w:trPr>
        <w:tc>
          <w:tcPr>
            <w:tcW w:type="dxa" w:w="3456"/>
            <w:vAlign w:val="top"/>
          </w:tcPr>
          <w:p>
            <w:pPr>
              <w:spacing w:after="40" w:before="0" w:line="259" w:lineRule="auto"/>
            </w:pPr>
            <w:r>
              <w:rPr>
                <w:rFonts w:ascii="Calibri" w:hAnsi="Calibri"/>
                <w:b/>
                <w:i w:val="0"/>
                <w:color w:val="212121"/>
                <w:sz w:val="19"/>
              </w:rPr>
              <w:t>Nasal flaring and grunting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Compensatory signs of respiratory distress in infants.</w:t>
            </w:r>
          </w:p>
        </w:tc>
      </w:tr>
      <w:tr>
        <w:trPr>
          <w:cantSplit/>
        </w:trPr>
        <w:tc>
          <w:tcPr>
            <w:tcW w:type="dxa" w:w="3456"/>
            <w:vAlign w:val="top"/>
          </w:tcPr>
          <w:p>
            <w:pPr>
              <w:spacing w:after="40" w:before="0" w:line="259" w:lineRule="auto"/>
            </w:pPr>
            <w:r>
              <w:rPr>
                <w:rFonts w:ascii="Calibri" w:hAnsi="Calibri"/>
                <w:b/>
                <w:i w:val="0"/>
                <w:color w:val="212121"/>
                <w:sz w:val="19"/>
              </w:rPr>
              <w:t>Hyperinflated chest / prolonged expiration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Air trapping from bronchiolar obstruction.</w:t>
            </w:r>
          </w:p>
        </w:tc>
      </w:tr>
      <w:tr>
        <w:trPr>
          <w:cantSplit/>
        </w:trPr>
        <w:tc>
          <w:tcPr>
            <w:tcW w:type="dxa" w:w="3456"/>
            <w:vAlign w:val="top"/>
          </w:tcPr>
          <w:p>
            <w:pPr>
              <w:spacing w:after="40" w:before="0" w:line="259" w:lineRule="auto"/>
            </w:pPr>
            <w:r>
              <w:rPr>
                <w:rFonts w:ascii="Calibri" w:hAnsi="Calibri"/>
                <w:b/>
                <w:i w:val="0"/>
                <w:color w:val="212121"/>
                <w:sz w:val="19"/>
              </w:rPr>
              <w:t>Coryza / nasal discharge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Reflects the upper-respiratory component.</w:t>
            </w:r>
          </w:p>
        </w:tc>
      </w:tr>
      <w:tr>
        <w:trPr>
          <w:cantSplit/>
        </w:trPr>
        <w:tc>
          <w:tcPr>
            <w:tcW w:type="dxa" w:w="3456"/>
            <w:vAlign w:val="top"/>
          </w:tcPr>
          <w:p>
            <w:pPr>
              <w:spacing w:after="40" w:before="0" w:line="259" w:lineRule="auto"/>
            </w:pPr>
            <w:r>
              <w:rPr>
                <w:rFonts w:ascii="Calibri" w:hAnsi="Calibri"/>
                <w:b/>
                <w:i w:val="0"/>
                <w:color w:val="212121"/>
                <w:sz w:val="19"/>
              </w:rPr>
              <w:t>Hypoxaemia on pulse oximetry (SpO2 &lt;92-95%)</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Detected on oximetry in moderate-to-severe disease; guides oxygen and admission.</w:t>
            </w:r>
          </w:p>
        </w:tc>
      </w:tr>
      <w:tr>
        <w:trPr>
          <w:cantSplit/>
        </w:trPr>
        <w:tc>
          <w:tcPr>
            <w:tcW w:type="dxa" w:w="3456"/>
            <w:vAlign w:val="top"/>
          </w:tcPr>
          <w:p>
            <w:pPr>
              <w:spacing w:after="40" w:before="0" w:line="259" w:lineRule="auto"/>
            </w:pPr>
            <w:r>
              <w:rPr>
                <w:rFonts w:ascii="Calibri" w:hAnsi="Calibri"/>
                <w:b/>
                <w:i w:val="0"/>
                <w:color w:val="212121"/>
                <w:sz w:val="19"/>
              </w:rPr>
              <w:t>Reduced air entry / silent chest</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 quiet chest with distress signals critical airflow limitation.</w:t>
            </w:r>
          </w:p>
        </w:tc>
      </w:tr>
      <w:tr>
        <w:trPr>
          <w:cantSplit/>
        </w:trPr>
        <w:tc>
          <w:tcPr>
            <w:tcW w:type="dxa" w:w="3456"/>
            <w:vAlign w:val="top"/>
          </w:tcPr>
          <w:p>
            <w:pPr>
              <w:spacing w:after="40" w:before="0" w:line="259" w:lineRule="auto"/>
            </w:pPr>
            <w:r>
              <w:rPr>
                <w:rFonts w:ascii="Calibri" w:hAnsi="Calibri"/>
                <w:b/>
                <w:i w:val="0"/>
                <w:color w:val="212121"/>
                <w:sz w:val="19"/>
              </w:rPr>
              <w:t>Signs of dehydration (dry mucosa, reduced skin turgor, sunken eyes)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Secondary to poor feeding and tachypnoea.</w:t>
            </w:r>
          </w:p>
        </w:tc>
      </w:tr>
      <w:tr>
        <w:trPr>
          <w:cantSplit/>
        </w:trPr>
        <w:tc>
          <w:tcPr>
            <w:tcW w:type="dxa" w:w="3456"/>
            <w:vAlign w:val="top"/>
          </w:tcPr>
          <w:p>
            <w:pPr>
              <w:spacing w:after="40" w:before="0" w:line="259" w:lineRule="auto"/>
            </w:pPr>
            <w:r>
              <w:rPr>
                <w:rFonts w:ascii="Calibri" w:hAnsi="Calibri"/>
                <w:b/>
                <w:i w:val="0"/>
                <w:color w:val="212121"/>
                <w:sz w:val="19"/>
              </w:rPr>
              <w:t>Apnoea</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Seen chiefly in neonates and preterm infants; may precede overt respiratory signs.</w:t>
            </w:r>
          </w:p>
        </w:tc>
      </w:tr>
      <w:tr>
        <w:trPr>
          <w:cantSplit/>
        </w:trPr>
        <w:tc>
          <w:tcPr>
            <w:tcW w:type="dxa" w:w="3456"/>
            <w:vAlign w:val="top"/>
          </w:tcPr>
          <w:p>
            <w:pPr>
              <w:spacing w:after="40" w:before="0" w:line="259" w:lineRule="auto"/>
            </w:pPr>
            <w:r>
              <w:rPr>
                <w:rFonts w:ascii="Calibri" w:hAnsi="Calibri"/>
                <w:b/>
                <w:i w:val="0"/>
                <w:color w:val="212121"/>
                <w:sz w:val="19"/>
              </w:rPr>
              <w:t>Central cyanosis / altered sensorium</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Marks severe hypoxaemia and impending respiratory failure.</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bronchiolitis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Viral pneumonia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Apnoea in young/preterm infants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Hypoxaemia and acute respiratory distress</w:t>
            </w:r>
          </w:p>
        </w:tc>
        <w:tc>
          <w:tcPr>
            <w:tcW w:type="dxa" w:w="2980"/>
            <w:vAlign w:val="top"/>
          </w:tcPr>
          <w:p>
            <w:pPr>
              <w:spacing w:after="40" w:before="0" w:line="259" w:lineRule="auto"/>
            </w:pPr>
            <w:r>
              <w:rPr>
                <w:rFonts w:ascii="Calibri" w:hAnsi="Calibri"/>
                <w:b w:val="0"/>
                <w:i w:val="0"/>
                <w:color w:val="212121"/>
                <w:sz w:val="19"/>
              </w:rPr>
              <w:t>Direct lower-respiratory effects of RSV airway inflammation, oedema and mucus plugging</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Respiratory failure requiring oxygen or ventilatory support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Dehydration from poor feeding and tachypnoea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Secondary bacterial pneumonia and acute otitis media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Atelectasis / lobar collapse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exacerbation of underlying heart or lung disease (and of COPD/heart failure in older adults)</w:t>
            </w:r>
          </w:p>
        </w:tc>
        <w:tc>
          <w:tcPr>
            <w:tcW w:type="dxa" w:w="2980"/>
            <w:vAlign w:val="top"/>
          </w:tcPr>
          <w:p>
            <w:pPr>
              <w:spacing w:after="40" w:before="0" w:line="259" w:lineRule="auto"/>
            </w:pPr>
            <w:r>
              <w:rPr>
                <w:rFonts w:ascii="Calibri" w:hAnsi="Calibri"/>
                <w:b w:val="0"/>
                <w:i w:val="0"/>
                <w:color w:val="212121"/>
                <w:sz w:val="19"/>
              </w:rPr>
              <w:t>Progression of severe disease, superinfection, and decompensation of comorbidity</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wheeze and childhood asthma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Bronchiolitis obliterans (rare fibrotic sequel)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Long-term reduced lung 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Death - concentrated in infants in low- and middle-income countries</w:t>
            </w:r>
          </w:p>
        </w:tc>
        <w:tc>
          <w:tcPr>
            <w:tcW w:type="dxa" w:w="2980"/>
            <w:vAlign w:val="top"/>
          </w:tcPr>
          <w:p>
            <w:pPr>
              <w:spacing w:after="40" w:before="0" w:line="259" w:lineRule="auto"/>
            </w:pPr>
            <w:r>
              <w:rPr>
                <w:rFonts w:ascii="Calibri" w:hAnsi="Calibri"/>
                <w:b w:val="0"/>
                <w:i w:val="0"/>
                <w:color w:val="212121"/>
                <w:sz w:val="19"/>
              </w:rPr>
              <w:t>Irreversible or long-term sequelae of severe or repeated RSV lower-respiratory infection</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Prematurity &amp; chronic lung disease of prematurity (BPD)</w:t>
            </w:r>
          </w:p>
        </w:tc>
        <w:tc>
          <w:tcPr>
            <w:tcW w:type="dxa" w:w="2520"/>
            <w:vAlign w:val="top"/>
          </w:tcPr>
          <w:p>
            <w:pPr>
              <w:spacing w:after="40" w:before="0" w:line="259" w:lineRule="auto"/>
            </w:pPr>
            <w:r>
              <w:rPr>
                <w:rFonts w:ascii="Calibri" w:hAnsi="Calibri"/>
                <w:b w:val="0"/>
                <w:i w:val="0"/>
                <w:color w:val="212121"/>
                <w:sz w:val="18"/>
              </w:rPr>
              <w:t>• Clinical Management Impact</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Immature or damaged lungs with little reserve tolerate RSV poorly; coexistence sharply raises severity and is a priority indication for immunoprophylaxis.</w:t>
            </w:r>
          </w:p>
        </w:tc>
      </w:tr>
      <w:tr>
        <w:trPr>
          <w:cantSplit/>
        </w:trPr>
        <w:tc>
          <w:tcPr>
            <w:tcW w:type="dxa" w:w="2232"/>
            <w:vAlign w:val="top"/>
          </w:tcPr>
          <w:p>
            <w:pPr>
              <w:spacing w:after="40" w:before="0" w:line="259" w:lineRule="auto"/>
            </w:pPr>
            <w:r>
              <w:rPr>
                <w:rFonts w:ascii="Calibri" w:hAnsi="Calibri"/>
                <w:b/>
                <w:i w:val="0"/>
                <w:color w:val="212121"/>
                <w:sz w:val="19"/>
              </w:rPr>
              <w:t>Haemodynamically significant congenital heart disease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Pulmonary over-circulation and limited cardiac reserve worsen RSV bronchiolitis and complicate fluid and oxygen management.</w:t>
            </w:r>
          </w:p>
        </w:tc>
      </w:tr>
      <w:tr>
        <w:trPr>
          <w:cantSplit/>
        </w:trPr>
        <w:tc>
          <w:tcPr>
            <w:tcW w:type="dxa" w:w="2232"/>
            <w:vAlign w:val="top"/>
          </w:tcPr>
          <w:p>
            <w:pPr>
              <w:spacing w:after="40" w:before="0" w:line="259" w:lineRule="auto"/>
            </w:pPr>
            <w:r>
              <w:rPr>
                <w:rFonts w:ascii="Calibri" w:hAnsi="Calibri"/>
                <w:b/>
                <w:i w:val="0"/>
                <w:color w:val="212121"/>
                <w:sz w:val="19"/>
              </w:rPr>
              <w:t>Recurrent wheeze / childhood asthma</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Severe RSV bronchiolitis in infancy predisposes to later recurrent wheeze and asthma, while pre-existing atopy worsens acute RSV - a two-way relationship.</w:t>
            </w:r>
          </w:p>
        </w:tc>
      </w:tr>
      <w:tr>
        <w:trPr>
          <w:cantSplit/>
        </w:trPr>
        <w:tc>
          <w:tcPr>
            <w:tcW w:type="dxa" w:w="2232"/>
            <w:vAlign w:val="top"/>
          </w:tcPr>
          <w:p>
            <w:pPr>
              <w:spacing w:after="40" w:before="0" w:line="259" w:lineRule="auto"/>
            </w:pPr>
            <w:r>
              <w:rPr>
                <w:rFonts w:ascii="Calibri" w:hAnsi="Calibri"/>
                <w:b/>
                <w:i w:val="0"/>
                <w:color w:val="212121"/>
                <w:sz w:val="19"/>
              </w:rPr>
              <w:t>Secondary bacterial pneumonia (S. pneumoniae, H. influenzae)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Bacterial superinfection can complicate RSV and requires antibiotics; bacterial co-infection was found in about 8.6% of paediatric ARI in an Indian study.</w:t>
            </w:r>
          </w:p>
          <w:p>
            <w:pPr>
              <w:spacing w:after="40" w:before="0" w:line="259" w:lineRule="auto"/>
            </w:pPr>
            <w:r>
              <w:rPr>
                <w:rFonts w:ascii="Calibri" w:hAnsi="Calibri"/>
                <w:b/>
                <w:i w:val="0"/>
                <w:color w:val="212121"/>
                <w:sz w:val="19"/>
              </w:rPr>
              <w:t>~8.6% (co-infection)</w:t>
            </w:r>
          </w:p>
        </w:tc>
      </w:tr>
      <w:tr>
        <w:trPr>
          <w:cantSplit/>
        </w:trPr>
        <w:tc>
          <w:tcPr>
            <w:tcW w:type="dxa" w:w="2232"/>
            <w:vAlign w:val="top"/>
          </w:tcPr>
          <w:p>
            <w:pPr>
              <w:spacing w:after="40" w:before="0" w:line="259" w:lineRule="auto"/>
            </w:pPr>
            <w:r>
              <w:rPr>
                <w:rFonts w:ascii="Calibri" w:hAnsi="Calibri"/>
                <w:b/>
                <w:i w:val="0"/>
                <w:color w:val="212121"/>
                <w:sz w:val="19"/>
              </w:rPr>
              <w:t>Acute otitis media</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A frequent complication of RSV upper-respiratory infection in infants, contributing to fever and irritability.</w:t>
            </w:r>
          </w:p>
        </w:tc>
      </w:tr>
      <w:tr>
        <w:trPr>
          <w:cantSplit/>
        </w:trPr>
        <w:tc>
          <w:tcPr>
            <w:tcW w:type="dxa" w:w="2232"/>
            <w:vAlign w:val="top"/>
          </w:tcPr>
          <w:p>
            <w:pPr>
              <w:spacing w:after="40" w:before="0" w:line="259" w:lineRule="auto"/>
            </w:pPr>
            <w:r>
              <w:rPr>
                <w:rFonts w:ascii="Calibri" w:hAnsi="Calibri"/>
                <w:b/>
                <w:i w:val="0"/>
                <w:color w:val="212121"/>
                <w:sz w:val="19"/>
              </w:rPr>
              <w:t>Child undernutrition / malnutrition</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Undernutrition impairs immunity and worsens RSV severity, while RSV illness further reduces feeding and nutrition - each aggravating the other.</w:t>
            </w:r>
          </w:p>
        </w:tc>
      </w:tr>
      <w:tr>
        <w:trPr>
          <w:cantSplit/>
        </w:trPr>
        <w:tc>
          <w:tcPr>
            <w:tcW w:type="dxa" w:w="2232"/>
            <w:vAlign w:val="top"/>
          </w:tcPr>
          <w:p>
            <w:pPr>
              <w:spacing w:after="40" w:before="0" w:line="259" w:lineRule="auto"/>
            </w:pPr>
            <w:r>
              <w:rPr>
                <w:rFonts w:ascii="Calibri" w:hAnsi="Calibri"/>
                <w:b/>
                <w:i w:val="0"/>
                <w:color w:val="212121"/>
                <w:sz w:val="19"/>
              </w:rPr>
              <w:t>COPD / congestive heart failure (older adults)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RSV precipitates exacerbations of COPD and heart failure in the elderly, and these comorbidities in turn worsen RSV outcomes.</w:t>
            </w:r>
          </w:p>
        </w:tc>
      </w:tr>
      <w:tr>
        <w:trPr>
          <w:cantSplit/>
        </w:trPr>
        <w:tc>
          <w:tcPr>
            <w:tcW w:type="dxa" w:w="2232"/>
            <w:vAlign w:val="top"/>
          </w:tcPr>
          <w:p>
            <w:pPr>
              <w:spacing w:after="40" w:before="0" w:line="259" w:lineRule="auto"/>
            </w:pPr>
            <w:r>
              <w:rPr>
                <w:rFonts w:ascii="Calibri" w:hAnsi="Calibri"/>
                <w:b/>
                <w:i w:val="0"/>
                <w:color w:val="212121"/>
                <w:sz w:val="19"/>
              </w:rPr>
              <w:t>Immunodeficiency (primary, post-transplant, chemotherapy)</w:t>
            </w:r>
          </w:p>
        </w:tc>
        <w:tc>
          <w:tcPr>
            <w:tcW w:type="dxa" w:w="2520"/>
            <w:vAlign w:val="top"/>
          </w:tcPr>
          <w:p>
            <w:pPr>
              <w:spacing w:after="40" w:before="0" w:line="259" w:lineRule="auto"/>
            </w:pPr>
            <w:r>
              <w:rPr>
                <w:rFonts w:ascii="Calibri" w:hAnsi="Calibri"/>
                <w:b w:val="0"/>
                <w:i w:val="0"/>
                <w:color w:val="212121"/>
                <w:sz w:val="18"/>
              </w:rPr>
              <w:t>• Clinical Management Impact</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Impaired viral clearance causes prolonged shedding and severe or fatal RSV; immune status drives isolation, monitoring and antiviral decisions.</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the RSV danger signs - fast or difficult breathing, chest in-drawing, grunting, poor feeding (under half of normal), fewer wet nappies, bluish lips, or pauses in breathing (apnoea) - and seek urgent 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strict hand hygiene and keep young infants away from people with colds, crowds and tobacco smoke, especially in the first 6 months and during the peak RSV season.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uncomplicated RSV bronchiolitis is viral - antibiotics, routine nebulised bronchodilators and steroids are not helpful; care is supportive.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Ask the doctor about RSV immunoprophylaxis for high-risk infants: long-acting monoclonal antibody (nirsevimab, ~84% protection against RSV-LRTI hospitalisation), maternal RSVpreF vaccine in pregnancy (~72% against severe RSV-LRTI to 180 days), or palivizumab for eligible preterm/CHD/CLD infants.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Exclusively breastfeed and keep routine immunisations up to date to strengthen the infant's defences.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of infants &lt;6 months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Preterm / low-birth-weight infants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Infants with heart or lung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Households with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Caregivers in crowded homes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most cases at home with fluids, nasal saline and suction, fever control (paracetamol) and close monitoring.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hospital care for SpO2 &lt;92%, apnoea, severe retractions, inability to feed, or lethargy - inpatient care is oxygen, hydration and, if needed, respiratory support.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unnecessary antibiotics, nebulised bronchodilators, adrenaline and systemic steroids in typical bronchiolitis.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Isolate or cohort RSV-positive children and enforce hand hygiene to prevent household and hospital spread.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of RSV-infected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Primary-care clinicians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Hospitalised infants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Hold and feed the infant in a semi-upright position and allow adequate rest.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the home well ventilated with fresh air, and avoid taking newborns to crowded indoor gatherings during the RSV season.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age-appropriate activity and outdoor time for older children and adults to support respiratory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high-risk older adults, maintain regular light activity and pulmonary rehabilitation where advised.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Infants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Older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High-risk older adults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Exclusively breastfeed for the first 6 months and continue breastfeeding thereafter - breast-milk antibodies lower RSV-LRTI risk and severity.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infant and maternal nutrition; treat underweight/wasting and correct vitamin A and D deficiencies.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clean water and hygienic feeding practices to avoid additional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frequent small feeds so young infants stay well nourished and hydrated.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Breastfeeding mothers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Undernourished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Infants and young children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Give nasal saline drops and gentle suction before feeds to ease breathing and feeding.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small, frequent feeds or expressed breast milk; use oral rehydration solution for mild dehydration.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the infant cannot feed or is dehydrated, provide nasogastric or intravenous fluids under medical 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During severe distress prioritise the airway and oxygenation rather than forcing oral feeds.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Infants with bronchiolitis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Poorly feeding infants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Hospitalised children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a smoke-free, well-ventilated and non-overcrowded sleeping area.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safe-sleep practices and monitor young or preterm infants for pauses in breathing (apnoea) during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the infant's head slightly elevated if congested, following clinician advice.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Young infants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Preterm infants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Crowded households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Make the home and vehicle completely smoke-free - no one should smoke near infants or pregnant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indoor biomass and solid-fuel smoke by using clean cooking fuels and good ventilation; household and maternal smoke exposure sharply raise severe RSV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caregivers in quitting tobacco before and after the baby's birth.</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Infants in smoking households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using biomass fuel</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Caregivers should avoid alcohol or other intoxication so they can watch the infant closely and respond promptly to danger signs.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 should abstain from alcohol to protect fetal development and overall infant health.</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Caregivers of infants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caregiver wellbeing and reduce anxiety so danger signs are recognised and care is sought promptly.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clear reassurance and information, and connect stressed or postnatally depressed mothers with support services.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and caregivers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Postnatal mothers</w:t>
            </w:r>
          </w:p>
        </w:tc>
        <w:tc>
          <w:tcPr>
            <w:tcW w:type="dxa" w:w="1036"/>
            <w:vAlign w:val="top"/>
          </w:tcPr>
          <w:p>
            <w:pPr>
              <w:spacing w:after="40" w:before="0" w:line="259" w:lineRule="auto"/>
            </w:pPr>
            <w:r>
              <w:rPr>
                <w:rFonts w:ascii="Calibri" w:hAnsi="Calibri"/>
                <w:b w:val="0"/>
                <w:i w:val="0"/>
                <w:color w:val="212121"/>
                <w:sz w:val="19"/>
              </w:rPr>
              <w:t>Low</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mc.ncbi.nlm.nih.gov/articles/PMC13037220/" TargetMode="External"/><Relationship Id="rId10" Type="http://schemas.openxmlformats.org/officeDocument/2006/relationships/hyperlink" Target="https://pmc.ncbi.nlm.nih.gov/articles/PMC12675948/" TargetMode="External"/><Relationship Id="rId11" Type="http://schemas.openxmlformats.org/officeDocument/2006/relationships/hyperlink" Target="https://pmc.ncbi.nlm.nih.gov/articles/PMC12855681/" TargetMode="External"/><Relationship Id="rId12" Type="http://schemas.openxmlformats.org/officeDocument/2006/relationships/hyperlink" Target="https://www.who.int/news-room/fact-sheets/detail/respiratory-syncytial-virus-(rsv)" TargetMode="External"/><Relationship Id="rId13" Type="http://schemas.openxmlformats.org/officeDocument/2006/relationships/hyperlink" Target="https://pmc.ncbi.nlm.nih.gov/articles/PMC12645627/" TargetMode="External"/><Relationship Id="rId14" Type="http://schemas.openxmlformats.org/officeDocument/2006/relationships/hyperlink" Target="https://pubmed.ncbi.nlm.nih.gov/41045533/" TargetMode="External"/><Relationship Id="rId15" Type="http://schemas.openxmlformats.org/officeDocument/2006/relationships/hyperlink" Target="https://pmc.ncbi.nlm.nih.gov/articles/PMC10458146/" TargetMode="External"/><Relationship Id="rId16" Type="http://schemas.openxmlformats.org/officeDocument/2006/relationships/hyperlink" Target="https://pmc.ncbi.nlm.nih.gov/articles/PMC130083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