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Measles</w:t>
      </w:r>
    </w:p>
    <w:p>
      <w:pPr>
        <w:spacing w:before="0" w:after="160"/>
      </w:pPr>
      <w:r>
        <w:rPr>
          <w:rFonts w:ascii="Calibri" w:hAnsi="Calibri"/>
          <w:b/>
          <w:i w:val="0"/>
          <w:color w:val="212121"/>
          <w:sz w:val="22"/>
        </w:rPr>
        <w:t xml:space="preserve">AKA </w:t>
      </w:r>
      <w:r>
        <w:rPr>
          <w:rFonts w:ascii="Calibri" w:hAnsi="Calibri"/>
          <w:b w:val="0"/>
          <w:i w:val="0"/>
          <w:color w:val="212121"/>
          <w:sz w:val="22"/>
        </w:rPr>
        <w:t>i.e., Rubeola, Morbilli, Khasra (Hindi), First Disease, 10-day/red measles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Measles is an acute, extremely contagious viral illness caused by the measles morbillivirus (family Paramyxoviridae). It is characterised by a prodrome of high fever with the three C's (cough, coryza and conjunctivitis), pathognomonic Koplik spots on the buccal mucosa, and a characteristic maculopapular rash that spreads from the head downward. Humans are the only reservoir, spread is airborne, and although self-limiting in the healthy, measles can cause pneumonia, encephalitis, blindness and death, and produces prolonged immune suppression (immune amnesia). It is vaccine-preventable with measles-containing vaccine.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Measles remains endemic in India, which sits within the WHO South-East Asia Region that adopted a measles and rubella (MR) elimination goal (targeted for 2023, since re-timed), and India has historically accounted for a large share of the world's measles cases and deaths. Under the Universal Immunization Programme the MR vaccine is provided free at 9-12 months (MR1) and 16-24 months (MR2), yet pockets of low two-dose coverage in urban slums, migrant, remote and tribal populations continue to drive outbreaks (for example Mumbai in 2022). Globally an estimated 95,000 people - mostly unvaccinated or under-vaccinated children under five - died of measles in 2024, down from 780,000 in 2000, reflecting vaccination gains but a continuing threat wherever immunity gaps persist.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Measles is diagnosed on a clinical case definition supported by laboratory confirmation. A suspected case is confirmed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case definition: generalised maculopapular rash lasting &gt;= 3 days, with fever (historically &gt;= 38.3 C) and at least one of cough, coryza (runny nose) or conjunctivitis;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Pathognomonic Koplik spots (bluish-white spots on an erythematous buccal mucosa) seen during the prodrome are diagnostic even before the rash;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of measles-specific IgM antibody in serum or oral fluid (mainstay of laboratory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of measles virus RNA by RT-PCR in a respiratory (nasopharyngeal/throat) or urine specimen, which also allows genotyping for outbreak tracing;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&gt;= 4-fold rise in measles IgG between paired acute and convalescent sera; or an epidemiological link to a laboratory-confirmed case.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Measles has no aetiological subtypes, but for clinical and surveillance purposes it is described by its evolving phases and by host-modified variants:</w:t>
      </w:r>
    </w:p>
    <w:p>
      <w:pPr>
        <w:spacing w:before="0" w:after="80"/>
      </w:pPr>
      <w:r>
        <w:rPr>
          <w:rFonts w:ascii="Calibri" w:hAnsi="Calibri"/>
          <w:b w:val="0"/>
          <w:i w:val="0"/>
          <w:color w:val="212121"/>
          <w:sz w:val="21"/>
        </w:rPr>
        <w:t>(1) Typical (classic) measles - the full course in a susceptible host: a catarrhal/prodromal phase (3-4 days of rising fever with the three C's and Koplik spots), an exanthematous phase (cephalocaudal maculopapular rash with peak fever), and a convalescent phase with branny desquamation.</w:t>
      </w:r>
    </w:p>
    <w:p>
      <w:pPr>
        <w:spacing w:before="0" w:after="80"/>
      </w:pPr>
      <w:r>
        <w:rPr>
          <w:rFonts w:ascii="Calibri" w:hAnsi="Calibri"/>
          <w:b w:val="0"/>
          <w:i w:val="0"/>
          <w:color w:val="212121"/>
          <w:sz w:val="21"/>
        </w:rPr>
        <w:t>(2) Modified measles - an attenuated, milder and shorter illness in partially immune hosts, such as infants with residual maternal antibody or contacts given post-exposure immunoglobulin.</w:t>
      </w:r>
    </w:p>
    <w:p>
      <w:pPr>
        <w:spacing w:before="0" w:after="80"/>
      </w:pPr>
      <w:r>
        <w:rPr>
          <w:rFonts w:ascii="Calibri" w:hAnsi="Calibri"/>
          <w:b w:val="0"/>
          <w:i w:val="0"/>
          <w:color w:val="212121"/>
          <w:sz w:val="21"/>
        </w:rPr>
        <w:t>(3) Atypical measles - a historical severe variant seen in recipients of the inactivated (killed) measles vaccine used in the 1960s, with an atypical peripheral rash, high fever and pneumonitis.</w:t>
      </w:r>
    </w:p>
    <w:p>
      <w:pPr>
        <w:spacing w:before="0" w:after="80"/>
      </w:pPr>
      <w:r>
        <w:rPr>
          <w:rFonts w:ascii="Calibri" w:hAnsi="Calibri"/>
          <w:b w:val="0"/>
          <w:i w:val="0"/>
          <w:color w:val="212121"/>
          <w:sz w:val="21"/>
        </w:rPr>
        <w:t>(4) Severe/complicated measles - prolonged, high-fatality disease in the malnourished, vitamin A-deficient or immunocompromised, including giant-cell (Hecht) pneumonia and measles inclusion-body encephalitis, sometimes without a classic rash.</w:t>
      </w:r>
    </w:p>
    <w:p>
      <w:pPr>
        <w:spacing w:before="0" w:after="80"/>
      </w:pPr>
      <w:r>
        <w:rPr>
          <w:rFonts w:ascii="Calibri" w:hAnsi="Calibri"/>
          <w:b w:val="0"/>
          <w:i w:val="0"/>
          <w:color w:val="212121"/>
          <w:sz w:val="21"/>
        </w:rPr>
        <w:t>(5) Late CNS disease - subacute sclerosing panencephalitis (SSPE), a rare, fatal degenerative encephalitis appearing years after infection. Surveillance additionally classifies cases as suspected, laboratory-confirmed or epidemiologically linked.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agent: Measles morbillivirus, a single-stranded RNA virus (family Paramyxoviridae, genus Morbillivirus) with a single serotype and humans as the only reservoir.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Airborne transmission: Spread by respiratory droplets and aerosols; one of the most contagious human diseases, with a single case able to generate up to 18 secondary infections in susceptibles.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Immunity gaps / non-vaccination: Being unvaccinated or having only one dose is the dominant driver of infection and outbreaks; sustained &gt;= 95% two-dose coverage is needed to interrupt transmission.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Nutritional deficiency: Vitamin A deficiency and protein-energy malnutrition markedly increase measles severity, ocular complications and case-fatality.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Immunosuppression: HIV, malignancy, chemotherapy, steroids and inherited immunodeficiency cause severe, atypical and prolonged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Overcrowding, poverty and weak health access: Dense living conditions and interrupted immunisation facilitate rapid spread, especially in urban slums, migrant and remote populations.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Waning maternal immunity: Infants become susceptible as transplacental antibody declines (often by 6-9 months), before the first vaccine dose is due.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and young children (&lt; 5 years)</w:t>
            </w:r>
          </w:p>
        </w:tc>
        <w:tc>
          <w:tcPr>
            <w:tcW w:type="dxa" w:w="4276"/>
            <w:vAlign w:val="top"/>
          </w:tcPr>
          <w:p>
            <w:pPr>
              <w:spacing w:after="60" w:line="259" w:lineRule="auto"/>
            </w:pPr>
            <w:r>
              <w:rPr>
                <w:rFonts w:ascii="Calibri" w:hAnsi="Calibri"/>
                <w:b w:val="0"/>
                <w:i w:val="0"/>
                <w:color w:val="212121"/>
                <w:sz w:val="19"/>
              </w:rPr>
              <w:t>Young children have small airways, immature immunity and intense exposure in crowded homes and anganwadis; measles is most severe and most often fatal in this group when vaccination is missed. The virus also causes immune amnesia, erasing prior immune memory and leaving children vulnerable to other infections for months to years.</w:t>
            </w:r>
          </w:p>
          <w:p>
            <w:pPr>
              <w:spacing w:after="40" w:before="60" w:line="259" w:lineRule="auto"/>
            </w:pPr>
            <w:r>
              <w:rPr>
                <w:rFonts w:ascii="Calibri" w:hAnsi="Calibri"/>
                <w:b w:val="0"/>
                <w:i w:val="0"/>
                <w:color w:val="212121"/>
                <w:sz w:val="19"/>
              </w:rPr>
              <w:t>An estimated 95,000 people died of measles globally in 2024, mostly unvaccinated or under-vaccinated children under 5 (down from 780,000 in 2000).</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#underfive  #immuneamnesia  #UIP  #childmortality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Susceptible adults over 30 years</w:t>
            </w:r>
          </w:p>
        </w:tc>
        <w:tc>
          <w:tcPr>
            <w:tcW w:type="dxa" w:w="4276"/>
            <w:vAlign w:val="top"/>
          </w:tcPr>
          <w:p>
            <w:pPr>
              <w:spacing w:after="60" w:line="259" w:lineRule="auto"/>
            </w:pPr>
            <w:r>
              <w:rPr>
                <w:rFonts w:ascii="Calibri" w:hAnsi="Calibri"/>
                <w:b w:val="0"/>
                <w:i w:val="0"/>
                <w:color w:val="212121"/>
                <w:sz w:val="19"/>
              </w:rPr>
              <w:t>Unvaccinated adults, or those with waning single-dose immunity, tend to have more severe measles, with higher rates of pneumonia, hepatitis and hospitalisation than school-age children.</w:t>
            </w:r>
          </w:p>
          <w:p>
            <w:pPr>
              <w:spacing w:after="40" w:before="60" w:line="259" w:lineRule="auto"/>
            </w:pPr>
            <w:r>
              <w:rPr>
                <w:rFonts w:ascii="Calibri" w:hAnsi="Calibri"/>
                <w:b w:val="0"/>
                <w:i w:val="0"/>
                <w:color w:val="212121"/>
                <w:sz w:val="19"/>
              </w:rPr>
              <w:t>WHO lists adults over 30 among the groups at higher risk of severe measles and its complications.</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#adultmeasles  #hepatitis  #severe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under 9 months</w:t>
            </w:r>
          </w:p>
        </w:tc>
        <w:tc>
          <w:tcPr>
            <w:tcW w:type="dxa" w:w="4276"/>
            <w:vAlign w:val="top"/>
          </w:tcPr>
          <w:p>
            <w:pPr>
              <w:spacing w:after="60" w:line="259" w:lineRule="auto"/>
            </w:pPr>
            <w:r>
              <w:rPr>
                <w:rFonts w:ascii="Calibri" w:hAnsi="Calibri"/>
                <w:b w:val="0"/>
                <w:i w:val="0"/>
                <w:color w:val="212121"/>
                <w:sz w:val="19"/>
              </w:rPr>
              <w:t>As transplacental maternal antibody wanes (often by 6-9 months, and earlier in infants of vaccinated rather than naturally infected mothers), infants enter a susceptibility window before the first MR dose is due at 9-12 months. During outbreaks an accelerated dose from 6 months may be advised.</w:t>
            </w:r>
          </w:p>
          <w:p>
            <w:pPr>
              <w:spacing w:before="60" w:after="40"/>
            </w:pPr>
            <w:r>
              <w:rPr>
                <w:rFonts w:ascii="Calibri" w:hAnsi="Calibri"/>
                <w:b w:val="0"/>
                <w:i w:val="0"/>
                <w:color w:val="5A5A5A"/>
                <w:sz w:val="18"/>
              </w:rPr>
              <w:t>#maternalantibody  #susceptibilitywindow  #MR1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(SSPE predominance)</w:t>
            </w:r>
          </w:p>
        </w:tc>
        <w:tc>
          <w:tcPr>
            <w:tcW w:type="dxa" w:w="4276"/>
            <w:vAlign w:val="top"/>
          </w:tcPr>
          <w:p>
            <w:pPr>
              <w:spacing w:after="60" w:line="259" w:lineRule="auto"/>
            </w:pPr>
            <w:r>
              <w:rPr>
                <w:rFonts w:ascii="Calibri" w:hAnsi="Calibri"/>
                <w:b w:val="0"/>
                <w:i w:val="0"/>
                <w:color w:val="212121"/>
                <w:sz w:val="19"/>
              </w:rPr>
              <w:t>Acute measles incidence is broadly similar between the sexes, but the devastating late complication SSPE shows a consistent male predominance (roughly 2-3:1) and typically follows measles acquired at a young age.</w:t>
            </w:r>
          </w:p>
          <w:p>
            <w:pPr>
              <w:spacing w:before="60" w:after="40"/>
            </w:pPr>
            <w:r>
              <w:rPr>
                <w:rFonts w:ascii="Calibri" w:hAnsi="Calibri"/>
                <w:b w:val="0"/>
                <w:i w:val="0"/>
                <w:color w:val="5A5A5A"/>
                <w:sz w:val="18"/>
              </w:rPr>
              <w:t>#SSPE  #malepredominance  #latecomplication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poor, slum and migrant households</w:t>
            </w:r>
          </w:p>
        </w:tc>
        <w:tc>
          <w:tcPr>
            <w:tcW w:type="dxa" w:w="4276"/>
            <w:vAlign w:val="top"/>
          </w:tcPr>
          <w:p>
            <w:pPr>
              <w:spacing w:after="60" w:line="259" w:lineRule="auto"/>
            </w:pPr>
            <w:r>
              <w:rPr>
                <w:rFonts w:ascii="Calibri" w:hAnsi="Calibri"/>
                <w:b w:val="0"/>
                <w:i w:val="0"/>
                <w:color w:val="212121"/>
                <w:sz w:val="19"/>
              </w:rPr>
              <w:t>Overcrowding, indoor congestion, delayed care-seeking and interrupted vaccination in low-income and migrant families amplify transmission; a single case in a crowded dwelling can infect almost every susceptible contact.</w:t>
            </w:r>
          </w:p>
          <w:p>
            <w:pPr>
              <w:spacing w:after="40" w:before="60" w:line="259" w:lineRule="auto"/>
            </w:pPr>
            <w:r>
              <w:rPr>
                <w:rFonts w:ascii="Calibri" w:hAnsi="Calibri"/>
                <w:b w:val="0"/>
                <w:i w:val="0"/>
                <w:color w:val="212121"/>
                <w:sz w:val="19"/>
              </w:rPr>
              <w:t>One person infected with measles can generate up to 18 secondary infections in a fully susceptible population.</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#urbanpoor  #slums  #overcrowding  #migrants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 (WHO South-East Asia Region)</w:t>
            </w:r>
          </w:p>
        </w:tc>
        <w:tc>
          <w:tcPr>
            <w:tcW w:type="dxa" w:w="4276"/>
            <w:vAlign w:val="top"/>
          </w:tcPr>
          <w:p>
            <w:pPr>
              <w:spacing w:after="60" w:line="259" w:lineRule="auto"/>
            </w:pPr>
            <w:r>
              <w:rPr>
                <w:rFonts w:ascii="Calibri" w:hAnsi="Calibri"/>
                <w:b w:val="0"/>
                <w:i w:val="0"/>
                <w:color w:val="212121"/>
                <w:sz w:val="19"/>
              </w:rPr>
              <w:t>India carries a large share of the global measles burden owing to its large birth cohort and residual immunity gaps, and is central to the region's measles-rubella elimination effort.</w:t>
            </w:r>
          </w:p>
          <w:p>
            <w:pPr>
              <w:spacing w:after="40" w:before="60" w:line="259" w:lineRule="auto"/>
            </w:pPr>
            <w:r>
              <w:rPr>
                <w:rFonts w:ascii="Calibri" w:hAnsi="Calibri"/>
                <w:b w:val="0"/>
                <w:i w:val="0"/>
                <w:color w:val="212121"/>
                <w:sz w:val="19"/>
              </w:rPr>
              <w:t>WHO notes that India accounts for a significant proportion of measles-related deaths in the world.</w:t>
            </w:r>
          </w:p>
          <w:p>
            <w:pPr>
              <w:spacing w:after="40" w:line="252" w:lineRule="auto"/>
            </w:pPr>
            <w:hyperlink r:id="rId10">
              <w:r>
                <w:rPr>
                  <w:rFonts w:ascii="Calibri" w:hAnsi="Calibri" w:cs="Calibri"/>
                  <w:sz w:val="18"/>
                  <w:color w:val="1155CC"/>
                  <w:u w:val="single"/>
                </w:rPr>
                <w:t xml:space="preserve">who.int/india - measles</w:t>
              </w:r>
            </w:hyperlink>
          </w:p>
          <w:p>
            <w:pPr>
              <w:spacing w:before="60" w:after="40"/>
            </w:pPr>
            <w:r>
              <w:rPr>
                <w:rFonts w:ascii="Calibri" w:hAnsi="Calibri"/>
                <w:b w:val="0"/>
                <w:i w:val="0"/>
                <w:color w:val="5A5A5A"/>
                <w:sz w:val="18"/>
              </w:rPr>
              <w:t>#India  #SEAR  #MRelimination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Densely populated cities and slums (e.g., Mumbai 2022)</w:t>
            </w:r>
          </w:p>
        </w:tc>
        <w:tc>
          <w:tcPr>
            <w:tcW w:type="dxa" w:w="4276"/>
            <w:vAlign w:val="top"/>
          </w:tcPr>
          <w:p>
            <w:pPr>
              <w:spacing w:after="60" w:line="259" w:lineRule="auto"/>
            </w:pPr>
            <w:r>
              <w:rPr>
                <w:rFonts w:ascii="Calibri" w:hAnsi="Calibri"/>
                <w:b w:val="0"/>
                <w:i w:val="0"/>
                <w:color w:val="212121"/>
                <w:sz w:val="19"/>
              </w:rPr>
              <w:t>Airborne aerosols keep the virus infectious in the air and on surfaces for up to two hours; dense settlements with pockets of unimmunised children have driven explosive urban outbreaks.</w:t>
            </w:r>
          </w:p>
          <w:p>
            <w:pPr>
              <w:spacing w:after="40" w:before="60" w:line="259" w:lineRule="auto"/>
            </w:pPr>
            <w:r>
              <w:rPr>
                <w:rFonts w:ascii="Calibri" w:hAnsi="Calibri"/>
                <w:b w:val="0"/>
                <w:i w:val="0"/>
                <w:color w:val="212121"/>
                <w:sz w:val="19"/>
              </w:rPr>
              <w:t>The measles virus remains active and contagious in the air or on surfaces for up to two hours, and cases are infectious from 4 days before to 4 days after the rash appears.</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#Mumbai  #outbreak  #airborne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Rural, remote and tribal districts with low immunisation access</w:t>
            </w:r>
          </w:p>
        </w:tc>
        <w:tc>
          <w:tcPr>
            <w:tcW w:type="dxa" w:w="4276"/>
            <w:vAlign w:val="top"/>
          </w:tcPr>
          <w:p>
            <w:pPr>
              <w:spacing w:after="60" w:line="259" w:lineRule="auto"/>
            </w:pPr>
            <w:r>
              <w:rPr>
                <w:rFonts w:ascii="Calibri" w:hAnsi="Calibri"/>
                <w:b w:val="0"/>
                <w:i w:val="0"/>
                <w:color w:val="212121"/>
                <w:sz w:val="19"/>
              </w:rPr>
              <w:t>Hard-to-reach and tribal blocks with weak cold-chain and service reach accumulate susceptible children; catch-up and intensified campaigns specifically target these clusters.</w:t>
            </w:r>
          </w:p>
          <w:p>
            <w:pPr>
              <w:spacing w:after="40" w:before="60" w:line="259" w:lineRule="auto"/>
            </w:pPr>
            <w:r>
              <w:rPr>
                <w:rFonts w:ascii="Calibri" w:hAnsi="Calibri"/>
                <w:b w:val="0"/>
                <w:i w:val="0"/>
                <w:color w:val="212121"/>
                <w:sz w:val="19"/>
              </w:rPr>
              <w:t>India has conducted measles-rubella catch-up and Intensified Mission Indradhanush (IMI 5.0, 2023) campaigns to reach children who missed MR doses along the elimination roadmap.</w:t>
            </w:r>
          </w:p>
          <w:p>
            <w:pPr>
              <w:spacing w:after="40" w:line="252" w:lineRule="auto"/>
            </w:pPr>
            <w:hyperlink r:id="rId11">
              <w:r>
                <w:rPr>
                  <w:rFonts w:ascii="Calibri" w:hAnsi="Calibri" w:cs="Calibri"/>
                  <w:sz w:val="18"/>
                  <w:color w:val="1155CC"/>
                  <w:u w:val="single"/>
                </w:rPr>
                <w:t xml:space="preserve">unicef.org/india - immunization</w:t>
              </w:r>
            </w:hyperlink>
          </w:p>
          <w:p>
            <w:pPr>
              <w:spacing w:before="60" w:after="40"/>
            </w:pPr>
            <w:r>
              <w:rPr>
                <w:rFonts w:ascii="Calibri" w:hAnsi="Calibri"/>
                <w:b w:val="0"/>
                <w:i w:val="0"/>
                <w:color w:val="5A5A5A"/>
                <w:sz w:val="18"/>
              </w:rPr>
              <w:t>#tribal  #coldchain  #IMI  #catchup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Merge w:val="restart"/>
            <w:vAlign w:val="center"/>
          </w:tcPr>
          <w:p>
            <w:pPr>
              <w:spacing w:after="40"/>
            </w:pPr>
            <w:r>
              <w:rPr>
                <w:rFonts w:ascii="Calibri" w:hAnsi="Calibri"/>
                <w:b w:val="0"/>
                <w:i w:val="0"/>
                <w:color w:val="212121"/>
                <w:sz w:val="19"/>
              </w:rPr>
              <w:t>Provoking factors</w:t>
            </w:r>
          </w:p>
        </w:tc>
        <w:tc>
          <w:tcPr>
            <w:tcW w:type="dxa" w:w="2160"/>
            <w:vAlign w:val="top"/>
          </w:tcPr>
          <w:p>
            <w:pPr>
              <w:spacing w:after="40" w:before="0" w:line="259" w:lineRule="auto"/>
            </w:pPr>
            <w:r>
              <w:rPr>
                <w:rFonts w:ascii="Calibri" w:hAnsi="Calibri"/>
                <w:b w:val="0"/>
                <w:i w:val="0"/>
                <w:color w:val="212121"/>
                <w:sz w:val="19"/>
              </w:rPr>
              <w:t>Unvaccinated or single-dose (under-vaccinated) individuals</w:t>
            </w:r>
          </w:p>
        </w:tc>
        <w:tc>
          <w:tcPr>
            <w:tcW w:type="dxa" w:w="4276"/>
            <w:vAlign w:val="top"/>
          </w:tcPr>
          <w:p>
            <w:pPr>
              <w:spacing w:after="60" w:line="259" w:lineRule="auto"/>
            </w:pPr>
            <w:r>
              <w:rPr>
                <w:rFonts w:ascii="Calibri" w:hAnsi="Calibri"/>
                <w:b w:val="0"/>
                <w:i w:val="0"/>
                <w:color w:val="212121"/>
                <w:sz w:val="19"/>
              </w:rPr>
              <w:t>Being unvaccinated is the single biggest determinant of measles risk. Two doses of measles-containing vaccine are needed for reliable protection; a single dose leaves a meaningful minority susceptible.</w:t>
            </w:r>
          </w:p>
          <w:p>
            <w:pPr>
              <w:spacing w:after="40" w:before="60" w:line="259" w:lineRule="auto"/>
            </w:pPr>
            <w:r>
              <w:rPr>
                <w:rFonts w:ascii="Calibri" w:hAnsi="Calibri"/>
                <w:b w:val="0"/>
                <w:i w:val="0"/>
                <w:color w:val="212121"/>
                <w:sz w:val="19"/>
              </w:rPr>
              <w:t>In 2025 about 84% of children received one dose and 77% both doses of measles vaccine globally, leaving roughly 29 million infants under-protected.</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#unvaccinated  #twodoses  #MCV2  #herdimmunity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Crowded gatherings, schools, camps and transit hubs</w:t>
            </w:r>
          </w:p>
        </w:tc>
        <w:tc>
          <w:tcPr>
            <w:tcW w:type="dxa" w:w="4276"/>
            <w:vAlign w:val="top"/>
          </w:tcPr>
          <w:p>
            <w:pPr>
              <w:spacing w:after="60" w:line="259" w:lineRule="auto"/>
            </w:pPr>
            <w:r>
              <w:rPr>
                <w:rFonts w:ascii="Calibri" w:hAnsi="Calibri"/>
                <w:b w:val="0"/>
                <w:i w:val="0"/>
                <w:color w:val="212121"/>
                <w:sz w:val="19"/>
              </w:rPr>
              <w:t>Prolonged indoor congregation of susceptibles (classrooms, melas, relief camps, transit) enables explosive spread given the virus's extreme contagiousness.</w:t>
            </w:r>
          </w:p>
          <w:p>
            <w:pPr>
              <w:spacing w:after="40" w:before="60" w:line="259" w:lineRule="auto"/>
            </w:pPr>
            <w:r>
              <w:rPr>
                <w:rFonts w:ascii="Calibri" w:hAnsi="Calibri"/>
                <w:b w:val="0"/>
                <w:i w:val="0"/>
                <w:color w:val="212121"/>
                <w:sz w:val="19"/>
              </w:rPr>
              <w:t>Measles is among the most contagious human diseases; a single case can generate up to 18 secondary infections.</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#gatherings  #schools  #camps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Unimmunised travellers and internal migrants</w:t>
            </w:r>
          </w:p>
        </w:tc>
        <w:tc>
          <w:tcPr>
            <w:tcW w:type="dxa" w:w="4276"/>
            <w:vAlign w:val="top"/>
          </w:tcPr>
          <w:p>
            <w:pPr>
              <w:spacing w:after="60" w:line="259" w:lineRule="auto"/>
            </w:pPr>
            <w:r>
              <w:rPr>
                <w:rFonts w:ascii="Calibri" w:hAnsi="Calibri"/>
                <w:b w:val="0"/>
                <w:i w:val="0"/>
                <w:color w:val="212121"/>
                <w:sz w:val="19"/>
              </w:rPr>
              <w:t>Importation and internal migration seed measles into under-immunised communities; unvaccinated travellers can both acquire measles abroad and spread it on return.</w:t>
            </w:r>
          </w:p>
          <w:p>
            <w:pPr>
              <w:spacing w:before="60" w:after="40"/>
            </w:pPr>
            <w:r>
              <w:rPr>
                <w:rFonts w:ascii="Calibri" w:hAnsi="Calibri"/>
                <w:b w:val="0"/>
                <w:i w:val="0"/>
                <w:color w:val="5A5A5A"/>
                <w:sz w:val="18"/>
              </w:rPr>
              <w:t>#travel  #importation  #migration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Vitamin A-deficient children</w:t>
            </w:r>
          </w:p>
        </w:tc>
        <w:tc>
          <w:tcPr>
            <w:tcW w:type="dxa" w:w="4276"/>
            <w:vAlign w:val="top"/>
          </w:tcPr>
          <w:p>
            <w:pPr>
              <w:spacing w:after="60" w:line="259" w:lineRule="auto"/>
            </w:pPr>
            <w:r>
              <w:rPr>
                <w:rFonts w:ascii="Calibri" w:hAnsi="Calibri"/>
                <w:b w:val="0"/>
                <w:i w:val="0"/>
                <w:color w:val="212121"/>
                <w:sz w:val="19"/>
              </w:rPr>
              <w:t>Vitamin A deficiency markedly worsens measles severity and is a leading contributor to measles-associated corneal ulceration, keratomalacia and blindness. WHO recommends vitamin A for every child with measles.</w:t>
            </w:r>
          </w:p>
          <w:p>
            <w:pPr>
              <w:spacing w:after="40" w:before="60" w:line="259" w:lineRule="auto"/>
            </w:pPr>
            <w:r>
              <w:rPr>
                <w:rFonts w:ascii="Calibri" w:hAnsi="Calibri"/>
                <w:b w:val="0"/>
                <w:i w:val="0"/>
                <w:color w:val="212121"/>
                <w:sz w:val="19"/>
              </w:rPr>
              <w:t>Two doses of vitamin A are recommended for all suspected measles cases in children under 5 and reduce the number of measles deaths.</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#vitaminA  #keratomalacia  #blindness  #xerophthalmia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Malnourished / severe acute malnutrition (SAM)</w:t>
            </w:r>
          </w:p>
        </w:tc>
        <w:tc>
          <w:tcPr>
            <w:tcW w:type="dxa" w:w="4276"/>
            <w:vAlign w:val="top"/>
          </w:tcPr>
          <w:p>
            <w:pPr>
              <w:spacing w:after="60" w:line="259" w:lineRule="auto"/>
            </w:pPr>
            <w:r>
              <w:rPr>
                <w:rFonts w:ascii="Calibri" w:hAnsi="Calibri"/>
                <w:b w:val="0"/>
                <w:i w:val="0"/>
                <w:color w:val="212121"/>
                <w:sz w:val="19"/>
              </w:rPr>
              <w:t>Protein-energy malnutrition impairs cell-mediated immunity and epithelial integrity, producing prolonged, severe measles with high case-fatality; measles and malnutrition reinforce each other in a vicious cycle.</w:t>
            </w:r>
          </w:p>
          <w:p>
            <w:pPr>
              <w:spacing w:after="40" w:before="60" w:line="259" w:lineRule="auto"/>
            </w:pPr>
            <w:r>
              <w:rPr>
                <w:rFonts w:ascii="Calibri" w:hAnsi="Calibri"/>
                <w:b w:val="0"/>
                <w:i w:val="0"/>
                <w:color w:val="212121"/>
                <w:sz w:val="19"/>
              </w:rPr>
              <w:t>WHO lists malnourished children among the groups at highest risk of severe measles and death.</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#SAM  #malnutrition  #PEM  #casefatality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Immunodeficiency</w:t>
            </w:r>
          </w:p>
        </w:tc>
        <w:tc>
          <w:tcPr>
            <w:tcW w:type="dxa" w:w="2160"/>
            <w:vAlign w:val="top"/>
          </w:tcPr>
          <w:p>
            <w:pPr>
              <w:spacing w:after="40" w:before="0" w:line="259" w:lineRule="auto"/>
            </w:pPr>
            <w:r>
              <w:rPr>
                <w:rFonts w:ascii="Calibri" w:hAnsi="Calibri"/>
                <w:b w:val="0"/>
                <w:i w:val="0"/>
                <w:color w:val="212121"/>
                <w:sz w:val="19"/>
              </w:rPr>
              <w:t>Primary immunodeficiency (e.g., SCID, combined T-cell defects)</w:t>
            </w:r>
          </w:p>
        </w:tc>
        <w:tc>
          <w:tcPr>
            <w:tcW w:type="dxa" w:w="4276"/>
            <w:vAlign w:val="top"/>
          </w:tcPr>
          <w:p>
            <w:pPr>
              <w:spacing w:after="60" w:line="259" w:lineRule="auto"/>
            </w:pPr>
            <w:r>
              <w:rPr>
                <w:rFonts w:ascii="Calibri" w:hAnsi="Calibri"/>
                <w:b w:val="0"/>
                <w:i w:val="0"/>
                <w:color w:val="212121"/>
                <w:sz w:val="19"/>
              </w:rPr>
              <w:t>Children with inherited T-cell or combined immunodeficiency cannot clear the virus and may develop fatal giant-cell (Hecht) pneumonia or measles inclusion-body encephalitis, sometimes without the classic rash. The live MR vaccine is contraindicated in severe immunodeficiency.</w:t>
            </w:r>
          </w:p>
          <w:p>
            <w:pPr>
              <w:spacing w:after="40" w:before="60" w:line="259" w:lineRule="auto"/>
            </w:pPr>
            <w:r>
              <w:rPr>
                <w:rFonts w:ascii="Calibri" w:hAnsi="Calibri"/>
                <w:b w:val="0"/>
                <w:i w:val="0"/>
                <w:color w:val="212121"/>
                <w:sz w:val="19"/>
              </w:rPr>
              <w:t>Immunocompromised individuals are among WHO's listed high-risk groups for severe measles.</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#SCID  #giantcellpneumonia  #MIBE  #livevaccine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Susceptible (unimmunised) household contacts</w:t>
            </w:r>
          </w:p>
        </w:tc>
        <w:tc>
          <w:tcPr>
            <w:tcW w:type="dxa" w:w="4276"/>
            <w:vAlign w:val="top"/>
          </w:tcPr>
          <w:p>
            <w:pPr>
              <w:spacing w:after="60" w:line="259" w:lineRule="auto"/>
            </w:pPr>
            <w:r>
              <w:rPr>
                <w:rFonts w:ascii="Calibri" w:hAnsi="Calibri"/>
                <w:b w:val="0"/>
                <w:i w:val="0"/>
                <w:color w:val="212121"/>
                <w:sz w:val="19"/>
              </w:rPr>
              <w:t>Measles is not inherited, but susceptibility clusters in families: an index case readily infects unvaccinated siblings and close contacts, with a secondary attack rate approaching 90% among susceptibles.</w:t>
            </w:r>
          </w:p>
          <w:p>
            <w:pPr>
              <w:spacing w:before="60" w:after="40"/>
            </w:pPr>
            <w:r>
              <w:rPr>
                <w:rFonts w:ascii="Calibri" w:hAnsi="Calibri"/>
                <w:b w:val="0"/>
                <w:i w:val="0"/>
                <w:color w:val="5A5A5A"/>
                <w:sz w:val="18"/>
              </w:rPr>
              <w:t>#householdcontacts  #secondaryattack  #siblings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People living with HIV or on immunosuppressive therapy</w:t>
            </w:r>
          </w:p>
        </w:tc>
        <w:tc>
          <w:tcPr>
            <w:tcW w:type="dxa" w:w="4276"/>
            <w:vAlign w:val="top"/>
          </w:tcPr>
          <w:p>
            <w:pPr>
              <w:spacing w:after="60" w:line="259" w:lineRule="auto"/>
            </w:pPr>
            <w:r>
              <w:rPr>
                <w:rFonts w:ascii="Calibri" w:hAnsi="Calibri"/>
                <w:b w:val="0"/>
                <w:i w:val="0"/>
                <w:color w:val="212121"/>
                <w:sz w:val="19"/>
              </w:rPr>
              <w:t>HIV and iatrogenic immunosuppression (chemotherapy, high-dose steroids, transplant) predispose to severe, atypical and prolonged measles with prolonged viral shedding; measles vaccination is contraindicated in severe immunosuppression, complicating protection.</w:t>
            </w:r>
          </w:p>
          <w:p>
            <w:pPr>
              <w:spacing w:after="40" w:before="60" w:line="259" w:lineRule="auto"/>
            </w:pPr>
            <w:r>
              <w:rPr>
                <w:rFonts w:ascii="Calibri" w:hAnsi="Calibri"/>
                <w:b w:val="0"/>
                <w:i w:val="0"/>
                <w:color w:val="212121"/>
                <w:sz w:val="19"/>
              </w:rPr>
              <w:t>Immunocompromised individuals are listed by WHO among those at higher risk of severe measles and complications.</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#HIV  #immunosuppression  #prolongedshedding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Unimmunised pregnant women</w:t>
            </w:r>
          </w:p>
        </w:tc>
        <w:tc>
          <w:tcPr>
            <w:tcW w:type="dxa" w:w="4276"/>
            <w:vAlign w:val="top"/>
          </w:tcPr>
          <w:p>
            <w:pPr>
              <w:spacing w:after="60" w:line="259" w:lineRule="auto"/>
            </w:pPr>
            <w:r>
              <w:rPr>
                <w:rFonts w:ascii="Calibri" w:hAnsi="Calibri"/>
                <w:b w:val="0"/>
                <w:i w:val="0"/>
                <w:color w:val="212121"/>
                <w:sz w:val="19"/>
              </w:rPr>
              <w:t>Measles in pregnancy carries higher risk of maternal pneumonia and hospitalisation and of miscarriage, preterm birth and low birth weight. The live MR vaccine cannot be given during pregnancy, so pre-pregnancy immunity is key.</w:t>
            </w:r>
          </w:p>
          <w:p>
            <w:pPr>
              <w:spacing w:after="40" w:before="60" w:line="259" w:lineRule="auto"/>
            </w:pPr>
            <w:r>
              <w:rPr>
                <w:rFonts w:ascii="Calibri" w:hAnsi="Calibri"/>
                <w:b w:val="0"/>
                <w:i w:val="0"/>
                <w:color w:val="212121"/>
                <w:sz w:val="19"/>
              </w:rPr>
              <w:t>Pregnant women are among WHO's listed high-risk groups; live MMR vaccine should be deferred until after pregnancy.</w:t>
            </w:r>
          </w:p>
          <w:p>
            <w:pPr>
              <w:spacing w:after="40" w:line="252" w:lineRule="auto"/>
            </w:pPr>
            <w:hyperlink r:id="rId9">
              <w:r>
                <w:rPr>
                  <w:rFonts w:ascii="Calibri" w:hAnsi="Calibri" w:cs="Calibri"/>
                  <w:sz w:val="18"/>
                  <w:color w:val="1155CC"/>
                  <w:u w:val="single"/>
                </w:rPr>
                <w:t xml:space="preserve">who.int - measles fact sheet</w:t>
              </w:r>
            </w:hyperlink>
          </w:p>
          <w:p>
            <w:pPr>
              <w:spacing w:before="60" w:after="40"/>
            </w:pPr>
            <w:r>
              <w:rPr>
                <w:rFonts w:ascii="Calibri" w:hAnsi="Calibri"/>
                <w:b w:val="0"/>
                <w:i w:val="0"/>
                <w:color w:val="5A5A5A"/>
                <w:sz w:val="18"/>
              </w:rPr>
              <w:t>#pregnancy  #pretermbirth  #MMRcontraindicated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Immune amnesia / latent TB</w:t>
            </w:r>
          </w:p>
        </w:tc>
        <w:tc>
          <w:tcPr>
            <w:tcW w:type="dxa" w:w="2160"/>
            <w:vAlign w:val="top"/>
          </w:tcPr>
          <w:p>
            <w:pPr>
              <w:spacing w:after="40" w:before="0" w:line="259" w:lineRule="auto"/>
            </w:pPr>
            <w:r>
              <w:rPr>
                <w:rFonts w:ascii="Calibri" w:hAnsi="Calibri"/>
                <w:b w:val="0"/>
                <w:i w:val="0"/>
                <w:color w:val="212121"/>
                <w:sz w:val="19"/>
              </w:rPr>
              <w:t>Recent measles or latent tuberculosis</w:t>
            </w:r>
          </w:p>
        </w:tc>
        <w:tc>
          <w:tcPr>
            <w:tcW w:type="dxa" w:w="4276"/>
            <w:vAlign w:val="top"/>
          </w:tcPr>
          <w:p>
            <w:pPr>
              <w:spacing w:after="60" w:line="259" w:lineRule="auto"/>
            </w:pPr>
            <w:r>
              <w:rPr>
                <w:rFonts w:ascii="Calibri" w:hAnsi="Calibri"/>
                <w:b w:val="0"/>
                <w:i w:val="0"/>
                <w:color w:val="212121"/>
                <w:sz w:val="19"/>
              </w:rPr>
              <w:t>Measles depletes immune-memory cells (immune amnesia), raising susceptibility to other infections for months to years, and its transient immunosuppression can reactivate latent tuberculosis and worsen intercurrent infections.</w:t>
            </w:r>
          </w:p>
          <w:p>
            <w:pPr>
              <w:spacing w:before="60" w:after="40"/>
            </w:pPr>
            <w:r>
              <w:rPr>
                <w:rFonts w:ascii="Calibri" w:hAnsi="Calibri"/>
                <w:b w:val="0"/>
                <w:i w:val="0"/>
                <w:color w:val="5A5A5A"/>
                <w:sz w:val="18"/>
              </w:rPr>
              <w:t>#immuneamnesia  #TBreactivation  #secondaryinfection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itself neither prevents nor causes measles; rest during the febrile phase supports recovery, and overexertion should be avoided until the fever settles.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Vitamin A deficiency and malnutrition are major determinants of measles severity and mortality; well-nourished, vitamin A-replete children have milder disease, and WHO recommends vitamin A for every case.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rest and sleep aid immune recovery during the acute illness, but sleep has no established role in measles susceptibility or prevention.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Household tobacco smoke and biomass-fuel smoke damage the respiratory epithelium and increase the risk and severity of measles pneumonia, the leading cause of measles death in children.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in acquisition; heavy use may impair immunity and, in adults, compound measles hepatitis, but evidence is limited.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link to measles; psychosocial factors act mainly through vaccine hesitancy and caregiver stress during severe illness or SSPE.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Hydration is central to managing measles-associated diarrhoea and high fever; dehydration is a common, preventable cause of clinical deterioration.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and measles.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Measles is airborne, so hand hygiene alone cannot prevent it; respiratory hygiene, prompt isolation and clean supportive care reduce secondary bacterial infection and onward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Exposure to an infectious case, crowding and, above all, being unvaccinated are the dominant drivers; a single case can generate up to 18 secondary infections in susceptibles.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Measles-containing vaccine doses received</w:t>
            </w:r>
          </w:p>
        </w:tc>
        <w:tc>
          <w:tcPr>
            <w:tcW w:type="dxa" w:w="1655"/>
            <w:vAlign w:val="top"/>
          </w:tcPr>
          <w:p>
            <w:pPr>
              <w:spacing w:after="40" w:before="0" w:line="259" w:lineRule="auto"/>
            </w:pPr>
            <w:r>
              <w:rPr>
                <w:rFonts w:ascii="Calibri" w:hAnsi="Calibri"/>
                <w:b w:val="0"/>
                <w:i w:val="0"/>
                <w:color w:val="212121"/>
                <w:sz w:val="19"/>
              </w:rPr>
              <w:t>Children, susceptible adults</w:t>
            </w:r>
          </w:p>
        </w:tc>
        <w:tc>
          <w:tcPr>
            <w:tcW w:type="dxa" w:w="1512"/>
            <w:vAlign w:val="top"/>
          </w:tcPr>
          <w:p>
            <w:pPr>
              <w:spacing w:after="40" w:before="0" w:line="259" w:lineRule="auto"/>
            </w:pPr>
            <w:r>
              <w:rPr>
                <w:rFonts w:ascii="Calibri" w:hAnsi="Calibri"/>
                <w:b w:val="0"/>
                <w:i w:val="0"/>
                <w:color w:val="212121"/>
                <w:sz w:val="19"/>
              </w:rPr>
              <w:t>2 documented doses (MR/MMR)</w:t>
            </w:r>
          </w:p>
        </w:tc>
        <w:tc>
          <w:tcPr>
            <w:tcW w:type="dxa" w:w="1512"/>
            <w:vAlign w:val="top"/>
          </w:tcPr>
          <w:p>
            <w:pPr>
              <w:spacing w:after="40" w:before="0" w:line="259" w:lineRule="auto"/>
            </w:pPr>
            <w:r>
              <w:rPr>
                <w:rFonts w:ascii="Calibri" w:hAnsi="Calibri"/>
                <w:b w:val="0"/>
                <w:i w:val="0"/>
                <w:color w:val="212121"/>
                <w:sz w:val="19"/>
              </w:rPr>
              <w:t>0 or 1 dose</w:t>
            </w:r>
          </w:p>
        </w:tc>
        <w:tc>
          <w:tcPr>
            <w:tcW w:type="dxa" w:w="1468"/>
            <w:vAlign w:val="top"/>
          </w:tcPr>
          <w:p>
            <w:pPr>
              <w:spacing w:after="60" w:line="259" w:lineRule="auto"/>
            </w:pPr>
            <w:r>
              <w:rPr>
                <w:rFonts w:ascii="Calibri" w:hAnsi="Calibri"/>
                <w:b w:val="0"/>
                <w:i w:val="0"/>
                <w:color w:val="212121"/>
                <w:sz w:val="19"/>
              </w:rPr>
              <w:t>One dose of MMR is ~93% and two doses ~97% effective against measles</w:t>
            </w:r>
          </w:p>
          <w:p>
            <w:pPr>
              <w:spacing w:after="40" w:line="252" w:lineRule="auto"/>
            </w:pPr>
            <w:hyperlink r:id="rId12">
              <w:r>
                <w:rPr>
                  <w:rFonts w:ascii="Calibri" w:hAnsi="Calibri" w:cs="Calibri"/>
                  <w:sz w:val="18"/>
                  <w:color w:val="1155CC"/>
                  <w:u w:val="single"/>
                </w:rPr>
                <w:t xml:space="preserve">https://www.cdc.gov/measles/vaccines/index.html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Population two-dose MCV coverage (herd immunity)</w:t>
            </w:r>
          </w:p>
        </w:tc>
        <w:tc>
          <w:tcPr>
            <w:tcW w:type="dxa" w:w="1655"/>
            <w:vAlign w:val="top"/>
          </w:tcPr>
          <w:p>
            <w:pPr>
              <w:spacing w:after="40" w:before="0" w:line="259" w:lineRule="auto"/>
            </w:pPr>
            <w:r>
              <w:rPr>
                <w:rFonts w:ascii="Calibri" w:hAnsi="Calibri"/>
                <w:b w:val="0"/>
                <w:i w:val="0"/>
                <w:color w:val="212121"/>
                <w:sz w:val="19"/>
              </w:rPr>
              <w:t>Community/district</w:t>
            </w:r>
          </w:p>
        </w:tc>
        <w:tc>
          <w:tcPr>
            <w:tcW w:type="dxa" w:w="1512"/>
            <w:vAlign w:val="top"/>
          </w:tcPr>
          <w:p>
            <w:pPr>
              <w:spacing w:after="40" w:before="0" w:line="259" w:lineRule="auto"/>
            </w:pPr>
            <w:r>
              <w:rPr>
                <w:rFonts w:ascii="Calibri" w:hAnsi="Calibri"/>
                <w:b w:val="0"/>
                <w:i w:val="0"/>
                <w:color w:val="212121"/>
                <w:sz w:val="19"/>
              </w:rPr>
              <w:t>&gt;= 95%</w:t>
            </w:r>
          </w:p>
        </w:tc>
        <w:tc>
          <w:tcPr>
            <w:tcW w:type="dxa" w:w="1512"/>
            <w:vAlign w:val="top"/>
          </w:tcPr>
          <w:p>
            <w:pPr>
              <w:spacing w:after="40" w:before="0" w:line="259" w:lineRule="auto"/>
            </w:pPr>
            <w:r>
              <w:rPr>
                <w:rFonts w:ascii="Calibri" w:hAnsi="Calibri"/>
                <w:b w:val="0"/>
                <w:i w:val="0"/>
                <w:color w:val="212121"/>
                <w:sz w:val="19"/>
              </w:rPr>
              <w:t>&lt; 95% (especially &lt; 80%)</w:t>
            </w:r>
          </w:p>
        </w:tc>
        <w:tc>
          <w:tcPr>
            <w:tcW w:type="dxa" w:w="1468"/>
            <w:vAlign w:val="top"/>
          </w:tcPr>
          <w:p>
            <w:pPr>
              <w:spacing w:after="60" w:line="259" w:lineRule="auto"/>
            </w:pPr>
            <w:r>
              <w:rPr>
                <w:rFonts w:ascii="Calibri" w:hAnsi="Calibri"/>
                <w:b w:val="0"/>
                <w:i w:val="0"/>
                <w:color w:val="212121"/>
                <w:sz w:val="19"/>
              </w:rPr>
              <w:t>High, uniform two-dose coverage is required to interrupt transmission; global two-dose coverage was 77% in 2025</w:t>
            </w:r>
          </w:p>
          <w:p>
            <w:pPr>
              <w:spacing w:after="40" w:line="252" w:lineRule="auto"/>
            </w:pPr>
            <w:hyperlink r:id="rId9">
              <w:r>
                <w:rPr>
                  <w:rFonts w:ascii="Calibri" w:hAnsi="Calibri" w:cs="Calibri"/>
                  <w:sz w:val="18"/>
                  <w:color w:val="1155CC"/>
                  <w:u w:val="single"/>
                </w:rPr>
                <w:t xml:space="preserve">https://www.who.int/news-room/fact-sheets/detail/measles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Contact/exposure to a confirmed case</w:t>
            </w:r>
          </w:p>
        </w:tc>
        <w:tc>
          <w:tcPr>
            <w:tcW w:type="dxa" w:w="1655"/>
            <w:vAlign w:val="top"/>
          </w:tcPr>
          <w:p>
            <w:pPr>
              <w:spacing w:after="40" w:before="0" w:line="259" w:lineRule="auto"/>
            </w:pPr>
            <w:r>
              <w:rPr>
                <w:rFonts w:ascii="Calibri" w:hAnsi="Calibri"/>
                <w:b w:val="0"/>
                <w:i w:val="0"/>
                <w:color w:val="212121"/>
                <w:sz w:val="19"/>
              </w:rPr>
              <w:t>Susceptible contacts</w:t>
            </w:r>
          </w:p>
        </w:tc>
        <w:tc>
          <w:tcPr>
            <w:tcW w:type="dxa" w:w="1512"/>
            <w:vAlign w:val="top"/>
          </w:tcPr>
          <w:p>
            <w:pPr>
              <w:spacing w:after="40" w:before="0" w:line="259" w:lineRule="auto"/>
            </w:pPr>
            <w:r>
              <w:rPr>
                <w:rFonts w:ascii="Calibri" w:hAnsi="Calibri"/>
                <w:b w:val="0"/>
                <w:i w:val="0"/>
                <w:color w:val="212121"/>
                <w:sz w:val="19"/>
              </w:rPr>
              <w:t>No known contact</w:t>
            </w:r>
          </w:p>
        </w:tc>
        <w:tc>
          <w:tcPr>
            <w:tcW w:type="dxa" w:w="1512"/>
            <w:vAlign w:val="top"/>
          </w:tcPr>
          <w:p>
            <w:pPr>
              <w:spacing w:after="40" w:before="0" w:line="259" w:lineRule="auto"/>
            </w:pPr>
            <w:r>
              <w:rPr>
                <w:rFonts w:ascii="Calibri" w:hAnsi="Calibri"/>
                <w:b w:val="0"/>
                <w:i w:val="0"/>
                <w:color w:val="212121"/>
                <w:sz w:val="19"/>
              </w:rPr>
              <w:t>Close/household contact within 21 days</w:t>
            </w:r>
          </w:p>
        </w:tc>
        <w:tc>
          <w:tcPr>
            <w:tcW w:type="dxa" w:w="1468"/>
            <w:vAlign w:val="top"/>
          </w:tcPr>
          <w:p>
            <w:pPr>
              <w:spacing w:after="40" w:before="0" w:line="259" w:lineRule="auto"/>
            </w:pPr>
            <w:r>
              <w:rPr>
                <w:rFonts w:ascii="Calibri" w:hAnsi="Calibri"/>
                <w:b w:val="0"/>
                <w:i w:val="0"/>
                <w:color w:val="212121"/>
                <w:sz w:val="19"/>
              </w:rPr>
              <w:t>Consider post-exposure MMR within 72 h or immunoglobulin within 6 days for eligible contacts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Isolation after rash onset</w:t>
            </w:r>
          </w:p>
        </w:tc>
        <w:tc>
          <w:tcPr>
            <w:tcW w:type="dxa" w:w="1655"/>
            <w:vAlign w:val="top"/>
          </w:tcPr>
          <w:p>
            <w:pPr>
              <w:spacing w:after="40" w:before="0" w:line="259" w:lineRule="auto"/>
            </w:pPr>
            <w:r>
              <w:rPr>
                <w:rFonts w:ascii="Calibri" w:hAnsi="Calibri"/>
                <w:b w:val="0"/>
                <w:i w:val="0"/>
                <w:color w:val="212121"/>
                <w:sz w:val="19"/>
              </w:rPr>
              <w:t>Confirmed/suspected cases</w:t>
            </w:r>
          </w:p>
        </w:tc>
        <w:tc>
          <w:tcPr>
            <w:tcW w:type="dxa" w:w="1512"/>
            <w:vAlign w:val="top"/>
          </w:tcPr>
          <w:p>
            <w:pPr>
              <w:spacing w:after="40" w:before="0" w:line="259" w:lineRule="auto"/>
            </w:pPr>
            <w:r>
              <w:rPr>
                <w:rFonts w:ascii="Calibri" w:hAnsi="Calibri"/>
                <w:b w:val="0"/>
                <w:i w:val="0"/>
                <w:color w:val="212121"/>
                <w:sz w:val="19"/>
              </w:rPr>
              <w:t>Airborne isolation until 4 days after rash onset</w:t>
            </w:r>
          </w:p>
        </w:tc>
        <w:tc>
          <w:tcPr>
            <w:tcW w:type="dxa" w:w="1512"/>
            <w:vAlign w:val="top"/>
          </w:tcPr>
          <w:p>
            <w:pPr>
              <w:spacing w:after="40" w:before="0" w:line="259" w:lineRule="auto"/>
            </w:pPr>
            <w:r>
              <w:rPr>
                <w:rFonts w:ascii="Calibri" w:hAnsi="Calibri"/>
                <w:b w:val="0"/>
                <w:i w:val="0"/>
                <w:color w:val="212121"/>
                <w:sz w:val="19"/>
              </w:rPr>
              <w:t>No isolation during infectious period</w:t>
            </w:r>
          </w:p>
        </w:tc>
        <w:tc>
          <w:tcPr>
            <w:tcW w:type="dxa" w:w="1468"/>
            <w:vAlign w:val="top"/>
          </w:tcPr>
          <w:p>
            <w:pPr>
              <w:spacing w:after="60" w:line="259" w:lineRule="auto"/>
            </w:pPr>
            <w:r>
              <w:rPr>
                <w:rFonts w:ascii="Calibri" w:hAnsi="Calibri"/>
                <w:b w:val="0"/>
                <w:i w:val="0"/>
                <w:color w:val="212121"/>
                <w:sz w:val="19"/>
              </w:rPr>
              <w:t>Cases are infectious from 4 days before to 4 days after the rash</w:t>
            </w:r>
          </w:p>
          <w:p>
            <w:pPr>
              <w:spacing w:after="40" w:line="252" w:lineRule="auto"/>
            </w:pPr>
            <w:hyperlink r:id="rId9">
              <w:r>
                <w:rPr>
                  <w:rFonts w:ascii="Calibri" w:hAnsi="Calibri" w:cs="Calibri"/>
                  <w:sz w:val="18"/>
                  <w:color w:val="1155CC"/>
                  <w:u w:val="single"/>
                </w:rPr>
                <w:t xml:space="preserve">https://www.who.int/news-room/fact-sheets/detail/measles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Incubation surveillance window</w:t>
            </w:r>
          </w:p>
        </w:tc>
        <w:tc>
          <w:tcPr>
            <w:tcW w:type="dxa" w:w="1655"/>
            <w:vAlign w:val="top"/>
          </w:tcPr>
          <w:p>
            <w:pPr>
              <w:spacing w:after="40" w:before="0" w:line="259" w:lineRule="auto"/>
            </w:pPr>
            <w:r>
              <w:rPr>
                <w:rFonts w:ascii="Calibri" w:hAnsi="Calibri"/>
                <w:b w:val="0"/>
                <w:i w:val="0"/>
                <w:color w:val="212121"/>
                <w:sz w:val="19"/>
              </w:rPr>
              <w:t>Exposed susceptibles</w:t>
            </w:r>
          </w:p>
        </w:tc>
        <w:tc>
          <w:tcPr>
            <w:tcW w:type="dxa" w:w="1512"/>
            <w:vAlign w:val="top"/>
          </w:tcPr>
          <w:p>
            <w:pPr>
              <w:spacing w:after="40" w:before="0" w:line="259" w:lineRule="auto"/>
            </w:pPr>
            <w:r>
              <w:rPr>
                <w:rFonts w:ascii="Calibri" w:hAnsi="Calibri"/>
                <w:b w:val="0"/>
                <w:i w:val="0"/>
                <w:color w:val="212121"/>
                <w:sz w:val="19"/>
              </w:rPr>
              <w:t>Symptom watch days 7-21; isolate if febrile</w:t>
            </w:r>
          </w:p>
        </w:tc>
        <w:tc>
          <w:tcPr>
            <w:tcW w:type="dxa" w:w="1512"/>
            <w:vAlign w:val="top"/>
          </w:tcPr>
          <w:p>
            <w:pPr>
              <w:spacing w:after="40" w:before="0" w:line="259" w:lineRule="auto"/>
            </w:pPr>
            <w:r>
              <w:rPr>
                <w:rFonts w:ascii="Calibri" w:hAnsi="Calibri"/>
                <w:b w:val="0"/>
                <w:i w:val="0"/>
                <w:color w:val="212121"/>
                <w:sz w:val="19"/>
              </w:rPr>
              <w:t>Fever/rash 7-21 days after exposure</w:t>
            </w:r>
          </w:p>
        </w:tc>
        <w:tc>
          <w:tcPr>
            <w:tcW w:type="dxa" w:w="1468"/>
            <w:vAlign w:val="top"/>
          </w:tcPr>
          <w:p>
            <w:pPr>
              <w:spacing w:after="60" w:line="259" w:lineRule="auto"/>
            </w:pPr>
            <w:r>
              <w:rPr>
                <w:rFonts w:ascii="Calibri" w:hAnsi="Calibri"/>
                <w:b w:val="0"/>
                <w:i w:val="0"/>
                <w:color w:val="212121"/>
                <w:sz w:val="19"/>
              </w:rPr>
              <w:t>Incubation is typically 7-14 days (rash about 14 days after exposure)</w:t>
            </w:r>
          </w:p>
          <w:p>
            <w:pPr>
              <w:spacing w:after="40" w:line="252" w:lineRule="auto"/>
            </w:pPr>
            <w:hyperlink r:id="rId9">
              <w:r>
                <w:rPr>
                  <w:rFonts w:ascii="Calibri" w:hAnsi="Calibri" w:cs="Calibri"/>
                  <w:sz w:val="18"/>
                  <w:color w:val="1155CC"/>
                  <w:u w:val="single"/>
                </w:rPr>
                <w:t xml:space="preserve">https://www.who.int/news-room/fact-sheets/detail/measles</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Vitamin A status (serum retinol)</w:t>
            </w:r>
          </w:p>
        </w:tc>
        <w:tc>
          <w:tcPr>
            <w:tcW w:type="dxa" w:w="1655"/>
            <w:vAlign w:val="top"/>
          </w:tcPr>
          <w:p>
            <w:pPr>
              <w:spacing w:after="40" w:before="0" w:line="259" w:lineRule="auto"/>
            </w:pPr>
            <w:r>
              <w:rPr>
                <w:rFonts w:ascii="Calibri" w:hAnsi="Calibri"/>
                <w:b w:val="0"/>
                <w:i w:val="0"/>
                <w:color w:val="212121"/>
                <w:sz w:val="19"/>
              </w:rPr>
              <w:t>Children with measles</w:t>
            </w:r>
          </w:p>
        </w:tc>
        <w:tc>
          <w:tcPr>
            <w:tcW w:type="dxa" w:w="1512"/>
            <w:vAlign w:val="top"/>
          </w:tcPr>
          <w:p>
            <w:pPr>
              <w:spacing w:after="40" w:before="0" w:line="259" w:lineRule="auto"/>
            </w:pPr>
            <w:r>
              <w:rPr>
                <w:rFonts w:ascii="Calibri" w:hAnsi="Calibri"/>
                <w:b w:val="0"/>
                <w:i w:val="0"/>
                <w:color w:val="212121"/>
                <w:sz w:val="19"/>
              </w:rPr>
              <w:t>&gt;= 20 ug/dL (0.70 umol/L)</w:t>
            </w:r>
          </w:p>
        </w:tc>
        <w:tc>
          <w:tcPr>
            <w:tcW w:type="dxa" w:w="1512"/>
            <w:vAlign w:val="top"/>
          </w:tcPr>
          <w:p>
            <w:pPr>
              <w:spacing w:after="40" w:before="0" w:line="259" w:lineRule="auto"/>
            </w:pPr>
            <w:r>
              <w:rPr>
                <w:rFonts w:ascii="Calibri" w:hAnsi="Calibri"/>
                <w:b w:val="0"/>
                <w:i w:val="0"/>
                <w:color w:val="212121"/>
                <w:sz w:val="19"/>
              </w:rPr>
              <w:t>&lt; 20 ug/dL (deficiency)</w:t>
            </w:r>
          </w:p>
        </w:tc>
        <w:tc>
          <w:tcPr>
            <w:tcW w:type="dxa" w:w="1468"/>
            <w:vAlign w:val="top"/>
          </w:tcPr>
          <w:p>
            <w:pPr>
              <w:spacing w:after="60" w:line="259" w:lineRule="auto"/>
            </w:pPr>
            <w:r>
              <w:rPr>
                <w:rFonts w:ascii="Calibri" w:hAnsi="Calibri"/>
                <w:b w:val="0"/>
                <w:i w:val="0"/>
                <w:color w:val="212121"/>
                <w:sz w:val="19"/>
              </w:rPr>
              <w:t>Deficiency worsens severity and risks blindness; give 2 doses of vitamin A</w:t>
            </w:r>
          </w:p>
          <w:p>
            <w:pPr>
              <w:spacing w:after="40" w:line="252" w:lineRule="auto"/>
            </w:pPr>
            <w:hyperlink r:id="rId9">
              <w:r>
                <w:rPr>
                  <w:rFonts w:ascii="Calibri" w:hAnsi="Calibri" w:cs="Calibri"/>
                  <w:sz w:val="18"/>
                  <w:color w:val="1155CC"/>
                  <w:u w:val="single"/>
                </w:rPr>
                <w:t xml:space="preserve">https://www.who.int/news-room/fact-sheets/detail/measles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Nutritional status (MUAC, 6-59 months)</w:t>
            </w:r>
          </w:p>
        </w:tc>
        <w:tc>
          <w:tcPr>
            <w:tcW w:type="dxa" w:w="1655"/>
            <w:vAlign w:val="top"/>
          </w:tcPr>
          <w:p>
            <w:pPr>
              <w:spacing w:after="40" w:before="0" w:line="259" w:lineRule="auto"/>
            </w:pPr>
            <w:r>
              <w:rPr>
                <w:rFonts w:ascii="Calibri" w:hAnsi="Calibri"/>
                <w:b w:val="0"/>
                <w:i w:val="0"/>
                <w:color w:val="212121"/>
                <w:sz w:val="19"/>
              </w:rPr>
              <w:t>Young children</w:t>
            </w:r>
          </w:p>
        </w:tc>
        <w:tc>
          <w:tcPr>
            <w:tcW w:type="dxa" w:w="1512"/>
            <w:vAlign w:val="top"/>
          </w:tcPr>
          <w:p>
            <w:pPr>
              <w:spacing w:after="40" w:before="0" w:line="259" w:lineRule="auto"/>
            </w:pPr>
            <w:r>
              <w:rPr>
                <w:rFonts w:ascii="Calibri" w:hAnsi="Calibri"/>
                <w:b w:val="0"/>
                <w:i w:val="0"/>
                <w:color w:val="212121"/>
                <w:sz w:val="19"/>
              </w:rPr>
              <w:t>&gt;= 12.5 cm</w:t>
            </w:r>
          </w:p>
        </w:tc>
        <w:tc>
          <w:tcPr>
            <w:tcW w:type="dxa" w:w="1512"/>
            <w:vAlign w:val="top"/>
          </w:tcPr>
          <w:p>
            <w:pPr>
              <w:spacing w:after="40" w:before="0" w:line="259" w:lineRule="auto"/>
            </w:pPr>
            <w:r>
              <w:rPr>
                <w:rFonts w:ascii="Calibri" w:hAnsi="Calibri"/>
                <w:b w:val="0"/>
                <w:i w:val="0"/>
                <w:color w:val="212121"/>
                <w:sz w:val="19"/>
              </w:rPr>
              <w:t>&lt; 11.5 cm (severe acute malnutrition)</w:t>
            </w:r>
          </w:p>
        </w:tc>
        <w:tc>
          <w:tcPr>
            <w:tcW w:type="dxa" w:w="1468"/>
            <w:vAlign w:val="top"/>
          </w:tcPr>
          <w:p>
            <w:pPr>
              <w:spacing w:after="40" w:before="0" w:line="259" w:lineRule="auto"/>
            </w:pPr>
            <w:r>
              <w:rPr>
                <w:rFonts w:ascii="Calibri" w:hAnsi="Calibri"/>
                <w:b w:val="0"/>
                <w:i w:val="0"/>
                <w:color w:val="212121"/>
                <w:sz w:val="19"/>
              </w:rPr>
              <w:t>SAM predicts severe, high-fatality measles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Hydration / oral intake in acute illness</w:t>
            </w:r>
          </w:p>
        </w:tc>
        <w:tc>
          <w:tcPr>
            <w:tcW w:type="dxa" w:w="1655"/>
            <w:vAlign w:val="top"/>
          </w:tcPr>
          <w:p>
            <w:pPr>
              <w:spacing w:after="40" w:before="0" w:line="259" w:lineRule="auto"/>
            </w:pPr>
            <w:r>
              <w:rPr>
                <w:rFonts w:ascii="Calibri" w:hAnsi="Calibri"/>
                <w:b w:val="0"/>
                <w:i w:val="0"/>
                <w:color w:val="212121"/>
                <w:sz w:val="19"/>
              </w:rPr>
              <w:t>Cases with fever or diarrhoea</w:t>
            </w:r>
          </w:p>
        </w:tc>
        <w:tc>
          <w:tcPr>
            <w:tcW w:type="dxa" w:w="1512"/>
            <w:vAlign w:val="top"/>
          </w:tcPr>
          <w:p>
            <w:pPr>
              <w:spacing w:after="40" w:before="0" w:line="259" w:lineRule="auto"/>
            </w:pPr>
            <w:r>
              <w:rPr>
                <w:rFonts w:ascii="Calibri" w:hAnsi="Calibri"/>
                <w:b w:val="0"/>
                <w:i w:val="0"/>
                <w:color w:val="212121"/>
                <w:sz w:val="19"/>
              </w:rPr>
              <w:t>Maintained intake; normal urine output</w:t>
            </w:r>
          </w:p>
        </w:tc>
        <w:tc>
          <w:tcPr>
            <w:tcW w:type="dxa" w:w="1512"/>
            <w:vAlign w:val="top"/>
          </w:tcPr>
          <w:p>
            <w:pPr>
              <w:spacing w:after="40" w:before="0" w:line="259" w:lineRule="auto"/>
            </w:pPr>
            <w:r>
              <w:rPr>
                <w:rFonts w:ascii="Calibri" w:hAnsi="Calibri"/>
                <w:b w:val="0"/>
                <w:i w:val="0"/>
                <w:color w:val="212121"/>
                <w:sz w:val="19"/>
              </w:rPr>
              <w:t>Reduced intake or signs of dehydration</w:t>
            </w:r>
          </w:p>
        </w:tc>
        <w:tc>
          <w:tcPr>
            <w:tcW w:type="dxa" w:w="1468"/>
            <w:vAlign w:val="top"/>
          </w:tcPr>
          <w:p>
            <w:pPr>
              <w:spacing w:after="40" w:before="0" w:line="259" w:lineRule="auto"/>
            </w:pPr>
            <w:r>
              <w:rPr>
                <w:rFonts w:ascii="Calibri" w:hAnsi="Calibri"/>
                <w:b w:val="0"/>
                <w:i w:val="0"/>
                <w:color w:val="212121"/>
                <w:sz w:val="19"/>
              </w:rPr>
              <w:t>Dehydration from fever and diarrhoea is a common, preventable cause of deterioration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smoke exposure (tobacco/biomass)</w:t>
            </w:r>
          </w:p>
        </w:tc>
        <w:tc>
          <w:tcPr>
            <w:tcW w:type="dxa" w:w="1655"/>
            <w:vAlign w:val="top"/>
          </w:tcPr>
          <w:p>
            <w:pPr>
              <w:spacing w:after="40" w:before="0" w:line="259" w:lineRule="auto"/>
            </w:pPr>
            <w:r>
              <w:rPr>
                <w:rFonts w:ascii="Calibri" w:hAnsi="Calibri"/>
                <w:b w:val="0"/>
                <w:i w:val="0"/>
                <w:color w:val="212121"/>
                <w:sz w:val="19"/>
              </w:rPr>
              <w:t>Children in the home</w:t>
            </w:r>
          </w:p>
        </w:tc>
        <w:tc>
          <w:tcPr>
            <w:tcW w:type="dxa" w:w="1512"/>
            <w:vAlign w:val="top"/>
          </w:tcPr>
          <w:p>
            <w:pPr>
              <w:spacing w:after="40" w:before="0" w:line="259" w:lineRule="auto"/>
            </w:pPr>
            <w:r>
              <w:rPr>
                <w:rFonts w:ascii="Calibri" w:hAnsi="Calibri"/>
                <w:b w:val="0"/>
                <w:i w:val="0"/>
                <w:color w:val="212121"/>
                <w:sz w:val="19"/>
              </w:rPr>
              <w:t>Smoke-free home</w:t>
            </w:r>
          </w:p>
        </w:tc>
        <w:tc>
          <w:tcPr>
            <w:tcW w:type="dxa" w:w="1512"/>
            <w:vAlign w:val="top"/>
          </w:tcPr>
          <w:p>
            <w:pPr>
              <w:spacing w:after="40" w:before="0" w:line="259" w:lineRule="auto"/>
            </w:pPr>
            <w:r>
              <w:rPr>
                <w:rFonts w:ascii="Calibri" w:hAnsi="Calibri"/>
                <w:b w:val="0"/>
                <w:i w:val="0"/>
                <w:color w:val="212121"/>
                <w:sz w:val="19"/>
              </w:rPr>
              <w:t>Daily indoor smoke exposure</w:t>
            </w:r>
          </w:p>
        </w:tc>
        <w:tc>
          <w:tcPr>
            <w:tcW w:type="dxa" w:w="1468"/>
            <w:vAlign w:val="top"/>
          </w:tcPr>
          <w:p>
            <w:pPr>
              <w:spacing w:after="40" w:before="0" w:line="259" w:lineRule="auto"/>
            </w:pPr>
            <w:r>
              <w:rPr>
                <w:rFonts w:ascii="Calibri" w:hAnsi="Calibri"/>
                <w:b w:val="0"/>
                <w:i w:val="0"/>
                <w:color w:val="212121"/>
                <w:sz w:val="19"/>
              </w:rPr>
              <w:t>Increases the risk and severity of measles pneumonia</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Activity during the febrile phase</w:t>
            </w:r>
          </w:p>
        </w:tc>
        <w:tc>
          <w:tcPr>
            <w:tcW w:type="dxa" w:w="1655"/>
            <w:vAlign w:val="top"/>
          </w:tcPr>
          <w:p>
            <w:pPr>
              <w:spacing w:after="40" w:before="0" w:line="259" w:lineRule="auto"/>
            </w:pPr>
            <w:r>
              <w:rPr>
                <w:rFonts w:ascii="Calibri" w:hAnsi="Calibri"/>
                <w:b w:val="0"/>
                <w:i w:val="0"/>
                <w:color w:val="212121"/>
                <w:sz w:val="19"/>
              </w:rPr>
              <w:t>Cases</w:t>
            </w:r>
          </w:p>
        </w:tc>
        <w:tc>
          <w:tcPr>
            <w:tcW w:type="dxa" w:w="1512"/>
            <w:vAlign w:val="top"/>
          </w:tcPr>
          <w:p>
            <w:pPr>
              <w:spacing w:after="40" w:before="0" w:line="259" w:lineRule="auto"/>
            </w:pPr>
            <w:r>
              <w:rPr>
                <w:rFonts w:ascii="Calibri" w:hAnsi="Calibri"/>
                <w:b w:val="0"/>
                <w:i w:val="0"/>
                <w:color w:val="212121"/>
                <w:sz w:val="19"/>
              </w:rPr>
              <w:t>Rest until afebrile, then graded return</w:t>
            </w:r>
          </w:p>
        </w:tc>
        <w:tc>
          <w:tcPr>
            <w:tcW w:type="dxa" w:w="1512"/>
            <w:vAlign w:val="top"/>
          </w:tcPr>
          <w:p>
            <w:pPr>
              <w:spacing w:after="40" w:before="0" w:line="259" w:lineRule="auto"/>
            </w:pPr>
            <w:r>
              <w:rPr>
                <w:rFonts w:ascii="Calibri" w:hAnsi="Calibri"/>
                <w:b w:val="0"/>
                <w:i w:val="0"/>
                <w:color w:val="212121"/>
                <w:sz w:val="19"/>
              </w:rPr>
              <w:t>Overexertion while febrile</w:t>
            </w:r>
          </w:p>
        </w:tc>
        <w:tc>
          <w:tcPr>
            <w:tcW w:type="dxa" w:w="1468"/>
            <w:vAlign w:val="top"/>
          </w:tcPr>
          <w:p>
            <w:pPr>
              <w:spacing w:after="40" w:before="0" w:line="259" w:lineRule="auto"/>
            </w:pPr>
            <w:r>
              <w:rPr>
                <w:rFonts w:ascii="Calibri" w:hAnsi="Calibri"/>
                <w:b w:val="0"/>
                <w:i w:val="0"/>
                <w:color w:val="212121"/>
                <w:sz w:val="19"/>
              </w:rPr>
              <w:t>Rest supports recovery; activity has no role in prevention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Measles-specific IgM antibody</w:t>
            </w:r>
          </w:p>
        </w:tc>
        <w:tc>
          <w:tcPr>
            <w:tcW w:type="dxa" w:w="892"/>
            <w:vAlign w:val="top"/>
          </w:tcPr>
          <w:p>
            <w:pPr>
              <w:spacing w:after="40" w:before="0" w:line="259" w:lineRule="auto"/>
            </w:pPr>
            <w:r>
              <w:rPr>
                <w:rFonts w:ascii="Calibri" w:hAnsi="Calibri"/>
                <w:b w:val="0"/>
                <w:i w:val="0"/>
                <w:color w:val="212121"/>
                <w:sz w:val="16"/>
              </w:rPr>
              <w:t>Serology (ELISA)</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Confirms recent measles infection (detectable from ~3 days after rash up to 4-8 weeks)</w:t>
            </w:r>
          </w:p>
        </w:tc>
        <w:tc>
          <w:tcPr>
            <w:tcW w:type="dxa" w:w="1036"/>
            <w:vAlign w:val="top"/>
          </w:tcPr>
          <w:p>
            <w:pPr>
              <w:spacing w:after="40" w:before="0" w:line="259" w:lineRule="auto"/>
            </w:pPr>
            <w:r>
              <w:rPr>
                <w:rFonts w:ascii="Calibri" w:hAnsi="Calibri"/>
                <w:b w:val="0"/>
                <w:i w:val="0"/>
                <w:color w:val="212121"/>
                <w:sz w:val="16"/>
              </w:rPr>
              <w:t>Suspected cases, outbreak contacts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(mainstay of case confirmation)</w:t>
            </w:r>
          </w:p>
        </w:tc>
        <w:tc>
          <w:tcPr>
            <w:tcW w:type="dxa" w:w="720"/>
            <w:vAlign w:val="top"/>
          </w:tcPr>
          <w:p>
            <w:pPr>
              <w:spacing w:after="40" w:before="0" w:line="259" w:lineRule="auto"/>
            </w:pPr>
            <w:r>
              <w:rPr>
                <w:rFonts w:ascii="Calibri" w:hAnsi="Calibri"/>
                <w:b w:val="0"/>
                <w:i w:val="0"/>
                <w:color w:val="212121"/>
                <w:sz w:val="16"/>
              </w:rPr>
              <w:t>May be falsely negative if drawn within 72 h of rash; repeat if early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Measles virus RNA</w:t>
            </w:r>
          </w:p>
        </w:tc>
        <w:tc>
          <w:tcPr>
            <w:tcW w:type="dxa" w:w="892"/>
            <w:vAlign w:val="top"/>
          </w:tcPr>
          <w:p>
            <w:pPr>
              <w:spacing w:after="40" w:before="0" w:line="259" w:lineRule="auto"/>
            </w:pPr>
            <w:r>
              <w:rPr>
                <w:rFonts w:ascii="Calibri" w:hAnsi="Calibri"/>
                <w:b w:val="0"/>
                <w:i w:val="0"/>
                <w:color w:val="212121"/>
                <w:sz w:val="16"/>
              </w:rPr>
              <w:t>RT-PCR (throat/naso swab, urine)</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w:t>
            </w:r>
          </w:p>
        </w:tc>
        <w:tc>
          <w:tcPr>
            <w:tcW w:type="dxa" w:w="1036"/>
            <w:vAlign w:val="top"/>
          </w:tcPr>
          <w:p>
            <w:pPr>
              <w:spacing w:after="40" w:before="0" w:line="259" w:lineRule="auto"/>
            </w:pPr>
            <w:r>
              <w:rPr>
                <w:rFonts w:ascii="Calibri" w:hAnsi="Calibri"/>
                <w:b w:val="0"/>
                <w:i w:val="0"/>
                <w:color w:val="212121"/>
                <w:sz w:val="16"/>
              </w:rPr>
              <w:t>Confirms infection and enables genotyping and outbreak tracing</w:t>
            </w:r>
          </w:p>
        </w:tc>
        <w:tc>
          <w:tcPr>
            <w:tcW w:type="dxa" w:w="1036"/>
            <w:vAlign w:val="top"/>
          </w:tcPr>
          <w:p>
            <w:pPr>
              <w:spacing w:after="40" w:before="0" w:line="259" w:lineRule="auto"/>
            </w:pPr>
            <w:r>
              <w:rPr>
                <w:rFonts w:ascii="Calibri" w:hAnsi="Calibri"/>
                <w:b w:val="0"/>
                <w:i w:val="0"/>
                <w:color w:val="212121"/>
                <w:sz w:val="16"/>
              </w:rPr>
              <w:t>Early cases, outbreak investigation, immunocompromised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Highest yield in the first days of rash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Measles IgG (paired sera)</w:t>
            </w:r>
          </w:p>
        </w:tc>
        <w:tc>
          <w:tcPr>
            <w:tcW w:type="dxa" w:w="892"/>
            <w:vAlign w:val="top"/>
          </w:tcPr>
          <w:p>
            <w:pPr>
              <w:spacing w:after="40" w:before="0" w:line="259" w:lineRule="auto"/>
            </w:pPr>
            <w:r>
              <w:rPr>
                <w:rFonts w:ascii="Calibri" w:hAnsi="Calibri"/>
                <w:b w:val="0"/>
                <w:i w:val="0"/>
                <w:color w:val="212121"/>
                <w:sz w:val="16"/>
              </w:rPr>
              <w:t>Acute &amp; convalescent IgG</w:t>
            </w:r>
          </w:p>
        </w:tc>
        <w:tc>
          <w:tcPr>
            <w:tcW w:type="dxa" w:w="950"/>
            <w:vAlign w:val="top"/>
          </w:tcPr>
          <w:p>
            <w:pPr>
              <w:spacing w:after="40" w:before="0" w:line="259" w:lineRule="auto"/>
            </w:pPr>
            <w:r>
              <w:rPr>
                <w:rFonts w:ascii="Calibri" w:hAnsi="Calibri"/>
                <w:b w:val="0"/>
                <w:i w:val="0"/>
                <w:color w:val="212121"/>
                <w:sz w:val="16"/>
              </w:rPr>
              <w:t>No significant rise / immune</w:t>
            </w:r>
          </w:p>
        </w:tc>
        <w:tc>
          <w:tcPr>
            <w:tcW w:type="dxa" w:w="950"/>
            <w:vAlign w:val="top"/>
          </w:tcPr>
          <w:p>
            <w:pPr>
              <w:spacing w:after="40" w:before="0" w:line="259" w:lineRule="auto"/>
            </w:pPr>
            <w:r>
              <w:rPr>
                <w:rFonts w:ascii="Calibri" w:hAnsi="Calibri"/>
                <w:b w:val="0"/>
                <w:i w:val="0"/>
                <w:color w:val="212121"/>
                <w:sz w:val="16"/>
              </w:rPr>
              <w:t>&gt;= 4-fold rise</w:t>
            </w:r>
          </w:p>
        </w:tc>
        <w:tc>
          <w:tcPr>
            <w:tcW w:type="dxa" w:w="1036"/>
            <w:vAlign w:val="top"/>
          </w:tcPr>
          <w:p>
            <w:pPr>
              <w:spacing w:after="40" w:before="0" w:line="259" w:lineRule="auto"/>
            </w:pPr>
            <w:r>
              <w:rPr>
                <w:rFonts w:ascii="Calibri" w:hAnsi="Calibri"/>
                <w:b w:val="0"/>
                <w:i w:val="0"/>
                <w:color w:val="212121"/>
                <w:sz w:val="16"/>
              </w:rPr>
              <w:t>Seroconversion supports recent infection; a single positive indicates immunity</w:t>
            </w:r>
          </w:p>
        </w:tc>
        <w:tc>
          <w:tcPr>
            <w:tcW w:type="dxa" w:w="1036"/>
            <w:vAlign w:val="top"/>
          </w:tcPr>
          <w:p>
            <w:pPr>
              <w:spacing w:after="40" w:before="0" w:line="259" w:lineRule="auto"/>
            </w:pPr>
            <w:r>
              <w:rPr>
                <w:rFonts w:ascii="Calibri" w:hAnsi="Calibri"/>
                <w:b w:val="0"/>
                <w:i w:val="0"/>
                <w:color w:val="212121"/>
                <w:sz w:val="16"/>
              </w:rPr>
              <w:t>Cases, immunity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used to check vaccine-induced immunity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 with differential</w:t>
            </w:r>
          </w:p>
        </w:tc>
        <w:tc>
          <w:tcPr>
            <w:tcW w:type="dxa" w:w="950"/>
            <w:vAlign w:val="top"/>
          </w:tcPr>
          <w:p>
            <w:pPr>
              <w:spacing w:after="40" w:before="0" w:line="259" w:lineRule="auto"/>
            </w:pPr>
            <w:r>
              <w:rPr>
                <w:rFonts w:ascii="Calibri" w:hAnsi="Calibri"/>
                <w:b w:val="0"/>
                <w:i w:val="0"/>
                <w:color w:val="212121"/>
                <w:sz w:val="16"/>
              </w:rPr>
              <w:t>Age-appropriate</w:t>
            </w:r>
          </w:p>
        </w:tc>
        <w:tc>
          <w:tcPr>
            <w:tcW w:type="dxa" w:w="950"/>
            <w:vAlign w:val="top"/>
          </w:tcPr>
          <w:p>
            <w:pPr>
              <w:spacing w:after="40" w:before="0" w:line="259" w:lineRule="auto"/>
            </w:pPr>
            <w:r>
              <w:rPr>
                <w:rFonts w:ascii="Calibri" w:hAnsi="Calibri"/>
                <w:b w:val="0"/>
                <w:i w:val="0"/>
                <w:color w:val="212121"/>
                <w:sz w:val="16"/>
              </w:rPr>
              <w:t>Leukopenia/lymphopenia; sometimes thrombocytopenia</w:t>
            </w:r>
          </w:p>
        </w:tc>
        <w:tc>
          <w:tcPr>
            <w:tcW w:type="dxa" w:w="1036"/>
            <w:vAlign w:val="top"/>
          </w:tcPr>
          <w:p>
            <w:pPr>
              <w:spacing w:after="40" w:before="0" w:line="259" w:lineRule="auto"/>
            </w:pPr>
            <w:r>
              <w:rPr>
                <w:rFonts w:ascii="Calibri" w:hAnsi="Calibri"/>
                <w:b w:val="0"/>
                <w:i w:val="0"/>
                <w:color w:val="212121"/>
                <w:sz w:val="16"/>
              </w:rPr>
              <w:t>Leukopenia is typical of acute measles and reflects its immune effect</w:t>
            </w:r>
          </w:p>
        </w:tc>
        <w:tc>
          <w:tcPr>
            <w:tcW w:type="dxa" w:w="1036"/>
            <w:vAlign w:val="top"/>
          </w:tcPr>
          <w:p>
            <w:pPr>
              <w:spacing w:after="40" w:before="0" w:line="259" w:lineRule="auto"/>
            </w:pPr>
            <w:r>
              <w:rPr>
                <w:rFonts w:ascii="Calibri" w:hAnsi="Calibri"/>
                <w:b w:val="0"/>
                <w:i w:val="0"/>
                <w:color w:val="212121"/>
                <w:sz w:val="16"/>
              </w:rPr>
              <w:t>All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Marked lymphopenia may precede bacterial superinfection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Micronutrient</w:t>
            </w:r>
          </w:p>
        </w:tc>
        <w:tc>
          <w:tcPr>
            <w:tcW w:type="dxa" w:w="1036"/>
            <w:vAlign w:val="top"/>
          </w:tcPr>
          <w:p>
            <w:pPr>
              <w:spacing w:after="40" w:before="0" w:line="259" w:lineRule="auto"/>
            </w:pPr>
            <w:r>
              <w:rPr>
                <w:rFonts w:ascii="Calibri" w:hAnsi="Calibri"/>
                <w:b w:val="0"/>
                <w:i w:val="0"/>
                <w:color w:val="212121"/>
                <w:sz w:val="16"/>
              </w:rPr>
              <w:t>Serum retinol (vitamin A)</w:t>
            </w:r>
          </w:p>
        </w:tc>
        <w:tc>
          <w:tcPr>
            <w:tcW w:type="dxa" w:w="892"/>
            <w:vAlign w:val="top"/>
          </w:tcPr>
          <w:p>
            <w:pPr>
              <w:spacing w:after="40" w:before="0" w:line="259" w:lineRule="auto"/>
            </w:pPr>
            <w:r>
              <w:rPr>
                <w:rFonts w:ascii="Calibri" w:hAnsi="Calibri"/>
                <w:b w:val="0"/>
                <w:i w:val="0"/>
                <w:color w:val="212121"/>
                <w:sz w:val="16"/>
              </w:rPr>
              <w:t>Vitamin A assay</w:t>
            </w:r>
          </w:p>
        </w:tc>
        <w:tc>
          <w:tcPr>
            <w:tcW w:type="dxa" w:w="950"/>
            <w:vAlign w:val="top"/>
          </w:tcPr>
          <w:p>
            <w:pPr>
              <w:spacing w:after="40" w:before="0" w:line="259" w:lineRule="auto"/>
            </w:pPr>
            <w:r>
              <w:rPr>
                <w:rFonts w:ascii="Calibri" w:hAnsi="Calibri"/>
                <w:b w:val="0"/>
                <w:i w:val="0"/>
                <w:color w:val="212121"/>
                <w:sz w:val="16"/>
              </w:rPr>
              <w:t>&gt;= 20 ug/dL</w:t>
            </w:r>
          </w:p>
        </w:tc>
        <w:tc>
          <w:tcPr>
            <w:tcW w:type="dxa" w:w="950"/>
            <w:vAlign w:val="top"/>
          </w:tcPr>
          <w:p>
            <w:pPr>
              <w:spacing w:after="40" w:before="0" w:line="259" w:lineRule="auto"/>
            </w:pPr>
            <w:r>
              <w:rPr>
                <w:rFonts w:ascii="Calibri" w:hAnsi="Calibri"/>
                <w:b w:val="0"/>
                <w:i w:val="0"/>
                <w:color w:val="212121"/>
                <w:sz w:val="16"/>
              </w:rPr>
              <w:t>&lt; 20 ug/dL</w:t>
            </w:r>
          </w:p>
        </w:tc>
        <w:tc>
          <w:tcPr>
            <w:tcW w:type="dxa" w:w="1036"/>
            <w:vAlign w:val="top"/>
          </w:tcPr>
          <w:p>
            <w:pPr>
              <w:spacing w:after="40" w:before="0" w:line="259" w:lineRule="auto"/>
            </w:pPr>
            <w:r>
              <w:rPr>
                <w:rFonts w:ascii="Calibri" w:hAnsi="Calibri"/>
                <w:b w:val="0"/>
                <w:i w:val="0"/>
                <w:color w:val="212121"/>
                <w:sz w:val="16"/>
              </w:rPr>
              <w:t>Deficiency predicts severe disease and ocular complications</w:t>
            </w:r>
          </w:p>
        </w:tc>
        <w:tc>
          <w:tcPr>
            <w:tcW w:type="dxa" w:w="1036"/>
            <w:vAlign w:val="top"/>
          </w:tcPr>
          <w:p>
            <w:pPr>
              <w:spacing w:after="40" w:before="0" w:line="259" w:lineRule="auto"/>
            </w:pPr>
            <w:r>
              <w:rPr>
                <w:rFonts w:ascii="Calibri" w:hAnsi="Calibri"/>
                <w:b w:val="0"/>
                <w:i w:val="0"/>
                <w:color w:val="212121"/>
                <w:sz w:val="16"/>
              </w:rPr>
              <w:t>Children, malnourished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(guides vitamin A therapy)</w:t>
            </w:r>
          </w:p>
        </w:tc>
        <w:tc>
          <w:tcPr>
            <w:tcW w:type="dxa" w:w="720"/>
            <w:vAlign w:val="top"/>
          </w:tcPr>
          <w:p>
            <w:pPr>
              <w:spacing w:after="40" w:before="0" w:line="259" w:lineRule="auto"/>
            </w:pPr>
            <w:r>
              <w:rPr>
                <w:rFonts w:ascii="Calibri" w:hAnsi="Calibri"/>
                <w:b w:val="0"/>
                <w:i w:val="0"/>
                <w:color w:val="212121"/>
                <w:sz w:val="16"/>
              </w:rPr>
              <w:t>Treat under-5s empirically regardless of level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w:t>
            </w:r>
          </w:p>
        </w:tc>
        <w:tc>
          <w:tcPr>
            <w:tcW w:type="dxa" w:w="1036"/>
            <w:vAlign w:val="top"/>
          </w:tcPr>
          <w:p>
            <w:pPr>
              <w:spacing w:after="40" w:before="0" w:line="259" w:lineRule="auto"/>
            </w:pPr>
            <w:r>
              <w:rPr>
                <w:rFonts w:ascii="Calibri" w:hAnsi="Calibri"/>
                <w:b w:val="0"/>
                <w:i w:val="0"/>
                <w:color w:val="212121"/>
                <w:sz w:val="16"/>
              </w:rPr>
              <w:t>CRP / procalcitonin</w:t>
            </w:r>
          </w:p>
        </w:tc>
        <w:tc>
          <w:tcPr>
            <w:tcW w:type="dxa" w:w="892"/>
            <w:vAlign w:val="top"/>
          </w:tcPr>
          <w:p>
            <w:pPr>
              <w:spacing w:after="40" w:before="0" w:line="259" w:lineRule="auto"/>
            </w:pPr>
            <w:r>
              <w:rPr>
                <w:rFonts w:ascii="Calibri" w:hAnsi="Calibri"/>
                <w:b w:val="0"/>
                <w:i w:val="0"/>
                <w:color w:val="212121"/>
                <w:sz w:val="16"/>
              </w:rPr>
              <w:t>Acute-phase markers</w:t>
            </w:r>
          </w:p>
        </w:tc>
        <w:tc>
          <w:tcPr>
            <w:tcW w:type="dxa" w:w="950"/>
            <w:vAlign w:val="top"/>
          </w:tcPr>
          <w:p>
            <w:pPr>
              <w:spacing w:after="40" w:before="0" w:line="259" w:lineRule="auto"/>
            </w:pPr>
            <w:r>
              <w:rPr>
                <w:rFonts w:ascii="Calibri" w:hAnsi="Calibri"/>
                <w:b w:val="0"/>
                <w:i w:val="0"/>
                <w:color w:val="212121"/>
                <w:sz w:val="16"/>
              </w:rPr>
              <w:t>Low</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Rising levels suggest bacterial superinfection (pneumonia, otitis)</w:t>
            </w:r>
          </w:p>
        </w:tc>
        <w:tc>
          <w:tcPr>
            <w:tcW w:type="dxa" w:w="1036"/>
            <w:vAlign w:val="top"/>
          </w:tcPr>
          <w:p>
            <w:pPr>
              <w:spacing w:after="40" w:before="0" w:line="259" w:lineRule="auto"/>
            </w:pPr>
            <w:r>
              <w:rPr>
                <w:rFonts w:ascii="Calibri" w:hAnsi="Calibri"/>
                <w:b w:val="0"/>
                <w:i w:val="0"/>
                <w:color w:val="212121"/>
                <w:sz w:val="16"/>
              </w:rPr>
              <w:t>Cases with deterioration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Helps decide on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Infiltrates/consolidation</w:t>
            </w:r>
          </w:p>
        </w:tc>
        <w:tc>
          <w:tcPr>
            <w:tcW w:type="dxa" w:w="1036"/>
            <w:vAlign w:val="top"/>
          </w:tcPr>
          <w:p>
            <w:pPr>
              <w:spacing w:after="40" w:before="0" w:line="259" w:lineRule="auto"/>
            </w:pPr>
            <w:r>
              <w:rPr>
                <w:rFonts w:ascii="Calibri" w:hAnsi="Calibri"/>
                <w:b w:val="0"/>
                <w:i w:val="0"/>
                <w:color w:val="212121"/>
                <w:sz w:val="16"/>
              </w:rPr>
              <w:t>Detects measles (giant-cell) or secondary bacterial pneumonia - the leading cause of death in young children</w:t>
            </w:r>
          </w:p>
        </w:tc>
        <w:tc>
          <w:tcPr>
            <w:tcW w:type="dxa" w:w="1036"/>
            <w:vAlign w:val="top"/>
          </w:tcPr>
          <w:p>
            <w:pPr>
              <w:spacing w:after="40" w:before="0" w:line="259" w:lineRule="auto"/>
            </w:pPr>
            <w:r>
              <w:rPr>
                <w:rFonts w:ascii="Calibri" w:hAnsi="Calibri"/>
                <w:b w:val="0"/>
                <w:i w:val="0"/>
                <w:color w:val="212121"/>
                <w:sz w:val="16"/>
              </w:rPr>
              <w:t>Cases with respiratory signs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Pneumonia is the commonest fatal complication in young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Neurology</w:t>
            </w:r>
          </w:p>
        </w:tc>
        <w:tc>
          <w:tcPr>
            <w:tcW w:type="dxa" w:w="1036"/>
            <w:vAlign w:val="top"/>
          </w:tcPr>
          <w:p>
            <w:pPr>
              <w:spacing w:after="40" w:before="0" w:line="259" w:lineRule="auto"/>
            </w:pPr>
            <w:r>
              <w:rPr>
                <w:rFonts w:ascii="Calibri" w:hAnsi="Calibri"/>
                <w:b w:val="0"/>
                <w:i w:val="0"/>
                <w:color w:val="212121"/>
                <w:sz w:val="16"/>
              </w:rPr>
              <w:t>CSF analysis and EEG</w:t>
            </w:r>
          </w:p>
        </w:tc>
        <w:tc>
          <w:tcPr>
            <w:tcW w:type="dxa" w:w="892"/>
            <w:vAlign w:val="top"/>
          </w:tcPr>
          <w:p>
            <w:pPr>
              <w:spacing w:after="40" w:before="0" w:line="259" w:lineRule="auto"/>
            </w:pPr>
            <w:r>
              <w:rPr>
                <w:rFonts w:ascii="Calibri" w:hAnsi="Calibri"/>
                <w:b w:val="0"/>
                <w:i w:val="0"/>
                <w:color w:val="212121"/>
                <w:sz w:val="16"/>
              </w:rPr>
              <w:t>Lumbar puncture / EEG</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Lymphocytic pleocytosis (encephalitis); periodic complexes with high CSF measles antibody (SSPE)</w:t>
            </w:r>
          </w:p>
        </w:tc>
        <w:tc>
          <w:tcPr>
            <w:tcW w:type="dxa" w:w="1036"/>
            <w:vAlign w:val="top"/>
          </w:tcPr>
          <w:p>
            <w:pPr>
              <w:spacing w:after="40" w:before="0" w:line="259" w:lineRule="auto"/>
            </w:pPr>
            <w:r>
              <w:rPr>
                <w:rFonts w:ascii="Calibri" w:hAnsi="Calibri"/>
                <w:b w:val="0"/>
                <w:i w:val="0"/>
                <w:color w:val="212121"/>
                <w:sz w:val="16"/>
              </w:rPr>
              <w:t>Diagnoses acute encephalitis or SSPE</w:t>
            </w:r>
          </w:p>
        </w:tc>
        <w:tc>
          <w:tcPr>
            <w:tcW w:type="dxa" w:w="1036"/>
            <w:vAlign w:val="top"/>
          </w:tcPr>
          <w:p>
            <w:pPr>
              <w:spacing w:after="40" w:before="0" w:line="259" w:lineRule="auto"/>
            </w:pPr>
            <w:r>
              <w:rPr>
                <w:rFonts w:ascii="Calibri" w:hAnsi="Calibri"/>
                <w:b w:val="0"/>
                <w:i w:val="0"/>
                <w:color w:val="212121"/>
                <w:sz w:val="16"/>
              </w:rPr>
              <w:t>Neurological complications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for CNS disease</w:t>
            </w:r>
          </w:p>
        </w:tc>
        <w:tc>
          <w:tcPr>
            <w:tcW w:type="dxa" w:w="720"/>
            <w:vAlign w:val="top"/>
          </w:tcPr>
          <w:p>
            <w:pPr>
              <w:spacing w:after="40" w:before="0" w:line="259" w:lineRule="auto"/>
            </w:pPr>
            <w:r>
              <w:rPr>
                <w:rFonts w:ascii="Calibri" w:hAnsi="Calibri"/>
                <w:b w:val="0"/>
                <w:i w:val="0"/>
                <w:color w:val="212121"/>
                <w:sz w:val="16"/>
              </w:rPr>
              <w:t>SSPE shows characteristic EEG and elevated CSF anti-measles IgG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Fever with the three C's (cough, coryza, conjunctivitis) then rash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Classic prodrome preceding a cephalocaudal rash</w:t>
            </w:r>
          </w:p>
        </w:tc>
        <w:tc>
          <w:tcPr>
            <w:tcW w:type="dxa" w:w="1036"/>
            <w:vAlign w:val="top"/>
          </w:tcPr>
          <w:p>
            <w:pPr>
              <w:spacing w:after="40" w:before="0" w:line="259" w:lineRule="auto"/>
            </w:pPr>
            <w:r>
              <w:rPr>
                <w:rFonts w:ascii="Calibri" w:hAnsi="Calibri"/>
                <w:b w:val="0"/>
                <w:i w:val="0"/>
                <w:color w:val="212121"/>
                <w:sz w:val="16"/>
              </w:rPr>
              <w:t>Suspected measles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(clinical case definition)</w:t>
            </w:r>
          </w:p>
        </w:tc>
        <w:tc>
          <w:tcPr>
            <w:tcW w:type="dxa" w:w="720"/>
            <w:vAlign w:val="top"/>
          </w:tcPr>
          <w:p>
            <w:pPr>
              <w:spacing w:after="40" w:before="0" w:line="259" w:lineRule="auto"/>
            </w:pPr>
            <w:r>
              <w:rPr>
                <w:rFonts w:ascii="Calibri" w:hAnsi="Calibri"/>
                <w:b w:val="0"/>
                <w:i w:val="0"/>
                <w:color w:val="212121"/>
                <w:sz w:val="16"/>
              </w:rPr>
              <w:t>Rash appears about 14 days after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Immunisation status</w:t>
            </w:r>
          </w:p>
        </w:tc>
        <w:tc>
          <w:tcPr>
            <w:tcW w:type="dxa" w:w="979"/>
            <w:vAlign w:val="top"/>
          </w:tcPr>
          <w:p>
            <w:pPr>
              <w:spacing w:after="40" w:before="0" w:line="259" w:lineRule="auto"/>
            </w:pPr>
            <w:r>
              <w:rPr>
                <w:rFonts w:ascii="Calibri" w:hAnsi="Calibri"/>
                <w:b w:val="0"/>
                <w:i w:val="0"/>
                <w:color w:val="212121"/>
                <w:sz w:val="16"/>
              </w:rPr>
              <w:t>Measles/MR doses and dates</w:t>
            </w:r>
          </w:p>
        </w:tc>
        <w:tc>
          <w:tcPr>
            <w:tcW w:type="dxa" w:w="950"/>
            <w:vAlign w:val="top"/>
          </w:tcPr>
          <w:p>
            <w:pPr>
              <w:spacing w:after="40" w:before="0" w:line="259" w:lineRule="auto"/>
            </w:pPr>
            <w:r>
              <w:rPr>
                <w:rFonts w:ascii="Calibri" w:hAnsi="Calibri"/>
                <w:b w:val="0"/>
                <w:i w:val="0"/>
                <w:color w:val="212121"/>
                <w:sz w:val="16"/>
              </w:rPr>
              <w:t>2 documented doses</w:t>
            </w:r>
          </w:p>
        </w:tc>
        <w:tc>
          <w:tcPr>
            <w:tcW w:type="dxa" w:w="950"/>
            <w:vAlign w:val="top"/>
          </w:tcPr>
          <w:p>
            <w:pPr>
              <w:spacing w:after="40" w:before="0" w:line="259" w:lineRule="auto"/>
            </w:pPr>
            <w:r>
              <w:rPr>
                <w:rFonts w:ascii="Calibri" w:hAnsi="Calibri"/>
                <w:b w:val="0"/>
                <w:i w:val="0"/>
                <w:color w:val="212121"/>
                <w:sz w:val="16"/>
              </w:rPr>
              <w:t>0-1 dose or unknown</w:t>
            </w:r>
          </w:p>
        </w:tc>
        <w:tc>
          <w:tcPr>
            <w:tcW w:type="dxa" w:w="1036"/>
            <w:vAlign w:val="top"/>
          </w:tcPr>
          <w:p>
            <w:pPr>
              <w:spacing w:after="40" w:before="0" w:line="259" w:lineRule="auto"/>
            </w:pPr>
            <w:r>
              <w:rPr>
                <w:rFonts w:ascii="Calibri" w:hAnsi="Calibri"/>
                <w:b w:val="0"/>
                <w:i w:val="0"/>
                <w:color w:val="212121"/>
                <w:sz w:val="16"/>
              </w:rPr>
              <w:t>Under-vaccination strongly raises the probability of measles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&amp; public-health</w:t>
            </w:r>
          </w:p>
        </w:tc>
        <w:tc>
          <w:tcPr>
            <w:tcW w:type="dxa" w:w="720"/>
            <w:vAlign w:val="top"/>
          </w:tcPr>
          <w:p>
            <w:pPr>
              <w:spacing w:after="40" w:before="0" w:line="259" w:lineRule="auto"/>
            </w:pPr>
            <w:r>
              <w:rPr>
                <w:rFonts w:ascii="Calibri" w:hAnsi="Calibri"/>
                <w:b w:val="0"/>
                <w:i w:val="0"/>
                <w:color w:val="212121"/>
                <w:sz w:val="16"/>
              </w:rPr>
              <w:t>Check MR1 (9-12 mo) and MR2 (16-24 mo)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travel</w:t>
            </w:r>
          </w:p>
        </w:tc>
        <w:tc>
          <w:tcPr>
            <w:tcW w:type="dxa" w:w="979"/>
            <w:vAlign w:val="top"/>
          </w:tcPr>
          <w:p>
            <w:pPr>
              <w:spacing w:after="40" w:before="0" w:line="259" w:lineRule="auto"/>
            </w:pPr>
            <w:r>
              <w:rPr>
                <w:rFonts w:ascii="Calibri" w:hAnsi="Calibri"/>
                <w:b w:val="0"/>
                <w:i w:val="0"/>
                <w:color w:val="212121"/>
                <w:sz w:val="16"/>
              </w:rPr>
              <w:t>Contact with a case; outbreak; travel to an endemic area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contact/travel</w:t>
            </w:r>
          </w:p>
        </w:tc>
        <w:tc>
          <w:tcPr>
            <w:tcW w:type="dxa" w:w="1036"/>
            <w:vAlign w:val="top"/>
          </w:tcPr>
          <w:p>
            <w:pPr>
              <w:spacing w:after="40" w:before="0" w:line="259" w:lineRule="auto"/>
            </w:pPr>
            <w:r>
              <w:rPr>
                <w:rFonts w:ascii="Calibri" w:hAnsi="Calibri"/>
                <w:b w:val="0"/>
                <w:i w:val="0"/>
                <w:color w:val="212121"/>
                <w:sz w:val="16"/>
              </w:rPr>
              <w:t>Establishes an epidemiological link</w:t>
            </w:r>
          </w:p>
        </w:tc>
        <w:tc>
          <w:tcPr>
            <w:tcW w:type="dxa" w:w="1036"/>
            <w:vAlign w:val="top"/>
          </w:tcPr>
          <w:p>
            <w:pPr>
              <w:spacing w:after="40" w:before="0" w:line="259" w:lineRule="auto"/>
            </w:pPr>
            <w:r>
              <w:rPr>
                <w:rFonts w:ascii="Calibri" w:hAnsi="Calibri"/>
                <w:b w:val="0"/>
                <w:i w:val="0"/>
                <w:color w:val="212121"/>
                <w:sz w:val="16"/>
              </w:rPr>
              <w:t>Contacts, travellers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contact tracing</w:t>
            </w:r>
          </w:p>
        </w:tc>
        <w:tc>
          <w:tcPr>
            <w:tcW w:type="dxa" w:w="720"/>
            <w:vAlign w:val="top"/>
          </w:tcPr>
          <w:p>
            <w:pPr>
              <w:spacing w:after="40" w:before="0" w:line="259" w:lineRule="auto"/>
            </w:pPr>
            <w:r>
              <w:rPr>
                <w:rFonts w:ascii="Calibri" w:hAnsi="Calibri"/>
                <w:b w:val="0"/>
                <w:i w:val="0"/>
                <w:color w:val="212121"/>
                <w:sz w:val="16"/>
              </w:rPr>
              <w:t>Incubation 7-14 days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Oral mucosa</w:t>
            </w:r>
          </w:p>
        </w:tc>
        <w:tc>
          <w:tcPr>
            <w:tcW w:type="dxa" w:w="979"/>
            <w:vAlign w:val="top"/>
          </w:tcPr>
          <w:p>
            <w:pPr>
              <w:spacing w:after="40" w:before="0" w:line="259" w:lineRule="auto"/>
            </w:pPr>
            <w:r>
              <w:rPr>
                <w:rFonts w:ascii="Calibri" w:hAnsi="Calibri"/>
                <w:b w:val="0"/>
                <w:i w:val="0"/>
                <w:color w:val="212121"/>
                <w:sz w:val="16"/>
              </w:rPr>
              <w:t>Koplik spots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Bluish-white spots on erythematous buccal mucosa</w:t>
            </w:r>
          </w:p>
        </w:tc>
        <w:tc>
          <w:tcPr>
            <w:tcW w:type="dxa" w:w="1036"/>
            <w:vAlign w:val="top"/>
          </w:tcPr>
          <w:p>
            <w:pPr>
              <w:spacing w:after="40" w:before="0" w:line="259" w:lineRule="auto"/>
            </w:pPr>
            <w:r>
              <w:rPr>
                <w:rFonts w:ascii="Calibri" w:hAnsi="Calibri"/>
                <w:b w:val="0"/>
                <w:i w:val="0"/>
                <w:color w:val="212121"/>
                <w:sz w:val="16"/>
              </w:rPr>
              <w:t>Pathognomonic early sign, appearing before the rash</w:t>
            </w:r>
          </w:p>
        </w:tc>
        <w:tc>
          <w:tcPr>
            <w:tcW w:type="dxa" w:w="1036"/>
            <w:vAlign w:val="top"/>
          </w:tcPr>
          <w:p>
            <w:pPr>
              <w:spacing w:after="40" w:before="0" w:line="259" w:lineRule="auto"/>
            </w:pPr>
            <w:r>
              <w:rPr>
                <w:rFonts w:ascii="Calibri" w:hAnsi="Calibri"/>
                <w:b w:val="0"/>
                <w:i w:val="0"/>
                <w:color w:val="212121"/>
                <w:sz w:val="16"/>
              </w:rPr>
              <w:t>Prodromal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(pathognomonic)</w:t>
            </w:r>
          </w:p>
        </w:tc>
        <w:tc>
          <w:tcPr>
            <w:tcW w:type="dxa" w:w="720"/>
            <w:vAlign w:val="top"/>
          </w:tcPr>
          <w:p>
            <w:pPr>
              <w:spacing w:after="40" w:before="0" w:line="259" w:lineRule="auto"/>
            </w:pPr>
            <w:r>
              <w:rPr>
                <w:rFonts w:ascii="Calibri" w:hAnsi="Calibri"/>
                <w:b w:val="0"/>
                <w:i w:val="0"/>
                <w:color w:val="212121"/>
                <w:sz w:val="16"/>
              </w:rPr>
              <w:t>Transient; fade as the rash appears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Skin</w:t>
            </w:r>
          </w:p>
        </w:tc>
        <w:tc>
          <w:tcPr>
            <w:tcW w:type="dxa" w:w="979"/>
            <w:vAlign w:val="top"/>
          </w:tcPr>
          <w:p>
            <w:pPr>
              <w:spacing w:after="40" w:before="0" w:line="259" w:lineRule="auto"/>
            </w:pPr>
            <w:r>
              <w:rPr>
                <w:rFonts w:ascii="Calibri" w:hAnsi="Calibri"/>
                <w:b w:val="0"/>
                <w:i w:val="0"/>
                <w:color w:val="212121"/>
                <w:sz w:val="16"/>
              </w:rPr>
              <w:t>Morbilliform maculopapular rash</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Erythematous maculopapular rash spreading head to trunk to limbs, becoming confluent</w:t>
            </w:r>
          </w:p>
        </w:tc>
        <w:tc>
          <w:tcPr>
            <w:tcW w:type="dxa" w:w="1036"/>
            <w:vAlign w:val="top"/>
          </w:tcPr>
          <w:p>
            <w:pPr>
              <w:spacing w:after="40" w:before="0" w:line="259" w:lineRule="auto"/>
            </w:pPr>
            <w:r>
              <w:rPr>
                <w:rFonts w:ascii="Calibri" w:hAnsi="Calibri"/>
                <w:b w:val="0"/>
                <w:i w:val="0"/>
                <w:color w:val="212121"/>
                <w:sz w:val="16"/>
              </w:rPr>
              <w:t>Characteristic measles exanthem</w:t>
            </w:r>
          </w:p>
        </w:tc>
        <w:tc>
          <w:tcPr>
            <w:tcW w:type="dxa" w:w="1036"/>
            <w:vAlign w:val="top"/>
          </w:tcPr>
          <w:p>
            <w:pPr>
              <w:spacing w:after="40" w:before="0" w:line="259" w:lineRule="auto"/>
            </w:pPr>
            <w:r>
              <w:rPr>
                <w:rFonts w:ascii="Calibri" w:hAnsi="Calibri"/>
                <w:b w:val="0"/>
                <w:i w:val="0"/>
                <w:color w:val="212121"/>
                <w:sz w:val="16"/>
              </w:rPr>
              <w:t>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Fades with fine (branny) desquamation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Nutrition &amp; eye</w:t>
            </w:r>
          </w:p>
        </w:tc>
        <w:tc>
          <w:tcPr>
            <w:tcW w:type="dxa" w:w="979"/>
            <w:vAlign w:val="top"/>
          </w:tcPr>
          <w:p>
            <w:pPr>
              <w:spacing w:after="40" w:before="0" w:line="259" w:lineRule="auto"/>
            </w:pPr>
            <w:r>
              <w:rPr>
                <w:rFonts w:ascii="Calibri" w:hAnsi="Calibri"/>
                <w:b w:val="0"/>
                <w:i w:val="0"/>
                <w:color w:val="212121"/>
                <w:sz w:val="16"/>
              </w:rPr>
              <w:t>Weight-for-age/MUAC; Bitot spots, corneal clouding</w:t>
            </w:r>
          </w:p>
        </w:tc>
        <w:tc>
          <w:tcPr>
            <w:tcW w:type="dxa" w:w="950"/>
            <w:vAlign w:val="top"/>
          </w:tcPr>
          <w:p>
            <w:pPr>
              <w:spacing w:after="40" w:before="0" w:line="259" w:lineRule="auto"/>
            </w:pPr>
            <w:r>
              <w:rPr>
                <w:rFonts w:ascii="Calibri" w:hAnsi="Calibri"/>
                <w:b w:val="0"/>
                <w:i w:val="0"/>
                <w:color w:val="212121"/>
                <w:sz w:val="16"/>
              </w:rPr>
              <w:t>Normal nutrition; clear cornea</w:t>
            </w:r>
          </w:p>
        </w:tc>
        <w:tc>
          <w:tcPr>
            <w:tcW w:type="dxa" w:w="950"/>
            <w:vAlign w:val="top"/>
          </w:tcPr>
          <w:p>
            <w:pPr>
              <w:spacing w:after="40" w:before="0" w:line="259" w:lineRule="auto"/>
            </w:pPr>
            <w:r>
              <w:rPr>
                <w:rFonts w:ascii="Calibri" w:hAnsi="Calibri"/>
                <w:b w:val="0"/>
                <w:i w:val="0"/>
                <w:color w:val="212121"/>
                <w:sz w:val="16"/>
              </w:rPr>
              <w:t>SAM; xerophthalmia/corneal ulcer</w:t>
            </w:r>
          </w:p>
        </w:tc>
        <w:tc>
          <w:tcPr>
            <w:tcW w:type="dxa" w:w="1036"/>
            <w:vAlign w:val="top"/>
          </w:tcPr>
          <w:p>
            <w:pPr>
              <w:spacing w:after="40" w:before="0" w:line="259" w:lineRule="auto"/>
            </w:pPr>
            <w:r>
              <w:rPr>
                <w:rFonts w:ascii="Calibri" w:hAnsi="Calibri"/>
                <w:b w:val="0"/>
                <w:i w:val="0"/>
                <w:color w:val="212121"/>
                <w:sz w:val="16"/>
              </w:rPr>
              <w:t>Identifies vitamin A deficiency and malnutrition driving severity</w:t>
            </w:r>
          </w:p>
        </w:tc>
        <w:tc>
          <w:tcPr>
            <w:tcW w:type="dxa" w:w="1036"/>
            <w:vAlign w:val="top"/>
          </w:tcPr>
          <w:p>
            <w:pPr>
              <w:spacing w:after="40" w:before="0" w:line="259" w:lineRule="auto"/>
            </w:pPr>
            <w:r>
              <w:rPr>
                <w:rFonts w:ascii="Calibri" w:hAnsi="Calibri"/>
                <w:b w:val="0"/>
                <w:i w:val="0"/>
                <w:color w:val="212121"/>
                <w:sz w:val="16"/>
              </w:rPr>
              <w:t>Children, malnourished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(guides vitamin A &amp; feeding)</w:t>
            </w:r>
          </w:p>
        </w:tc>
        <w:tc>
          <w:tcPr>
            <w:tcW w:type="dxa" w:w="720"/>
            <w:vAlign w:val="top"/>
          </w:tcPr>
          <w:p>
            <w:pPr>
              <w:spacing w:after="40" w:before="0" w:line="259" w:lineRule="auto"/>
            </w:pPr>
            <w:r>
              <w:rPr>
                <w:rFonts w:ascii="Calibri" w:hAnsi="Calibri"/>
                <w:b w:val="0"/>
                <w:i w:val="0"/>
                <w:color w:val="212121"/>
                <w:sz w:val="16"/>
              </w:rPr>
              <w:t>Corneal involvement is an ophthalmic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Complication screen</w:t>
            </w:r>
          </w:p>
        </w:tc>
        <w:tc>
          <w:tcPr>
            <w:tcW w:type="dxa" w:w="979"/>
            <w:vAlign w:val="top"/>
          </w:tcPr>
          <w:p>
            <w:pPr>
              <w:spacing w:after="40" w:before="0" w:line="259" w:lineRule="auto"/>
            </w:pPr>
            <w:r>
              <w:rPr>
                <w:rFonts w:ascii="Calibri" w:hAnsi="Calibri"/>
                <w:b w:val="0"/>
                <w:i w:val="0"/>
                <w:color w:val="212121"/>
                <w:sz w:val="16"/>
              </w:rPr>
              <w:t>Respiratory rate/auscultation, otoscopy, sensorium, hydration</w:t>
            </w:r>
          </w:p>
        </w:tc>
        <w:tc>
          <w:tcPr>
            <w:tcW w:type="dxa" w:w="950"/>
            <w:vAlign w:val="top"/>
          </w:tcPr>
          <w:p>
            <w:pPr>
              <w:spacing w:after="40" w:before="0" w:line="259" w:lineRule="auto"/>
            </w:pPr>
            <w:r>
              <w:rPr>
                <w:rFonts w:ascii="Calibri" w:hAnsi="Calibri"/>
                <w:b w:val="0"/>
                <w:i w:val="0"/>
                <w:color w:val="212121"/>
                <w:sz w:val="16"/>
              </w:rPr>
              <w:t>No danger signs</w:t>
            </w:r>
          </w:p>
        </w:tc>
        <w:tc>
          <w:tcPr>
            <w:tcW w:type="dxa" w:w="950"/>
            <w:vAlign w:val="top"/>
          </w:tcPr>
          <w:p>
            <w:pPr>
              <w:spacing w:after="40" w:before="0" w:line="259" w:lineRule="auto"/>
            </w:pPr>
            <w:r>
              <w:rPr>
                <w:rFonts w:ascii="Calibri" w:hAnsi="Calibri"/>
                <w:b w:val="0"/>
                <w:i w:val="0"/>
                <w:color w:val="212121"/>
                <w:sz w:val="16"/>
              </w:rPr>
              <w:t>Tachypnoea/crackles, red bulging eardrum, drowsiness/seizure, dehydration</w:t>
            </w:r>
          </w:p>
        </w:tc>
        <w:tc>
          <w:tcPr>
            <w:tcW w:type="dxa" w:w="1036"/>
            <w:vAlign w:val="top"/>
          </w:tcPr>
          <w:p>
            <w:pPr>
              <w:spacing w:after="40" w:before="0" w:line="259" w:lineRule="auto"/>
            </w:pPr>
            <w:r>
              <w:rPr>
                <w:rFonts w:ascii="Calibri" w:hAnsi="Calibri"/>
                <w:b w:val="0"/>
                <w:i w:val="0"/>
                <w:color w:val="212121"/>
                <w:sz w:val="16"/>
              </w:rPr>
              <w:t>Detects pneumonia, otitis, encephalitis and dehydration early</w:t>
            </w:r>
          </w:p>
        </w:tc>
        <w:tc>
          <w:tcPr>
            <w:tcW w:type="dxa" w:w="1036"/>
            <w:vAlign w:val="top"/>
          </w:tcPr>
          <w:p>
            <w:pPr>
              <w:spacing w:after="40" w:before="0" w:line="259" w:lineRule="auto"/>
            </w:pPr>
            <w:r>
              <w:rPr>
                <w:rFonts w:ascii="Calibri" w:hAnsi="Calibri"/>
                <w:b w:val="0"/>
                <w:i w:val="0"/>
                <w:color w:val="212121"/>
                <w:sz w:val="16"/>
              </w:rPr>
              <w:t>All cases, especially under 5</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High (danger-sign triage)</w:t>
            </w:r>
          </w:p>
        </w:tc>
        <w:tc>
          <w:tcPr>
            <w:tcW w:type="dxa" w:w="720"/>
            <w:vAlign w:val="top"/>
          </w:tcPr>
          <w:p>
            <w:pPr>
              <w:spacing w:after="40" w:before="0" w:line="259" w:lineRule="auto"/>
            </w:pPr>
            <w:r>
              <w:rPr>
                <w:rFonts w:ascii="Calibri" w:hAnsi="Calibri"/>
                <w:b w:val="0"/>
                <w:i w:val="0"/>
                <w:color w:val="212121"/>
                <w:sz w:val="16"/>
              </w:rPr>
              <w:t>Fast breathing signals pneumonia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High fever (up to 40.5 C / 105 F)</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Rises through the prodrome and peaks as the rash appears.</w:t>
            </w:r>
          </w:p>
        </w:tc>
      </w:tr>
      <w:tr>
        <w:trPr>
          <w:cantSplit/>
        </w:trPr>
        <w:tc>
          <w:tcPr>
            <w:tcW w:type="dxa" w:w="2304"/>
            <w:vAlign w:val="top"/>
          </w:tcPr>
          <w:p>
            <w:pPr>
              <w:spacing w:after="40" w:before="0" w:line="259" w:lineRule="auto"/>
            </w:pPr>
            <w:r>
              <w:rPr>
                <w:rFonts w:ascii="Calibri" w:hAnsi="Calibri"/>
                <w:b/>
                <w:i w:val="0"/>
                <w:color w:val="212121"/>
                <w:sz w:val="19"/>
              </w:rPr>
              <w:t>Cough (dry, hacking)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One of the three C's; part of the catarrhal prodrome.</w:t>
            </w:r>
          </w:p>
        </w:tc>
      </w:tr>
      <w:tr>
        <w:trPr>
          <w:cantSplit/>
        </w:trPr>
        <w:tc>
          <w:tcPr>
            <w:tcW w:type="dxa" w:w="2304"/>
            <w:vAlign w:val="top"/>
          </w:tcPr>
          <w:p>
            <w:pPr>
              <w:spacing w:after="40" w:before="0" w:line="259" w:lineRule="auto"/>
            </w:pPr>
            <w:r>
              <w:rPr>
                <w:rFonts w:ascii="Calibri" w:hAnsi="Calibri"/>
                <w:b/>
                <w:i w:val="0"/>
                <w:color w:val="212121"/>
                <w:sz w:val="19"/>
              </w:rPr>
              <w:t>Coryza (runny/blocked nose)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Catarrhal prodrome; highly infectious phase.</w:t>
            </w:r>
          </w:p>
        </w:tc>
      </w:tr>
      <w:tr>
        <w:trPr>
          <w:cantSplit/>
        </w:trPr>
        <w:tc>
          <w:tcPr>
            <w:tcW w:type="dxa" w:w="2304"/>
            <w:vAlign w:val="top"/>
          </w:tcPr>
          <w:p>
            <w:pPr>
              <w:spacing w:after="40" w:before="0" w:line="259" w:lineRule="auto"/>
            </w:pPr>
            <w:r>
              <w:rPr>
                <w:rFonts w:ascii="Calibri" w:hAnsi="Calibri"/>
                <w:b/>
                <w:i w:val="0"/>
                <w:color w:val="212121"/>
                <w:sz w:val="19"/>
              </w:rPr>
              <w:t>Red, watery eyes (conjunctivitis)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Third of the three C's, often with photophobia and lid swelling.</w:t>
            </w:r>
          </w:p>
        </w:tc>
      </w:tr>
      <w:tr>
        <w:trPr>
          <w:cantSplit/>
        </w:trPr>
        <w:tc>
          <w:tcPr>
            <w:tcW w:type="dxa" w:w="2304"/>
            <w:vAlign w:val="top"/>
          </w:tcPr>
          <w:p>
            <w:pPr>
              <w:spacing w:after="40" w:before="0" w:line="259" w:lineRule="auto"/>
            </w:pPr>
            <w:r>
              <w:rPr>
                <w:rFonts w:ascii="Calibri" w:hAnsi="Calibri"/>
                <w:b/>
                <w:i w:val="0"/>
                <w:color w:val="212121"/>
                <w:sz w:val="19"/>
              </w:rPr>
              <w:t>Photophobia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in light from conjunctival and corneal involvement.</w:t>
            </w:r>
          </w:p>
        </w:tc>
      </w:tr>
      <w:tr>
        <w:trPr>
          <w:cantSplit/>
        </w:trPr>
        <w:tc>
          <w:tcPr>
            <w:tcW w:type="dxa" w:w="2304"/>
            <w:vAlign w:val="top"/>
          </w:tcPr>
          <w:p>
            <w:pPr>
              <w:spacing w:after="40" w:before="0" w:line="259" w:lineRule="auto"/>
            </w:pPr>
            <w:r>
              <w:rPr>
                <w:rFonts w:ascii="Calibri" w:hAnsi="Calibri"/>
                <w:b/>
                <w:i w:val="0"/>
                <w:color w:val="212121"/>
                <w:sz w:val="19"/>
              </w:rPr>
              <w:t>Malaise and marked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systemic upset during the febrile phase.</w:t>
            </w:r>
          </w:p>
        </w:tc>
      </w:tr>
      <w:tr>
        <w:trPr>
          <w:cantSplit/>
        </w:trPr>
        <w:tc>
          <w:tcPr>
            <w:tcW w:type="dxa" w:w="2304"/>
            <w:vAlign w:val="top"/>
          </w:tcPr>
          <w:p>
            <w:pPr>
              <w:spacing w:after="40" w:before="0" w:line="259" w:lineRule="auto"/>
            </w:pPr>
            <w:r>
              <w:rPr>
                <w:rFonts w:ascii="Calibri" w:hAnsi="Calibri"/>
                <w:b/>
                <w:i w:val="0"/>
                <w:color w:val="212121"/>
                <w:sz w:val="19"/>
              </w:rPr>
              <w:t>Anorexia / poor feeding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risks dehydration, especially in infants.</w:t>
            </w:r>
          </w:p>
        </w:tc>
      </w:tr>
      <w:tr>
        <w:trPr>
          <w:cantSplit/>
        </w:trPr>
        <w:tc>
          <w:tcPr>
            <w:tcW w:type="dxa" w:w="2304"/>
            <w:vAlign w:val="top"/>
          </w:tcPr>
          <w:p>
            <w:pPr>
              <w:spacing w:after="40" w:before="0" w:line="259" w:lineRule="auto"/>
            </w:pPr>
            <w:r>
              <w:rPr>
                <w:rFonts w:ascii="Calibri" w:hAnsi="Calibri"/>
                <w:b/>
                <w:i w:val="0"/>
                <w:color w:val="212121"/>
                <w:sz w:val="19"/>
              </w:rPr>
              <w:t>Maculopapular rash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Patient-noticed red blotchy rash starting on the face and spreading downward.</w:t>
            </w:r>
          </w:p>
        </w:tc>
      </w:tr>
      <w:tr>
        <w:trPr>
          <w:cantSplit/>
        </w:trPr>
        <w:tc>
          <w:tcPr>
            <w:tcW w:type="dxa" w:w="2304"/>
            <w:vAlign w:val="top"/>
          </w:tcPr>
          <w:p>
            <w:pPr>
              <w:spacing w:after="40" w:before="0" w:line="259" w:lineRule="auto"/>
            </w:pPr>
            <w:r>
              <w:rPr>
                <w:rFonts w:ascii="Calibri" w:hAnsi="Calibri"/>
                <w:b/>
                <w:i w:val="0"/>
                <w:color w:val="212121"/>
                <w:sz w:val="19"/>
              </w:rPr>
              <w:t>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in children; a major cause of dehydration and deterioration.</w:t>
            </w:r>
          </w:p>
        </w:tc>
      </w:tr>
      <w:tr>
        <w:trPr>
          <w:cantSplit/>
        </w:trPr>
        <w:tc>
          <w:tcPr>
            <w:tcW w:type="dxa" w:w="2304"/>
            <w:vAlign w:val="top"/>
          </w:tcPr>
          <w:p>
            <w:pPr>
              <w:spacing w:after="40" w:before="0" w:line="259" w:lineRule="auto"/>
            </w:pPr>
            <w:r>
              <w:rPr>
                <w:rFonts w:ascii="Calibri" w:hAnsi="Calibri"/>
                <w:b/>
                <w:i w:val="0"/>
                <w:color w:val="212121"/>
                <w:sz w:val="19"/>
              </w:rPr>
              <w:t>Sore throat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Pharyngeal involvement during the prodrome.</w:t>
            </w:r>
          </w:p>
        </w:tc>
      </w:tr>
      <w:tr>
        <w:trPr>
          <w:cantSplit/>
        </w:trPr>
        <w:tc>
          <w:tcPr>
            <w:tcW w:type="dxa" w:w="2304"/>
            <w:vAlign w:val="top"/>
          </w:tcPr>
          <w:p>
            <w:pPr>
              <w:spacing w:after="40" w:before="0" w:line="259" w:lineRule="auto"/>
            </w:pPr>
            <w:r>
              <w:rPr>
                <w:rFonts w:ascii="Calibri" w:hAnsi="Calibri"/>
                <w:b/>
                <w:i w:val="0"/>
                <w:color w:val="212121"/>
                <w:sz w:val="19"/>
              </w:rPr>
              <w:t>Headache and body aches (myalgia)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prominent in adolescents and adults.</w:t>
            </w:r>
          </w:p>
        </w:tc>
      </w:tr>
      <w:tr>
        <w:trPr>
          <w:cantSplit/>
        </w:trPr>
        <w:tc>
          <w:tcPr>
            <w:tcW w:type="dxa" w:w="2304"/>
            <w:vAlign w:val="top"/>
          </w:tcPr>
          <w:p>
            <w:pPr>
              <w:spacing w:after="40" w:before="0" w:line="259" w:lineRule="auto"/>
            </w:pPr>
            <w:r>
              <w:rPr>
                <w:rFonts w:ascii="Calibri" w:hAnsi="Calibri"/>
                <w:b/>
                <w:i w:val="0"/>
                <w:color w:val="212121"/>
                <w:sz w:val="19"/>
              </w:rPr>
              <w:t>Ear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acute otitis media, a common complication.</w:t>
            </w:r>
          </w:p>
        </w:tc>
      </w:tr>
      <w:tr>
        <w:trPr>
          <w:cantSplit/>
        </w:trPr>
        <w:tc>
          <w:tcPr>
            <w:tcW w:type="dxa" w:w="2304"/>
            <w:vAlign w:val="top"/>
          </w:tcPr>
          <w:p>
            <w:pPr>
              <w:spacing w:after="40" w:before="0" w:line="259" w:lineRule="auto"/>
            </w:pPr>
            <w:r>
              <w:rPr>
                <w:rFonts w:ascii="Calibri" w:hAnsi="Calibri"/>
                <w:b/>
                <w:i w:val="0"/>
                <w:color w:val="212121"/>
                <w:sz w:val="19"/>
              </w:rPr>
              <w:t>Convulsion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Febrile seizure, or a warning of encephalitis.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Koplik spots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Bluish-white spots on an erythematous buccal mucosa - pathognomonic and appear before the rash.</w:t>
            </w:r>
          </w:p>
        </w:tc>
      </w:tr>
      <w:tr>
        <w:trPr>
          <w:cantSplit/>
        </w:trPr>
        <w:tc>
          <w:tcPr>
            <w:tcW w:type="dxa" w:w="3456"/>
            <w:vAlign w:val="top"/>
          </w:tcPr>
          <w:p>
            <w:pPr>
              <w:spacing w:after="40" w:before="0" w:line="259" w:lineRule="auto"/>
            </w:pPr>
            <w:r>
              <w:rPr>
                <w:rFonts w:ascii="Calibri" w:hAnsi="Calibri"/>
                <w:b/>
                <w:i w:val="0"/>
                <w:color w:val="212121"/>
                <w:sz w:val="19"/>
              </w:rPr>
              <w:t>Morbilliform maculopapular rash (cephalocaudal)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Erythematous rash spreading from face/neck to trunk and limbs, becoming confluent.</w:t>
            </w:r>
          </w:p>
        </w:tc>
      </w:tr>
      <w:tr>
        <w:trPr>
          <w:cantSplit/>
        </w:trPr>
        <w:tc>
          <w:tcPr>
            <w:tcW w:type="dxa" w:w="3456"/>
            <w:vAlign w:val="top"/>
          </w:tcPr>
          <w:p>
            <w:pPr>
              <w:spacing w:after="40" w:before="0" w:line="259" w:lineRule="auto"/>
            </w:pPr>
            <w:r>
              <w:rPr>
                <w:rFonts w:ascii="Calibri" w:hAnsi="Calibri"/>
                <w:b/>
                <w:i w:val="0"/>
                <w:color w:val="212121"/>
                <w:sz w:val="19"/>
              </w:rPr>
              <w:t>High-grade fever peaking with the rash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Fever classically highest as the exanthem erupts.</w:t>
            </w:r>
          </w:p>
        </w:tc>
      </w:tr>
      <w:tr>
        <w:trPr>
          <w:cantSplit/>
        </w:trPr>
        <w:tc>
          <w:tcPr>
            <w:tcW w:type="dxa" w:w="3456"/>
            <w:vAlign w:val="top"/>
          </w:tcPr>
          <w:p>
            <w:pPr>
              <w:spacing w:after="40" w:before="0" w:line="259" w:lineRule="auto"/>
            </w:pPr>
            <w:r>
              <w:rPr>
                <w:rFonts w:ascii="Calibri" w:hAnsi="Calibri"/>
                <w:b/>
                <w:i w:val="0"/>
                <w:color w:val="212121"/>
                <w:sz w:val="19"/>
              </w:rPr>
              <w:t>Non-purulent conjunctivitis with lacrimation and lid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Part of the characteristic facies of measles.</w:t>
            </w:r>
          </w:p>
        </w:tc>
      </w:tr>
      <w:tr>
        <w:trPr>
          <w:cantSplit/>
        </w:trPr>
        <w:tc>
          <w:tcPr>
            <w:tcW w:type="dxa" w:w="3456"/>
            <w:vAlign w:val="top"/>
          </w:tcPr>
          <w:p>
            <w:pPr>
              <w:spacing w:after="40" w:before="0" w:line="259" w:lineRule="auto"/>
            </w:pPr>
            <w:r>
              <w:rPr>
                <w:rFonts w:ascii="Calibri" w:hAnsi="Calibri"/>
                <w:b/>
                <w:i w:val="0"/>
                <w:color w:val="212121"/>
                <w:sz w:val="19"/>
              </w:rPr>
              <w:t>Generalised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Often with mild hepatosplenomegaly in children.</w:t>
            </w:r>
          </w:p>
        </w:tc>
      </w:tr>
      <w:tr>
        <w:trPr>
          <w:cantSplit/>
        </w:trPr>
        <w:tc>
          <w:tcPr>
            <w:tcW w:type="dxa" w:w="3456"/>
            <w:vAlign w:val="top"/>
          </w:tcPr>
          <w:p>
            <w:pPr>
              <w:spacing w:after="40" w:before="0" w:line="259" w:lineRule="auto"/>
            </w:pPr>
            <w:r>
              <w:rPr>
                <w:rFonts w:ascii="Calibri" w:hAnsi="Calibri"/>
                <w:b/>
                <w:i w:val="0"/>
                <w:color w:val="212121"/>
                <w:sz w:val="19"/>
              </w:rPr>
              <w:t>Pharyngeal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Injected throat during the catarrhal phase.</w:t>
            </w:r>
          </w:p>
        </w:tc>
      </w:tr>
      <w:tr>
        <w:trPr>
          <w:cantSplit/>
        </w:trPr>
        <w:tc>
          <w:tcPr>
            <w:tcW w:type="dxa" w:w="3456"/>
            <w:vAlign w:val="top"/>
          </w:tcPr>
          <w:p>
            <w:pPr>
              <w:spacing w:after="40" w:before="0" w:line="259" w:lineRule="auto"/>
            </w:pPr>
            <w:r>
              <w:rPr>
                <w:rFonts w:ascii="Calibri" w:hAnsi="Calibri"/>
                <w:b/>
                <w:i w:val="0"/>
                <w:color w:val="212121"/>
                <w:sz w:val="19"/>
              </w:rPr>
              <w:t>Branny (fine) desquamation in convalescence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Peeling as the rash fades, typically sparing palms and soles.</w:t>
            </w:r>
          </w:p>
        </w:tc>
      </w:tr>
      <w:tr>
        <w:trPr>
          <w:cantSplit/>
        </w:trPr>
        <w:tc>
          <w:tcPr>
            <w:tcW w:type="dxa" w:w="3456"/>
            <w:vAlign w:val="top"/>
          </w:tcPr>
          <w:p>
            <w:pPr>
              <w:spacing w:after="40" w:before="0" w:line="259" w:lineRule="auto"/>
            </w:pPr>
            <w:r>
              <w:rPr>
                <w:rFonts w:ascii="Calibri" w:hAnsi="Calibri"/>
                <w:b/>
                <w:i w:val="0"/>
                <w:color w:val="212121"/>
                <w:sz w:val="19"/>
              </w:rPr>
              <w:t>Crackles / signs of pneumonia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Tachypnoea and crepitations indicate measles or secondary bacterial pneumonia.</w:t>
            </w:r>
          </w:p>
        </w:tc>
      </w:tr>
      <w:tr>
        <w:trPr>
          <w:cantSplit/>
        </w:trPr>
        <w:tc>
          <w:tcPr>
            <w:tcW w:type="dxa" w:w="3456"/>
            <w:vAlign w:val="top"/>
          </w:tcPr>
          <w:p>
            <w:pPr>
              <w:spacing w:after="40" w:before="0" w:line="259" w:lineRule="auto"/>
            </w:pPr>
            <w:r>
              <w:rPr>
                <w:rFonts w:ascii="Calibri" w:hAnsi="Calibri"/>
                <w:b/>
                <w:i w:val="0"/>
                <w:color w:val="212121"/>
                <w:sz w:val="19"/>
              </w:rPr>
              <w:t>Red, bulging tympanic membrane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Acute otitis media on otoscopy; may perforate.</w:t>
            </w:r>
          </w:p>
        </w:tc>
      </w:tr>
      <w:tr>
        <w:trPr>
          <w:cantSplit/>
        </w:trPr>
        <w:tc>
          <w:tcPr>
            <w:tcW w:type="dxa" w:w="3456"/>
            <w:vAlign w:val="top"/>
          </w:tcPr>
          <w:p>
            <w:pPr>
              <w:spacing w:after="40" w:before="0" w:line="259" w:lineRule="auto"/>
            </w:pPr>
            <w:r>
              <w:rPr>
                <w:rFonts w:ascii="Calibri" w:hAnsi="Calibri"/>
                <w:b/>
                <w:i w:val="0"/>
                <w:color w:val="212121"/>
                <w:sz w:val="19"/>
              </w:rPr>
              <w:t>Bitot spots / corneal clouding / keratomalacia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vitamin A deficiency and a threat to sight.</w:t>
            </w:r>
          </w:p>
        </w:tc>
      </w:tr>
      <w:tr>
        <w:trPr>
          <w:cantSplit/>
        </w:trPr>
        <w:tc>
          <w:tcPr>
            <w:tcW w:type="dxa" w:w="3456"/>
            <w:vAlign w:val="top"/>
          </w:tcPr>
          <w:p>
            <w:pPr>
              <w:spacing w:after="40" w:before="0" w:line="259" w:lineRule="auto"/>
            </w:pPr>
            <w:r>
              <w:rPr>
                <w:rFonts w:ascii="Calibri" w:hAnsi="Calibri"/>
                <w:b/>
                <w:i w:val="0"/>
                <w:color w:val="212121"/>
                <w:sz w:val="19"/>
              </w:rPr>
              <w:t>Altered sensorium or neurological deficit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acute encephalitis or, later, SSPE.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Croup / laryngotracheobronchitis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 measles (giant-cell)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Diarrhoea with dehydration and electrolyte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Keratoconjunctivitis</w:t>
            </w:r>
          </w:p>
        </w:tc>
        <w:tc>
          <w:tcPr>
            <w:tcW w:type="dxa" w:w="2980"/>
            <w:vAlign w:val="top"/>
          </w:tcPr>
          <w:p>
            <w:pPr>
              <w:spacing w:after="40" w:before="0" w:line="259" w:lineRule="auto"/>
            </w:pPr>
            <w:r>
              <w:rPr>
                <w:rFonts w:ascii="Calibri" w:hAnsi="Calibri"/>
                <w:b w:val="0"/>
                <w:i w:val="0"/>
                <w:color w:val="212121"/>
                <w:sz w:val="19"/>
              </w:rPr>
              <w:t>Direct effects of the virus and its acute inflammation during the febrile/exanthematous illness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pneumonia (commonest cause of measles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 otitis media and 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Bacterial/persistent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ulceration and keratomalacia (with vitamin A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post-infectious encephalomyelitis (ADEM)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Immune amnesia with susceptibility to other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Reactivation of 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Noma / cancrum oris and stomatitis</w:t>
            </w:r>
          </w:p>
        </w:tc>
        <w:tc>
          <w:tcPr>
            <w:tcW w:type="dxa" w:w="2980"/>
            <w:vAlign w:val="top"/>
          </w:tcPr>
          <w:p>
            <w:pPr>
              <w:spacing w:after="40" w:before="0" w:line="259" w:lineRule="auto"/>
            </w:pPr>
            <w:r>
              <w:rPr>
                <w:rFonts w:ascii="Calibri" w:hAnsi="Calibri"/>
                <w:b w:val="0"/>
                <w:i w:val="0"/>
                <w:color w:val="212121"/>
                <w:sz w:val="19"/>
              </w:rPr>
              <w:t>Arise from measles-induced immune suppression, mucosal damage and bacterial superinfection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Subacute sclerosing panencephalitis (SSPE)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Deafness / chronic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neurological disability and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faltering and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respiratory or neurological complications</w:t>
            </w:r>
          </w:p>
        </w:tc>
        <w:tc>
          <w:tcPr>
            <w:tcW w:type="dxa" w:w="2980"/>
            <w:vAlign w:val="top"/>
          </w:tcPr>
          <w:p>
            <w:pPr>
              <w:spacing w:after="40" w:before="0" w:line="259" w:lineRule="auto"/>
            </w:pPr>
            <w:r>
              <w:rPr>
                <w:rFonts w:ascii="Calibri" w:hAnsi="Calibri"/>
                <w:b w:val="0"/>
                <w:i w:val="0"/>
                <w:color w:val="212121"/>
                <w:sz w:val="19"/>
              </w:rPr>
              <w:t>Irreversible, disabling or fatal outcomes of severe or late measles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Bacterial or viral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The commonest cause of measles death in young children; results from viral injury plus immune suppression and bacterial superinfection.</w:t>
            </w:r>
          </w:p>
          <w:p>
            <w:pPr>
              <w:spacing w:after="40" w:before="0" w:line="259" w:lineRule="auto"/>
            </w:pPr>
            <w:r>
              <w:rPr>
                <w:rFonts w:ascii="Calibri" w:hAnsi="Calibri"/>
                <w:b/>
                <w:i w:val="0"/>
                <w:color w:val="212121"/>
                <w:sz w:val="19"/>
              </w:rPr>
              <w:t>Up to ~5% of children (about 1 in 20)</w:t>
            </w:r>
          </w:p>
        </w:tc>
      </w:tr>
      <w:tr>
        <w:trPr>
          <w:cantSplit/>
        </w:trPr>
        <w:tc>
          <w:tcPr>
            <w:tcW w:type="dxa" w:w="2232"/>
            <w:vAlign w:val="top"/>
          </w:tcPr>
          <w:p>
            <w:pPr>
              <w:spacing w:after="40" w:before="0" w:line="259" w:lineRule="auto"/>
            </w:pPr>
            <w:r>
              <w:rPr>
                <w:rFonts w:ascii="Calibri" w:hAnsi="Calibri"/>
                <w:b/>
                <w:i w:val="0"/>
                <w:color w:val="212121"/>
                <w:sz w:val="19"/>
              </w:rPr>
              <w:t>Acute otitis media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Frequent bacterial complication that can perforate the eardrum and cause permanent hearing loss.</w:t>
            </w:r>
          </w:p>
          <w:p>
            <w:pPr>
              <w:spacing w:after="40" w:before="0" w:line="259" w:lineRule="auto"/>
            </w:pPr>
            <w:r>
              <w:rPr>
                <w:rFonts w:ascii="Calibri" w:hAnsi="Calibri"/>
                <w:b/>
                <w:i w:val="0"/>
                <w:color w:val="212121"/>
                <w:sz w:val="19"/>
              </w:rPr>
              <w:t>About 10% (1 in 10 children)</w:t>
            </w:r>
          </w:p>
        </w:tc>
      </w:tr>
      <w:tr>
        <w:trPr>
          <w:cantSplit/>
        </w:trPr>
        <w:tc>
          <w:tcPr>
            <w:tcW w:type="dxa" w:w="2232"/>
            <w:vAlign w:val="top"/>
          </w:tcPr>
          <w:p>
            <w:pPr>
              <w:spacing w:after="40" w:before="0" w:line="259" w:lineRule="auto"/>
            </w:pPr>
            <w:r>
              <w:rPr>
                <w:rFonts w:ascii="Calibri" w:hAnsi="Calibri"/>
                <w:b/>
                <w:i w:val="0"/>
                <w:color w:val="212121"/>
                <w:sz w:val="19"/>
              </w:rPr>
              <w:t>Diarrhoea with dehydration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Mucosal damage and immune suppression drive diarrhoea; a major cause of deterioration, especially with malnutrition.</w:t>
            </w:r>
          </w:p>
          <w:p>
            <w:pPr>
              <w:spacing w:after="40" w:before="0" w:line="259" w:lineRule="auto"/>
            </w:pPr>
            <w:r>
              <w:rPr>
                <w:rFonts w:ascii="Calibri" w:hAnsi="Calibri"/>
                <w:b/>
                <w:i w:val="0"/>
                <w:color w:val="212121"/>
                <w:sz w:val="19"/>
              </w:rPr>
              <w:t>Up to ~8% (fewer than 1 in 10)</w:t>
            </w:r>
          </w:p>
        </w:tc>
      </w:tr>
      <w:tr>
        <w:trPr>
          <w:cantSplit/>
        </w:trPr>
        <w:tc>
          <w:tcPr>
            <w:tcW w:type="dxa" w:w="2232"/>
            <w:vAlign w:val="top"/>
          </w:tcPr>
          <w:p>
            <w:pPr>
              <w:spacing w:after="40" w:before="0" w:line="259" w:lineRule="auto"/>
            </w:pPr>
            <w:r>
              <w:rPr>
                <w:rFonts w:ascii="Calibri" w:hAnsi="Calibri"/>
                <w:b/>
                <w:i w:val="0"/>
                <w:color w:val="212121"/>
                <w:sz w:val="19"/>
              </w:rPr>
              <w:t>Acute encephalitis / ADEM</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Post-infectious immune-mediated brain inflammation that can leave permanent neurological deficits.</w:t>
            </w:r>
          </w:p>
          <w:p>
            <w:pPr>
              <w:spacing w:after="40" w:before="0" w:line="259" w:lineRule="auto"/>
            </w:pPr>
            <w:r>
              <w:rPr>
                <w:rFonts w:ascii="Calibri" w:hAnsi="Calibri"/>
                <w:b/>
                <w:i w:val="0"/>
                <w:color w:val="212121"/>
                <w:sz w:val="19"/>
              </w:rPr>
              <w:t>About 0.1% (1 in 1000)</w:t>
            </w:r>
          </w:p>
        </w:tc>
      </w:tr>
      <w:tr>
        <w:trPr>
          <w:cantSplit/>
        </w:trPr>
        <w:tc>
          <w:tcPr>
            <w:tcW w:type="dxa" w:w="2232"/>
            <w:vAlign w:val="top"/>
          </w:tcPr>
          <w:p>
            <w:pPr>
              <w:spacing w:after="40" w:before="0" w:line="259" w:lineRule="auto"/>
            </w:pPr>
            <w:r>
              <w:rPr>
                <w:rFonts w:ascii="Calibri" w:hAnsi="Calibri"/>
                <w:b/>
                <w:i w:val="0"/>
                <w:color w:val="212121"/>
                <w:sz w:val="19"/>
              </w:rPr>
              <w:t>Subacute sclerosing panencephalitis (SSPE)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Fatal degenerative CNS disease years after infection; risk is higher when measles is acquired in infancy.</w:t>
            </w:r>
          </w:p>
          <w:p>
            <w:pPr>
              <w:spacing w:after="40" w:before="0" w:line="259" w:lineRule="auto"/>
            </w:pPr>
            <w:r>
              <w:rPr>
                <w:rFonts w:ascii="Calibri" w:hAnsi="Calibri"/>
                <w:b/>
                <w:i w:val="0"/>
                <w:color w:val="212121"/>
                <w:sz w:val="19"/>
              </w:rPr>
              <w:t>About 7-11 per 100,000 cases</w:t>
            </w:r>
          </w:p>
        </w:tc>
      </w:tr>
      <w:tr>
        <w:trPr>
          <w:cantSplit/>
        </w:trPr>
        <w:tc>
          <w:tcPr>
            <w:tcW w:type="dxa" w:w="2232"/>
            <w:vAlign w:val="top"/>
          </w:tcPr>
          <w:p>
            <w:pPr>
              <w:spacing w:after="40" w:before="0" w:line="259" w:lineRule="auto"/>
            </w:pPr>
            <w:r>
              <w:rPr>
                <w:rFonts w:ascii="Calibri" w:hAnsi="Calibri"/>
                <w:b/>
                <w:i w:val="0"/>
                <w:color w:val="212121"/>
                <w:sz w:val="19"/>
              </w:rPr>
              <w:t>Vitamin A deficiency / xerophthalmia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Deficiency worsens measles and measles depletes vitamin A, risking keratomalacia and blindness; every case should receive vitamin A.</w:t>
            </w:r>
          </w:p>
        </w:tc>
      </w:tr>
      <w:tr>
        <w:trPr>
          <w:cantSplit/>
        </w:trPr>
        <w:tc>
          <w:tcPr>
            <w:tcW w:type="dxa" w:w="2232"/>
            <w:vAlign w:val="top"/>
          </w:tcPr>
          <w:p>
            <w:pPr>
              <w:spacing w:after="40" w:before="0" w:line="259" w:lineRule="auto"/>
            </w:pPr>
            <w:r>
              <w:rPr>
                <w:rFonts w:ascii="Calibri" w:hAnsi="Calibri"/>
                <w:b/>
                <w:i w:val="0"/>
                <w:color w:val="212121"/>
                <w:sz w:val="19"/>
              </w:rPr>
              <w:t>Protein-energy malnutrition / SAM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Malnutrition predisposes to severe measles and measles precipitates malnutrition, markedly raising case-fatality.</w:t>
            </w:r>
          </w:p>
        </w:tc>
      </w:tr>
      <w:tr>
        <w:trPr>
          <w:cantSplit/>
        </w:trPr>
        <w:tc>
          <w:tcPr>
            <w:tcW w:type="dxa" w:w="2232"/>
            <w:vAlign w:val="top"/>
          </w:tcPr>
          <w:p>
            <w:pPr>
              <w:spacing w:after="40" w:before="0" w:line="259" w:lineRule="auto"/>
            </w:pPr>
            <w:r>
              <w:rPr>
                <w:rFonts w:ascii="Calibri" w:hAnsi="Calibri"/>
                <w:b/>
                <w:i w:val="0"/>
                <w:color w:val="212121"/>
                <w:sz w:val="19"/>
              </w:rPr>
              <w:t>HIV / immunodeficiency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Predisposes to severe, prolonged and atypical disease; the live vaccine is contraindicated in severe immunosuppression.</w:t>
            </w:r>
          </w:p>
        </w:tc>
      </w:tr>
      <w:tr>
        <w:trPr>
          <w:cantSplit/>
        </w:trPr>
        <w:tc>
          <w:tcPr>
            <w:tcW w:type="dxa" w:w="2232"/>
            <w:vAlign w:val="top"/>
          </w:tcPr>
          <w:p>
            <w:pPr>
              <w:spacing w:after="40" w:before="0" w:line="259" w:lineRule="auto"/>
            </w:pPr>
            <w:r>
              <w:rPr>
                <w:rFonts w:ascii="Calibri" w:hAnsi="Calibri"/>
                <w:b/>
                <w:i w:val="0"/>
                <w:color w:val="212121"/>
                <w:sz w:val="19"/>
              </w:rPr>
              <w:t>Tuberculosis (reactivation)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Measles-induced immunosuppression can reactivate latent TB and worsen intercurrent infection; transient anergy may mask skin testing.</w:t>
            </w:r>
          </w:p>
        </w:tc>
      </w:tr>
      <w:tr>
        <w:trPr>
          <w:cantSplit/>
        </w:trPr>
        <w:tc>
          <w:tcPr>
            <w:tcW w:type="dxa" w:w="2232"/>
            <w:vAlign w:val="top"/>
          </w:tcPr>
          <w:p>
            <w:pPr>
              <w:spacing w:after="40" w:before="0" w:line="259" w:lineRule="auto"/>
            </w:pPr>
            <w:r>
              <w:rPr>
                <w:rFonts w:ascii="Calibri" w:hAnsi="Calibri"/>
                <w:b/>
                <w:i w:val="0"/>
                <w:color w:val="212121"/>
                <w:sz w:val="19"/>
              </w:rPr>
              <w:t>Immune amnesia (secondary infections)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Measles erases immune memory for months to years, increasing susceptibility to other pathogens and later mortality.</w:t>
            </w:r>
          </w:p>
        </w:tc>
      </w:tr>
      <w:tr>
        <w:trPr>
          <w:cantSplit/>
        </w:trPr>
        <w:tc>
          <w:tcPr>
            <w:tcW w:type="dxa" w:w="2232"/>
            <w:vAlign w:val="top"/>
          </w:tcPr>
          <w:p>
            <w:pPr>
              <w:spacing w:after="40" w:before="0" w:line="259" w:lineRule="auto"/>
            </w:pPr>
            <w:r>
              <w:rPr>
                <w:rFonts w:ascii="Calibri" w:hAnsi="Calibri"/>
                <w:b/>
                <w:i w:val="0"/>
                <w:color w:val="212121"/>
                <w:sz w:val="19"/>
              </w:rPr>
              <w:t>Pregnancy complications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Measles in pregnancy raises the risk of maternal pneumonia, miscarriage, preterm birth and low birth weight; MR vaccine cannot be given during pregnancy.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both doses of measles-rubella vaccine on schedule (MR1 at 9-12 months, MR2 at 16-24 months) and complete any missed doses through catch-up / Mission Indradhanush campaigns.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95% two-dose community coverage; measles spreads wherever pockets of unvaccinated children remain.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measles early - high fever with cough, coryza and conjunctivitis, followed by a rash spreading from the face downward.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Isolate suspected cases (keep home from school/anganwadi) until at least 4 days after the rash appears and notify the local health system.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susceptible contacts, seek post-exposure MMR within 72 hours or immunoglobulin within 6 days where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vitamin A to every child with measles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Unvaccinated/under-vaccinated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in outbreaks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Measles has no specific antiviral; care is supportive - antipyretics, fluids and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danger signs and seek urgent care: fast or difficult breathing, ear pain or discharge, drowsiness or convulsions, refusal to feed or drink, or eye pain/clouding.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two vitamin A doses (age-based dosing) to reduce severity and protect the eyes.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antibiotics only for proven bacterial complications (pneumonia, otitis) as prescribed.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isolation until at least 4 days after rash onset to protect siblings and contacts.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Cases under 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general fitness and immunity through normal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outbreaks, avoid taking unvaccinated young children to crowded gatherings, melas or transit hubs.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in outbreaks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febrile phase and avoid strenuous activity until the fever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school or play only after the infectious period (at least 4 days after rash) and clinical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balanced, vitamin A-rich diet - dark green leafy vegetables, orange/yellow fruits and vegetables (carrot, mango, papaya, pumpkin), eggs and dairy.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exclusive breastfeeding to 6 months and continued breastfeeding, which supports infant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Proactively correct undernutrition and vitamin A deficiency in young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Pregnant/lactating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feeding and breastfeeding through the illness; offer small, frequent, energy-dense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extra fluids and ORS for fever and diarrhoea to prevent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Administer the two recommended vitamin A doses (age-based).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catch-up feeding during convalescence to recover lost weight.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SAM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age-appropriate sleep to support normal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plenty of rest and sleep during the acute illness to aid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Cases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homes smoke-free; avoid exposing children to tobacco and biomass/cooking smoke, which worsen measles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kitchen ventilation and use cleaner cooking fuels where possible.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who smoke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smoke exposure around a child recovering from measles to reduce respiratory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cases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impairs immunity, and ensure adults are two-dose measles-immune.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Susceptible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measles should avoid alcohol during the acute illness, particularly if liver enzymes are raised (measles hepatitis).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cases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vaccine hesitancy with clear, empathetic counselling so caregivers complete both MR doses.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anxious caregivers during severe illness, and provide counselling and long-term support to families affected by disabling complications such as SSPE.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affected by SSPE</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measles" TargetMode="External"/><Relationship Id="rId10" Type="http://schemas.openxmlformats.org/officeDocument/2006/relationships/hyperlink" Target="https://www.who.int/india/health-topics/measles" TargetMode="External"/><Relationship Id="rId11" Type="http://schemas.openxmlformats.org/officeDocument/2006/relationships/hyperlink" Target="https://www.unicef.org/india/what-we-do/immunization" TargetMode="External"/><Relationship Id="rId12" Type="http://schemas.openxmlformats.org/officeDocument/2006/relationships/hyperlink" Target="https://www.cdc.gov/measles/vaccin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