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Poliomyelitis</w:t>
      </w:r>
    </w:p>
    <w:p>
      <w:pPr>
        <w:spacing w:before="0" w:after="160"/>
      </w:pPr>
      <w:r>
        <w:rPr>
          <w:rFonts w:ascii="Calibri" w:hAnsi="Calibri"/>
          <w:b/>
          <w:i w:val="0"/>
          <w:color w:val="212121"/>
          <w:sz w:val="22"/>
        </w:rPr>
        <w:t xml:space="preserve">AKA </w:t>
      </w:r>
      <w:r>
        <w:rPr>
          <w:rFonts w:ascii="Calibri" w:hAnsi="Calibri"/>
          <w:b w:val="0"/>
          <w:i w:val="0"/>
          <w:color w:val="212121"/>
          <w:sz w:val="22"/>
        </w:rPr>
        <w:t>i.e., Polio, Infantile paralysis, Heine-Medin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Poliomyelitis (polio) is a highly infectious viral disease caused by the poliovirus, an enterovirus with three serotypes (WPV1, WPV2, WPV3) that chiefly affects young children. The virus enters by the faecal-oral route, multiplies in the intestine, and in a small fraction of infections invades the anterior horn motor neurons of the spinal cord and brainstem to cause acute, irreversible flaccid paralysis, most often of the legs. The vast majority of infections are asymptomatic, but roughly 1 in 200 leads to permanent paralysis. India was certified polio-free in 2014 and now maintains intensive surveillance and immunization to prevent re-importation and vaccine-derived poliovirus.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recorded its last case of indigenous wild poliovirus in 2011, and the WHO South-East Asia Region — including India — was certified polio-free in 2014. Wild poliovirus type 2 (eradication declared 2015) and type 3 (last detected November 2012, declared eradicated 2019) are globally gone; only wild poliovirus type 1 still circulates in Afghanistan and Pakistan. Globally, polio has fallen by over 99% since 1988 (from an estimated 350,000 cases across more than 125 endemic countries to two). No indigenous wild or circulating vaccine-derived poliovirus disease now occurs in India; the residual burden is the large cohort of survivors living with lifelong paralysis and post-polio syndrome, together with the ongoing risk of importation and of vaccine-derived poliovirus in under-immunized pockets.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Poliomyelitis is a notifiable disease detected through Acute Flaccid Paralysis (AFP) surveillance and confirmed virologically.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asymmetric flaccid paralysis with reduced or absent deep tendon reflexes and intact sensation, without other apparent cause, in a child under 15 years (the AFP case definition that triggers investigation);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isolation of poliovirus by viral culture of stool — two adequate specimens collected 24–48 hours apart within 14 days of paralysis onset give the greatest yield;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intratypic differentiation (ITD) by RT-PCR and genomic sequencing at a WHO-accredited laboratory to distinguish wild poliovirus, Sabin (vaccine) strains, and vaccine-derived poliovirus (VDPV);</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cerebrospinal fluid showing an aseptic (viral) meningitis pattern — mild lymphocytic pleocytosis with mildly raised protein and normal glucose;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environmental (sewage) surveillance detecting poliovirus circulating in the community even in the absence of clinical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60-day follow-up examination of every AFP case to document residual paralysis, which is usually permanent.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Poliomyelitis is classified both by the infecting virus and by the clinical syndrome:</w:t>
      </w:r>
    </w:p>
    <w:p>
      <w:pPr>
        <w:spacing w:before="0" w:after="80"/>
      </w:pPr>
      <w:r>
        <w:rPr>
          <w:rFonts w:ascii="Calibri" w:hAnsi="Calibri"/>
          <w:b w:val="0"/>
          <w:i w:val="0"/>
          <w:color w:val="212121"/>
          <w:sz w:val="21"/>
        </w:rPr>
        <w:t>(1) By virus: wild poliovirus (WPV1, WPV2, WPV3 — only WPV1 remains in circulation, WPV2 and WPV3 being eradicated) and vaccine-derived poliovirus (VDPV), including circulating VDPV (cVDPV, chiefly cVDPV2) that emerges in under-immunized populations and immunodeficiency-associated VDPV (iVDPV) in persons with primary immunodeficiency who excrete virus for prolonged periods;</w:t>
      </w:r>
    </w:p>
    <w:p>
      <w:pPr>
        <w:spacing w:before="0" w:after="80"/>
      </w:pPr>
      <w:r>
        <w:rPr>
          <w:rFonts w:ascii="Calibri" w:hAnsi="Calibri"/>
          <w:b w:val="0"/>
          <w:i w:val="0"/>
          <w:color w:val="212121"/>
          <w:sz w:val="21"/>
        </w:rPr>
        <w:t>(2) Asymptomatic (inapparent) infection — about 70% of infections, with no symptoms but virus shed in stool, sustaining silent transmission;</w:t>
      </w:r>
    </w:p>
    <w:p>
      <w:pPr>
        <w:spacing w:before="0" w:after="80"/>
      </w:pPr>
      <w:r>
        <w:rPr>
          <w:rFonts w:ascii="Calibri" w:hAnsi="Calibri"/>
          <w:b w:val="0"/>
          <w:i w:val="0"/>
          <w:color w:val="212121"/>
          <w:sz w:val="21"/>
        </w:rPr>
        <w:t>(3) Abortive poliomyelitis (minor illness) — about 24%: a brief, nonspecific febrile illness (fever, sore throat, malaise, headache, nausea) that resolves without nervous-system involvement;</w:t>
      </w:r>
    </w:p>
    <w:p>
      <w:pPr>
        <w:spacing w:before="0" w:after="80"/>
      </w:pPr>
      <w:r>
        <w:rPr>
          <w:rFonts w:ascii="Calibri" w:hAnsi="Calibri"/>
          <w:b w:val="0"/>
          <w:i w:val="0"/>
          <w:color w:val="212121"/>
          <w:sz w:val="21"/>
        </w:rPr>
        <w:t>(4) Non-paralytic poliomyelitis (aseptic meningitis) — 1–5%: meningeal irritation with neck and back stiffness that recovers fully;</w:t>
      </w:r>
    </w:p>
    <w:p>
      <w:pPr>
        <w:spacing w:before="0" w:after="80"/>
      </w:pPr>
      <w:r>
        <w:rPr>
          <w:rFonts w:ascii="Calibri" w:hAnsi="Calibri"/>
          <w:b w:val="0"/>
          <w:i w:val="0"/>
          <w:color w:val="212121"/>
          <w:sz w:val="21"/>
        </w:rPr>
        <w:t>(5) Paralytic poliomyelitis — less than 1%: spinal (most common, asymmetric limb paralysis), bulbar (cranial nerves, swallowing and respiration), and bulbospinal forms;</w:t>
      </w:r>
    </w:p>
    <w:p>
      <w:pPr>
        <w:spacing w:before="0" w:after="80"/>
      </w:pPr>
      <w:r>
        <w:rPr>
          <w:rFonts w:ascii="Calibri" w:hAnsi="Calibri"/>
          <w:b w:val="0"/>
          <w:i w:val="0"/>
          <w:color w:val="212121"/>
          <w:sz w:val="21"/>
        </w:rPr>
        <w:t>(6) Post-polio syndrome (PPS) — new muscle weakness, fatigue, and pain appearing 15–40 years after acute paralytic polio in a proportion of survivors.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Poliovirus infection: A human enterovirus (Picornaviridae), serotypes 1–3, transmitted person-to-person mainly by the faecal-oral route (and less often oral-oral or respiratory); it replicates in the gut before invading anterior horn and brainstem motor neurons.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Low immunization coverage: Susceptibility rises where oral (OPV) or inactivated (IPV) polio vaccine uptake is incomplete; unvaccinated and zero-dose children are the reservoir for outbreaks and for emergence of circulating vaccine-derived poliovirus.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sanitation and unsafe water: Open defecation, faecal contamination of water and food, and overcrowding sustain faecal-oral spread, historically concentrating polio in dense, low-sanitation communities.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and immune status: Children under 5 are most susceptible, while the risk and severity of paralysis rise with older age at infection and with impaired immunity.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Immunodeficiency: Primary humoral immunodeficiency permits prolonged poliovirus replication (iVDPV) and paralytic disease; such individuals may become long-term virus excretors.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Provoking factors: Intramuscular injections, recent tonsillectomy, pregnancy, and strenuous physical exertion during the incubation/prodromal period increase the risk and localization of paralysis (“provocation poliomyelitis”).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Importation and surveillance gaps: In a polio-free country, re-introduction of virus from endemic areas combined with any weakening of AFP/environmental surveillance or vaccine coverage can re-seed transmission.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under 5 years</w:t>
            </w:r>
          </w:p>
        </w:tc>
        <w:tc>
          <w:tcPr>
            <w:tcW w:type="dxa" w:w="4276"/>
            <w:vAlign w:val="top"/>
          </w:tcPr>
          <w:p>
            <w:pPr>
              <w:spacing w:after="60" w:line="259" w:lineRule="auto"/>
            </w:pPr>
            <w:r>
              <w:rPr>
                <w:rFonts w:ascii="Calibri" w:hAnsi="Calibri"/>
                <w:b w:val="0"/>
                <w:i w:val="0"/>
                <w:color w:val="212121"/>
                <w:sz w:val="19"/>
              </w:rPr>
              <w:t>Young children are the primary target: immature or incomplete immunity, hand-to-mouth behaviour, and heavy faecal-oral exposure make them most likely to acquire poliovirus and shed it.</w:t>
            </w:r>
          </w:p>
          <w:p>
            <w:pPr>
              <w:spacing w:after="40" w:before="60" w:line="259" w:lineRule="auto"/>
            </w:pPr>
            <w:r>
              <w:rPr>
                <w:rFonts w:ascii="Calibri" w:hAnsi="Calibri"/>
                <w:b w:val="0"/>
                <w:i w:val="0"/>
                <w:color w:val="212121"/>
                <w:sz w:val="19"/>
              </w:rPr>
              <w:t>Polio mainly affects children under 5 years of age; anyone unvaccinated can be infected.</w:t>
            </w:r>
          </w:p>
          <w:p>
            <w:pPr>
              <w:spacing w:after="40" w:line="252" w:lineRule="auto"/>
            </w:pPr>
            <w:hyperlink r:id="rId9">
              <w:r>
                <w:rPr>
                  <w:rFonts w:ascii="Calibri" w:hAnsi="Calibri" w:cs="Calibri"/>
                  <w:sz w:val="18"/>
                  <w:color w:val="1155CC"/>
                  <w:u w:val="single"/>
                </w:rPr>
                <w:t xml:space="preserve">who.int — poliomyelitis fact sheet</w:t>
              </w:r>
            </w:hyperlink>
          </w:p>
          <w:p>
            <w:pPr>
              <w:spacing w:before="60" w:after="40"/>
            </w:pPr>
            <w:r>
              <w:rPr>
                <w:rFonts w:ascii="Calibri" w:hAnsi="Calibri"/>
                <w:b w:val="0"/>
                <w:i w:val="0"/>
                <w:color w:val="5A5A5A"/>
                <w:sz w:val="18"/>
              </w:rPr>
              <w:t>#polio  #underfive  #faecaloral  #childhealth  #zerodose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children &amp; unvaccinated adults</w:t>
            </w:r>
          </w:p>
        </w:tc>
        <w:tc>
          <w:tcPr>
            <w:tcW w:type="dxa" w:w="4276"/>
            <w:vAlign w:val="top"/>
          </w:tcPr>
          <w:p>
            <w:pPr>
              <w:spacing w:after="60" w:line="259" w:lineRule="auto"/>
            </w:pPr>
            <w:r>
              <w:rPr>
                <w:rFonts w:ascii="Calibri" w:hAnsi="Calibri"/>
                <w:b w:val="0"/>
                <w:i w:val="0"/>
                <w:color w:val="212121"/>
                <w:sz w:val="19"/>
              </w:rPr>
              <w:t>When infection is delayed to older ages, paralytic disease is both more likely and more severe, and outcomes are worse than in young children.</w:t>
            </w:r>
          </w:p>
          <w:p>
            <w:pPr>
              <w:spacing w:after="40" w:before="60" w:line="259" w:lineRule="auto"/>
            </w:pPr>
            <w:r>
              <w:rPr>
                <w:rFonts w:ascii="Calibri" w:hAnsi="Calibri"/>
                <w:b w:val="0"/>
                <w:i w:val="0"/>
                <w:color w:val="212121"/>
                <w:sz w:val="19"/>
              </w:rPr>
              <w:t>Case-fatality among paralytic cases is ~2–5% in children but rises to 15–30% in adolescents and adults, and 25–75% with bulbar involvement.</w:t>
            </w:r>
          </w:p>
          <w:p>
            <w:pPr>
              <w:spacing w:after="40" w:line="252" w:lineRule="auto"/>
            </w:pPr>
            <w:hyperlink r:id="rId10">
              <w:r>
                <w:rPr>
                  <w:rFonts w:ascii="Calibri" w:hAnsi="Calibri" w:cs="Calibri"/>
                  <w:sz w:val="18"/>
                  <w:color w:val="1155CC"/>
                  <w:u w:val="single"/>
                </w:rPr>
                <w:t xml:space="preserve">cdc.gov — Pink Book, poliomyelitis</w:t>
              </w:r>
            </w:hyperlink>
          </w:p>
          <w:p>
            <w:pPr>
              <w:spacing w:before="60" w:after="40"/>
            </w:pPr>
            <w:r>
              <w:rPr>
                <w:rFonts w:ascii="Calibri" w:hAnsi="Calibri"/>
                <w:b w:val="0"/>
                <w:i w:val="0"/>
                <w:color w:val="5A5A5A"/>
                <w:sz w:val="18"/>
              </w:rPr>
              <w:t>#adults  #severity  #bulbar  #casefatality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Historically boys had a higher incidence of paralytic poliomyelitis than girls, attributed to greater outdoor exposure and possibly host factors; this is an epidemiological pattern rather than a strong biological determinant.</w:t>
            </w:r>
          </w:p>
          <w:p>
            <w:pPr>
              <w:spacing w:after="40" w:before="60" w:line="259" w:lineRule="auto"/>
            </w:pPr>
            <w:r>
              <w:rPr>
                <w:rFonts w:ascii="Calibri" w:hAnsi="Calibri"/>
                <w:b w:val="0"/>
                <w:i w:val="0"/>
                <w:color w:val="212121"/>
                <w:sz w:val="19"/>
              </w:rPr>
              <w:t>Paralytic polio was reported more often in males than females in the pre-eradication era.</w:t>
            </w:r>
          </w:p>
          <w:p>
            <w:pPr>
              <w:spacing w:before="60" w:after="40"/>
            </w:pPr>
            <w:r>
              <w:rPr>
                <w:rFonts w:ascii="Calibri" w:hAnsi="Calibri"/>
                <w:b w:val="0"/>
                <w:i w:val="0"/>
                <w:color w:val="5A5A5A"/>
                <w:sz w:val="18"/>
              </w:rPr>
              <w:t>#malepredominance  #exposure  #paralytic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overcrowded households</w:t>
            </w:r>
          </w:p>
        </w:tc>
        <w:tc>
          <w:tcPr>
            <w:tcW w:type="dxa" w:w="4276"/>
            <w:vAlign w:val="top"/>
          </w:tcPr>
          <w:p>
            <w:pPr>
              <w:spacing w:after="60" w:line="259" w:lineRule="auto"/>
            </w:pPr>
            <w:r>
              <w:rPr>
                <w:rFonts w:ascii="Calibri" w:hAnsi="Calibri"/>
                <w:b w:val="0"/>
                <w:i w:val="0"/>
                <w:color w:val="212121"/>
                <w:sz w:val="19"/>
              </w:rPr>
              <w:t>Poverty, overcrowding, and poor sanitation intensify faecal-oral transmission; polio historically clustered in the most deprived communities with the lowest vaccine coverage.</w:t>
            </w:r>
          </w:p>
          <w:p>
            <w:pPr>
              <w:spacing w:after="40" w:before="60" w:line="259" w:lineRule="auto"/>
            </w:pPr>
            <w:r>
              <w:rPr>
                <w:rFonts w:ascii="Calibri" w:hAnsi="Calibri"/>
                <w:b w:val="0"/>
                <w:i w:val="0"/>
                <w:color w:val="212121"/>
                <w:sz w:val="19"/>
              </w:rPr>
              <w:t>The virus spreads mainly through the faecal-oral route and, less often, via contaminated water or food.</w:t>
            </w:r>
          </w:p>
          <w:p>
            <w:pPr>
              <w:spacing w:after="40" w:line="252" w:lineRule="auto"/>
            </w:pPr>
            <w:hyperlink r:id="rId9">
              <w:r>
                <w:rPr>
                  <w:rFonts w:ascii="Calibri" w:hAnsi="Calibri" w:cs="Calibri"/>
                  <w:sz w:val="18"/>
                  <w:color w:val="1155CC"/>
                  <w:u w:val="single"/>
                </w:rPr>
                <w:t xml:space="preserve">who.int — poliomyelitis fact sheet</w:t>
              </w:r>
            </w:hyperlink>
          </w:p>
          <w:p>
            <w:pPr>
              <w:spacing w:before="60" w:after="40"/>
            </w:pPr>
            <w:r>
              <w:rPr>
                <w:rFonts w:ascii="Calibri" w:hAnsi="Calibri"/>
                <w:b w:val="0"/>
                <w:i w:val="0"/>
                <w:color w:val="5A5A5A"/>
                <w:sz w:val="18"/>
              </w:rPr>
              <w:t>#poverty  #overcrowding  #sanitation  #slums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Uttar Pradesh &amp; Bihar (historical reservoirs)</w:t>
            </w:r>
          </w:p>
        </w:tc>
        <w:tc>
          <w:tcPr>
            <w:tcW w:type="dxa" w:w="4276"/>
            <w:vAlign w:val="top"/>
          </w:tcPr>
          <w:p>
            <w:pPr>
              <w:spacing w:after="60" w:line="259" w:lineRule="auto"/>
            </w:pPr>
            <w:r>
              <w:rPr>
                <w:rFonts w:ascii="Calibri" w:hAnsi="Calibri"/>
                <w:b w:val="0"/>
                <w:i w:val="0"/>
                <w:color w:val="212121"/>
                <w:sz w:val="19"/>
              </w:rPr>
              <w:t>These densely populated northern states were India’s last polio reservoirs — high birth rates, poor sanitation, migration, and pockets of vaccine hesitancy sustained transmission until intensive campaigns interrupted it.</w:t>
            </w:r>
          </w:p>
          <w:p>
            <w:pPr>
              <w:spacing w:after="40" w:before="60" w:line="259" w:lineRule="auto"/>
            </w:pPr>
            <w:r>
              <w:rPr>
                <w:rFonts w:ascii="Calibri" w:hAnsi="Calibri"/>
                <w:b w:val="0"/>
                <w:i w:val="0"/>
                <w:color w:val="212121"/>
                <w:sz w:val="19"/>
              </w:rPr>
              <w:t>India’s last wild poliovirus case was reported in 2011; the WHO South-East Asia Region was certified polio-free in 2014.</w:t>
            </w:r>
          </w:p>
          <w:p>
            <w:pPr>
              <w:spacing w:after="40" w:line="252" w:lineRule="auto"/>
            </w:pPr>
            <w:hyperlink r:id="rId11">
              <w:r>
                <w:rPr>
                  <w:rFonts w:ascii="Calibri" w:hAnsi="Calibri" w:cs="Calibri"/>
                  <w:sz w:val="18"/>
                  <w:color w:val="1155CC"/>
                  <w:u w:val="single"/>
                </w:rPr>
                <w:t xml:space="preserve">polioeradication.org — history of polio</w:t>
              </w:r>
            </w:hyperlink>
          </w:p>
          <w:p>
            <w:pPr>
              <w:spacing w:before="60" w:after="40"/>
            </w:pPr>
            <w:r>
              <w:rPr>
                <w:rFonts w:ascii="Calibri" w:hAnsi="Calibri"/>
                <w:b w:val="0"/>
                <w:i w:val="0"/>
                <w:color w:val="5A5A5A"/>
                <w:sz w:val="18"/>
              </w:rPr>
              <w:t>#UttarPradesh  #Bihar  #reservoir  #poliofree2014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 &amp; borders</w:t>
            </w:r>
          </w:p>
        </w:tc>
        <w:tc>
          <w:tcPr>
            <w:tcW w:type="dxa" w:w="2160"/>
            <w:vAlign w:val="top"/>
          </w:tcPr>
          <w:p>
            <w:pPr>
              <w:spacing w:after="40" w:before="0" w:line="259" w:lineRule="auto"/>
            </w:pPr>
            <w:r>
              <w:rPr>
                <w:rFonts w:ascii="Calibri" w:hAnsi="Calibri"/>
                <w:b w:val="0"/>
                <w:i w:val="0"/>
                <w:color w:val="212121"/>
                <w:sz w:val="19"/>
              </w:rPr>
              <w:t>Border states, migrants &amp; travellers</w:t>
            </w:r>
          </w:p>
        </w:tc>
        <w:tc>
          <w:tcPr>
            <w:tcW w:type="dxa" w:w="4276"/>
            <w:vAlign w:val="top"/>
          </w:tcPr>
          <w:p>
            <w:pPr>
              <w:spacing w:after="60" w:line="259" w:lineRule="auto"/>
            </w:pPr>
            <w:r>
              <w:rPr>
                <w:rFonts w:ascii="Calibri" w:hAnsi="Calibri"/>
                <w:b w:val="0"/>
                <w:i w:val="0"/>
                <w:color w:val="212121"/>
                <w:sz w:val="19"/>
              </w:rPr>
              <w:t>Because wild poliovirus type 1 still circulates in Pakistan and Afghanistan, mobile and migrant populations and travellers across borders carry an importation risk into polio-free India, requiring vaccination at borders and for travellers.</w:t>
            </w:r>
          </w:p>
          <w:p>
            <w:pPr>
              <w:spacing w:after="40" w:before="60" w:line="259" w:lineRule="auto"/>
            </w:pPr>
            <w:r>
              <w:rPr>
                <w:rFonts w:ascii="Calibri" w:hAnsi="Calibri"/>
                <w:b w:val="0"/>
                <w:i w:val="0"/>
                <w:color w:val="212121"/>
                <w:sz w:val="19"/>
              </w:rPr>
              <w:t>Only two countries — Afghanistan and Pakistan — remain endemic for wild poliovirus.</w:t>
            </w:r>
          </w:p>
          <w:p>
            <w:pPr>
              <w:spacing w:after="40" w:line="252" w:lineRule="auto"/>
            </w:pPr>
            <w:hyperlink r:id="rId9">
              <w:r>
                <w:rPr>
                  <w:rFonts w:ascii="Calibri" w:hAnsi="Calibri" w:cs="Calibri"/>
                  <w:sz w:val="18"/>
                  <w:color w:val="1155CC"/>
                  <w:u w:val="single"/>
                </w:rPr>
                <w:t xml:space="preserve">who.int — poliomyelitis fact sheet</w:t>
              </w:r>
            </w:hyperlink>
          </w:p>
          <w:p>
            <w:pPr>
              <w:spacing w:before="60" w:after="40"/>
            </w:pPr>
            <w:r>
              <w:rPr>
                <w:rFonts w:ascii="Calibri" w:hAnsi="Calibri"/>
                <w:b w:val="0"/>
                <w:i w:val="0"/>
                <w:color w:val="5A5A5A"/>
                <w:sz w:val="18"/>
              </w:rPr>
              <w:t>#importation  #migration  #borders  #travelvaccine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w:t>
            </w:r>
          </w:p>
        </w:tc>
        <w:tc>
          <w:tcPr>
            <w:tcW w:type="dxa" w:w="2160"/>
            <w:vAlign w:val="top"/>
          </w:tcPr>
          <w:p>
            <w:pPr>
              <w:spacing w:after="40" w:before="0" w:line="259" w:lineRule="auto"/>
            </w:pPr>
            <w:r>
              <w:rPr>
                <w:rFonts w:ascii="Calibri" w:hAnsi="Calibri"/>
                <w:b w:val="0"/>
                <w:i w:val="0"/>
                <w:color w:val="212121"/>
                <w:sz w:val="19"/>
              </w:rPr>
              <w:t>Open-defecation communities</w:t>
            </w:r>
          </w:p>
        </w:tc>
        <w:tc>
          <w:tcPr>
            <w:tcW w:type="dxa" w:w="4276"/>
            <w:vAlign w:val="top"/>
          </w:tcPr>
          <w:p>
            <w:pPr>
              <w:spacing w:after="60" w:line="259" w:lineRule="auto"/>
            </w:pPr>
            <w:r>
              <w:rPr>
                <w:rFonts w:ascii="Calibri" w:hAnsi="Calibri"/>
                <w:b w:val="0"/>
                <w:i w:val="0"/>
                <w:color w:val="212121"/>
                <w:sz w:val="19"/>
              </w:rPr>
              <w:t>Faecal-oral spread thrives where sanitation is poor; contaminated hands, water, and food carry poliovirus from person to person.</w:t>
            </w:r>
          </w:p>
          <w:p>
            <w:pPr>
              <w:spacing w:after="40" w:before="60" w:line="259" w:lineRule="auto"/>
            </w:pPr>
            <w:r>
              <w:rPr>
                <w:rFonts w:ascii="Calibri" w:hAnsi="Calibri"/>
                <w:b w:val="0"/>
                <w:i w:val="0"/>
                <w:color w:val="212121"/>
                <w:sz w:val="19"/>
              </w:rPr>
              <w:t>Transmission is predominantly faecal-oral; improved sanitation and hygiene interrupt it.</w:t>
            </w:r>
          </w:p>
          <w:p>
            <w:pPr>
              <w:spacing w:after="40" w:line="252" w:lineRule="auto"/>
            </w:pPr>
            <w:hyperlink r:id="rId9">
              <w:r>
                <w:rPr>
                  <w:rFonts w:ascii="Calibri" w:hAnsi="Calibri" w:cs="Calibri"/>
                  <w:sz w:val="18"/>
                  <w:color w:val="1155CC"/>
                  <w:u w:val="single"/>
                </w:rPr>
                <w:t xml:space="preserve">who.int — poliomyelitis fact sheet</w:t>
              </w:r>
            </w:hyperlink>
          </w:p>
          <w:p>
            <w:pPr>
              <w:spacing w:before="60" w:after="40"/>
            </w:pPr>
            <w:r>
              <w:rPr>
                <w:rFonts w:ascii="Calibri" w:hAnsi="Calibri"/>
                <w:b w:val="0"/>
                <w:i w:val="0"/>
                <w:color w:val="5A5A5A"/>
                <w:sz w:val="18"/>
              </w:rPr>
              <w:t>#opendefecation  #WASH  #sanitation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Unsafe water</w:t>
            </w:r>
          </w:p>
        </w:tc>
        <w:tc>
          <w:tcPr>
            <w:tcW w:type="dxa" w:w="2160"/>
            <w:vAlign w:val="top"/>
          </w:tcPr>
          <w:p>
            <w:pPr>
              <w:spacing w:after="40" w:before="0" w:line="259" w:lineRule="auto"/>
            </w:pPr>
            <w:r>
              <w:rPr>
                <w:rFonts w:ascii="Calibri" w:hAnsi="Calibri"/>
                <w:b w:val="0"/>
                <w:i w:val="0"/>
                <w:color w:val="212121"/>
                <w:sz w:val="19"/>
              </w:rPr>
              <w:t>Communities using contaminated water</w:t>
            </w:r>
          </w:p>
        </w:tc>
        <w:tc>
          <w:tcPr>
            <w:tcW w:type="dxa" w:w="4276"/>
            <w:vAlign w:val="top"/>
          </w:tcPr>
          <w:p>
            <w:pPr>
              <w:spacing w:after="60" w:line="259" w:lineRule="auto"/>
            </w:pPr>
            <w:r>
              <w:rPr>
                <w:rFonts w:ascii="Calibri" w:hAnsi="Calibri"/>
                <w:b w:val="0"/>
                <w:i w:val="0"/>
                <w:color w:val="212121"/>
                <w:sz w:val="19"/>
              </w:rPr>
              <w:t>Poliovirus can spread through a common vehicle such as faecally contaminated water or food, so unsafe water sources amplify community transmission.</w:t>
            </w:r>
          </w:p>
          <w:p>
            <w:pPr>
              <w:spacing w:after="40" w:before="60" w:line="259" w:lineRule="auto"/>
            </w:pPr>
            <w:r>
              <w:rPr>
                <w:rFonts w:ascii="Calibri" w:hAnsi="Calibri"/>
                <w:b w:val="0"/>
                <w:i w:val="0"/>
                <w:color w:val="212121"/>
                <w:sz w:val="19"/>
              </w:rPr>
              <w:t>The virus spreads less frequently by a common vehicle — for example, contaminated water or food.</w:t>
            </w:r>
          </w:p>
          <w:p>
            <w:pPr>
              <w:spacing w:after="40" w:line="252" w:lineRule="auto"/>
            </w:pPr>
            <w:hyperlink r:id="rId9">
              <w:r>
                <w:rPr>
                  <w:rFonts w:ascii="Calibri" w:hAnsi="Calibri" w:cs="Calibri"/>
                  <w:sz w:val="18"/>
                  <w:color w:val="1155CC"/>
                  <w:u w:val="single"/>
                </w:rPr>
                <w:t xml:space="preserve">who.int — poliomyelitis fact sheet</w:t>
              </w:r>
            </w:hyperlink>
          </w:p>
          <w:p>
            <w:pPr>
              <w:spacing w:before="60" w:after="40"/>
            </w:pPr>
            <w:r>
              <w:rPr>
                <w:rFonts w:ascii="Calibri" w:hAnsi="Calibri"/>
                <w:b w:val="0"/>
                <w:i w:val="0"/>
                <w:color w:val="5A5A5A"/>
                <w:sz w:val="18"/>
              </w:rPr>
              <w:t>#unsafewater  #commonvehicle  #waterborne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Vaccination coverage</w:t>
            </w:r>
          </w:p>
        </w:tc>
        <w:tc>
          <w:tcPr>
            <w:tcW w:type="dxa" w:w="2160"/>
            <w:vAlign w:val="top"/>
          </w:tcPr>
          <w:p>
            <w:pPr>
              <w:spacing w:after="40" w:before="0" w:line="259" w:lineRule="auto"/>
            </w:pPr>
            <w:r>
              <w:rPr>
                <w:rFonts w:ascii="Calibri" w:hAnsi="Calibri"/>
                <w:b w:val="0"/>
                <w:i w:val="0"/>
                <w:color w:val="212121"/>
                <w:sz w:val="19"/>
              </w:rPr>
              <w:t>Under-immunized &amp; zero-dose children</w:t>
            </w:r>
          </w:p>
        </w:tc>
        <w:tc>
          <w:tcPr>
            <w:tcW w:type="dxa" w:w="4276"/>
            <w:vAlign w:val="top"/>
          </w:tcPr>
          <w:p>
            <w:pPr>
              <w:spacing w:after="60" w:line="259" w:lineRule="auto"/>
            </w:pPr>
            <w:r>
              <w:rPr>
                <w:rFonts w:ascii="Calibri" w:hAnsi="Calibri"/>
                <w:b w:val="0"/>
                <w:i w:val="0"/>
                <w:color w:val="212121"/>
                <w:sz w:val="19"/>
              </w:rPr>
              <w:t>Low routine coverage leaves children susceptible and lets vaccine virus circulate and revert; circulating vaccine-derived poliovirus emerges specifically in inadequately immunized populations.</w:t>
            </w:r>
          </w:p>
          <w:p>
            <w:pPr>
              <w:spacing w:after="40" w:before="60" w:line="259" w:lineRule="auto"/>
            </w:pPr>
            <w:r>
              <w:rPr>
                <w:rFonts w:ascii="Calibri" w:hAnsi="Calibri"/>
                <w:b w:val="0"/>
                <w:i w:val="0"/>
                <w:color w:val="212121"/>
                <w:sz w:val="19"/>
              </w:rPr>
              <w:t>cVDPV emerged in Ukraine when only about 50% of children were fully immunized against polio, underscoring the need for high routine coverage.</w:t>
            </w:r>
          </w:p>
          <w:p>
            <w:pPr>
              <w:spacing w:after="40" w:line="252" w:lineRule="auto"/>
            </w:pPr>
            <w:hyperlink r:id="rId12">
              <w:r>
                <w:rPr>
                  <w:rFonts w:ascii="Calibri" w:hAnsi="Calibri" w:cs="Calibri"/>
                  <w:sz w:val="18"/>
                  <w:color w:val="1155CC"/>
                  <w:u w:val="single"/>
                </w:rPr>
                <w:t xml:space="preserve">polioeradication.org — circulating VDPV</w:t>
              </w:r>
            </w:hyperlink>
          </w:p>
          <w:p>
            <w:pPr>
              <w:spacing w:before="60" w:after="40"/>
            </w:pPr>
            <w:r>
              <w:rPr>
                <w:rFonts w:ascii="Calibri" w:hAnsi="Calibri"/>
                <w:b w:val="0"/>
                <w:i w:val="0"/>
                <w:color w:val="5A5A5A"/>
                <w:sz w:val="18"/>
              </w:rPr>
              <w:t>#zerodose  #cVDPV  #coverage  #OPV  #IPV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exertion</w:t>
            </w:r>
          </w:p>
        </w:tc>
        <w:tc>
          <w:tcPr>
            <w:tcW w:type="dxa" w:w="2160"/>
            <w:vAlign w:val="top"/>
          </w:tcPr>
          <w:p>
            <w:pPr>
              <w:spacing w:after="40" w:before="0" w:line="259" w:lineRule="auto"/>
            </w:pPr>
            <w:r>
              <w:rPr>
                <w:rFonts w:ascii="Calibri" w:hAnsi="Calibri"/>
                <w:b w:val="0"/>
                <w:i w:val="0"/>
                <w:color w:val="212121"/>
                <w:sz w:val="19"/>
              </w:rPr>
              <w:t>Vigorous exertion during the prodrome</w:t>
            </w:r>
          </w:p>
        </w:tc>
        <w:tc>
          <w:tcPr>
            <w:tcW w:type="dxa" w:w="4276"/>
            <w:vAlign w:val="top"/>
          </w:tcPr>
          <w:p>
            <w:pPr>
              <w:spacing w:after="60" w:line="259" w:lineRule="auto"/>
            </w:pPr>
            <w:r>
              <w:rPr>
                <w:rFonts w:ascii="Calibri" w:hAnsi="Calibri"/>
                <w:b w:val="0"/>
                <w:i w:val="0"/>
                <w:color w:val="212121"/>
                <w:sz w:val="19"/>
              </w:rPr>
              <w:t>Strenuous exercise or muscle fatigue during the incubation/prodromal phase (“provocation poliomyelitis”) is associated with more severe and more localized paralysis, so rest is advised during febrile illness when polio circulates.</w:t>
            </w:r>
          </w:p>
          <w:p>
            <w:pPr>
              <w:spacing w:after="40" w:before="60" w:line="259" w:lineRule="auto"/>
            </w:pPr>
            <w:r>
              <w:rPr>
                <w:rFonts w:ascii="Calibri" w:hAnsi="Calibri"/>
                <w:b w:val="0"/>
                <w:i w:val="0"/>
                <w:color w:val="212121"/>
                <w:sz w:val="19"/>
              </w:rPr>
              <w:t>Heavy physical exertion in the prodromal period is a recognized provoking factor for more severe paralytic disease.</w:t>
            </w:r>
          </w:p>
          <w:p>
            <w:pPr>
              <w:spacing w:before="60" w:after="40"/>
            </w:pPr>
            <w:r>
              <w:rPr>
                <w:rFonts w:ascii="Calibri" w:hAnsi="Calibri"/>
                <w:b w:val="0"/>
                <w:i w:val="0"/>
                <w:color w:val="5A5A5A"/>
                <w:sz w:val="18"/>
              </w:rPr>
              <w:t>#provocation  #exertion  #restduringfever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Breastfeeding &amp; nutrition</w:t>
            </w:r>
          </w:p>
        </w:tc>
        <w:tc>
          <w:tcPr>
            <w:tcW w:type="dxa" w:w="2160"/>
            <w:vAlign w:val="top"/>
          </w:tcPr>
          <w:p>
            <w:pPr>
              <w:spacing w:after="40" w:before="0" w:line="259" w:lineRule="auto"/>
            </w:pPr>
            <w:r>
              <w:rPr>
                <w:rFonts w:ascii="Calibri" w:hAnsi="Calibri"/>
                <w:b w:val="0"/>
                <w:i w:val="0"/>
                <w:color w:val="212121"/>
                <w:sz w:val="19"/>
              </w:rPr>
              <w:t>Non-breastfed &amp; malnourished infants</w:t>
            </w:r>
          </w:p>
        </w:tc>
        <w:tc>
          <w:tcPr>
            <w:tcW w:type="dxa" w:w="4276"/>
            <w:vAlign w:val="top"/>
          </w:tcPr>
          <w:p>
            <w:pPr>
              <w:spacing w:after="60" w:line="259" w:lineRule="auto"/>
            </w:pPr>
            <w:r>
              <w:rPr>
                <w:rFonts w:ascii="Calibri" w:hAnsi="Calibri"/>
                <w:b w:val="0"/>
                <w:i w:val="0"/>
                <w:color w:val="212121"/>
                <w:sz w:val="19"/>
              </w:rPr>
              <w:t>Breast milk provides passive antibody and gut protection; non-breastfed and undernourished infants have weaker mucosal and humoral immunity, increasing susceptibility and possibly reducing oral vaccine take.</w:t>
            </w:r>
          </w:p>
          <w:p>
            <w:pPr>
              <w:spacing w:after="40" w:before="60" w:line="259" w:lineRule="auto"/>
            </w:pPr>
            <w:r>
              <w:rPr>
                <w:rFonts w:ascii="Calibri" w:hAnsi="Calibri"/>
                <w:b w:val="0"/>
                <w:i w:val="0"/>
                <w:color w:val="212121"/>
                <w:sz w:val="19"/>
              </w:rPr>
              <w:t>Malnutrition impairs immune defence and can blunt seroconversion to oral polio vaccine.</w:t>
            </w:r>
          </w:p>
          <w:p>
            <w:pPr>
              <w:spacing w:before="60" w:after="40"/>
            </w:pPr>
            <w:r>
              <w:rPr>
                <w:rFonts w:ascii="Calibri" w:hAnsi="Calibri"/>
                <w:b w:val="0"/>
                <w:i w:val="0"/>
                <w:color w:val="5A5A5A"/>
                <w:sz w:val="18"/>
              </w:rPr>
              <w:t>#breastfeeding  #malnutrition  #mucosalimmunity  #OPVtake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A / micronutrient-deficient children</w:t>
            </w:r>
          </w:p>
        </w:tc>
        <w:tc>
          <w:tcPr>
            <w:tcW w:type="dxa" w:w="4276"/>
            <w:vAlign w:val="top"/>
          </w:tcPr>
          <w:p>
            <w:pPr>
              <w:spacing w:after="60" w:line="259" w:lineRule="auto"/>
            </w:pPr>
            <w:r>
              <w:rPr>
                <w:rFonts w:ascii="Calibri" w:hAnsi="Calibri"/>
                <w:b w:val="0"/>
                <w:i w:val="0"/>
                <w:color w:val="212121"/>
                <w:sz w:val="19"/>
              </w:rPr>
              <w:t>Micronutrient deficiency (notably vitamin A) and concurrent enteric infections weaken immunity and gut integrity, which may lower vaccine response and increase vulnerability.</w:t>
            </w:r>
          </w:p>
          <w:p>
            <w:pPr>
              <w:spacing w:after="40" w:before="60" w:line="259" w:lineRule="auto"/>
            </w:pPr>
            <w:r>
              <w:rPr>
                <w:rFonts w:ascii="Calibri" w:hAnsi="Calibri"/>
                <w:b w:val="0"/>
                <w:i w:val="0"/>
                <w:color w:val="212121"/>
                <w:sz w:val="19"/>
              </w:rPr>
              <w:t>Deficiencies of vitamin A and other micronutrients are linked to poorer mucosal immunity and vaccine performance.</w:t>
            </w:r>
          </w:p>
          <w:p>
            <w:pPr>
              <w:spacing w:before="60" w:after="40"/>
            </w:pPr>
            <w:r>
              <w:rPr>
                <w:rFonts w:ascii="Calibri" w:hAnsi="Calibri"/>
                <w:b w:val="0"/>
                <w:i w:val="0"/>
                <w:color w:val="5A5A5A"/>
                <w:sz w:val="18"/>
              </w:rPr>
              <w:t>#vitaminA  #micronutrients  #guthealth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Primary immunodeficiency (inherited)</w:t>
            </w:r>
          </w:p>
        </w:tc>
        <w:tc>
          <w:tcPr>
            <w:tcW w:type="dxa" w:w="2160"/>
            <w:vAlign w:val="top"/>
          </w:tcPr>
          <w:p>
            <w:pPr>
              <w:spacing w:after="40" w:before="0" w:line="259" w:lineRule="auto"/>
            </w:pPr>
            <w:r>
              <w:rPr>
                <w:rFonts w:ascii="Calibri" w:hAnsi="Calibri"/>
                <w:b w:val="0"/>
                <w:i w:val="0"/>
                <w:color w:val="212121"/>
                <w:sz w:val="19"/>
              </w:rPr>
              <w:t>Children with inherited humoral immunodeficiency</w:t>
            </w:r>
          </w:p>
        </w:tc>
        <w:tc>
          <w:tcPr>
            <w:tcW w:type="dxa" w:w="4276"/>
            <w:vAlign w:val="top"/>
          </w:tcPr>
          <w:p>
            <w:pPr>
              <w:spacing w:after="60" w:line="259" w:lineRule="auto"/>
            </w:pPr>
            <w:r>
              <w:rPr>
                <w:rFonts w:ascii="Calibri" w:hAnsi="Calibri"/>
                <w:b w:val="0"/>
                <w:i w:val="0"/>
                <w:color w:val="212121"/>
                <w:sz w:val="19"/>
              </w:rPr>
              <w:t>Inherited antibody-deficiency disorders (e.g., agammaglobulinemia, CVID) leave children unable to clear poliovirus, so they can develop paralytic disease and become long-term excretors of immunodeficiency-associated VDPV.</w:t>
            </w:r>
          </w:p>
          <w:p>
            <w:pPr>
              <w:spacing w:after="40" w:before="60" w:line="259" w:lineRule="auto"/>
            </w:pPr>
            <w:r>
              <w:rPr>
                <w:rFonts w:ascii="Calibri" w:hAnsi="Calibri"/>
                <w:b w:val="0"/>
                <w:i w:val="0"/>
                <w:color w:val="212121"/>
                <w:sz w:val="19"/>
              </w:rPr>
              <w:t>The risk and severity of paralysis increase with impaired immune status.</w:t>
            </w:r>
          </w:p>
          <w:p>
            <w:pPr>
              <w:spacing w:after="40" w:line="252" w:lineRule="auto"/>
            </w:pPr>
            <w:hyperlink r:id="rId13">
              <w:r>
                <w:rPr>
                  <w:rFonts w:ascii="Calibri" w:hAnsi="Calibri" w:cs="Calibri"/>
                  <w:sz w:val="18"/>
                  <w:color w:val="1155CC"/>
                  <w:u w:val="single"/>
                </w:rPr>
                <w:t xml:space="preserve">ncbi.nlm.nih.gov — StatPearls, poliomyelitis</w:t>
              </w:r>
            </w:hyperlink>
          </w:p>
          <w:p>
            <w:pPr>
              <w:spacing w:before="60" w:after="40"/>
            </w:pPr>
            <w:r>
              <w:rPr>
                <w:rFonts w:ascii="Calibri" w:hAnsi="Calibri"/>
                <w:b w:val="0"/>
                <w:i w:val="0"/>
                <w:color w:val="5A5A5A"/>
                <w:sz w:val="18"/>
              </w:rPr>
              <w:t>#agammaglobulinemia  #iVDPV  #immunodeficiency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Immunocompromise</w:t>
            </w:r>
          </w:p>
        </w:tc>
        <w:tc>
          <w:tcPr>
            <w:tcW w:type="dxa" w:w="2160"/>
            <w:vAlign w:val="top"/>
          </w:tcPr>
          <w:p>
            <w:pPr>
              <w:spacing w:after="40" w:before="0" w:line="259" w:lineRule="auto"/>
            </w:pPr>
            <w:r>
              <w:rPr>
                <w:rFonts w:ascii="Calibri" w:hAnsi="Calibri"/>
                <w:b w:val="0"/>
                <w:i w:val="0"/>
                <w:color w:val="212121"/>
                <w:sz w:val="19"/>
              </w:rPr>
              <w:t>Immunocompromised persons (iVDPV excretors)</w:t>
            </w:r>
          </w:p>
        </w:tc>
        <w:tc>
          <w:tcPr>
            <w:tcW w:type="dxa" w:w="4276"/>
            <w:vAlign w:val="top"/>
          </w:tcPr>
          <w:p>
            <w:pPr>
              <w:spacing w:after="60" w:line="259" w:lineRule="auto"/>
            </w:pPr>
            <w:r>
              <w:rPr>
                <w:rFonts w:ascii="Calibri" w:hAnsi="Calibri"/>
                <w:b w:val="0"/>
                <w:i w:val="0"/>
                <w:color w:val="212121"/>
                <w:sz w:val="19"/>
              </w:rPr>
              <w:t>Any significant immune compromise permits prolonged poliovirus replication; such individuals may excrete vaccine-derived virus for months to years, posing both personal risk and a reservoir for re-emergence.</w:t>
            </w:r>
          </w:p>
          <w:p>
            <w:pPr>
              <w:spacing w:after="40" w:before="60" w:line="259" w:lineRule="auto"/>
            </w:pPr>
            <w:r>
              <w:rPr>
                <w:rFonts w:ascii="Calibri" w:hAnsi="Calibri"/>
                <w:b w:val="0"/>
                <w:i w:val="0"/>
                <w:color w:val="212121"/>
                <w:sz w:val="19"/>
              </w:rPr>
              <w:t>Immunodeficiency-associated VDPV arises in persons who cannot clear the virus and excrete it long-term.</w:t>
            </w:r>
          </w:p>
          <w:p>
            <w:pPr>
              <w:spacing w:after="40" w:line="252" w:lineRule="auto"/>
            </w:pPr>
            <w:hyperlink r:id="rId12">
              <w:r>
                <w:rPr>
                  <w:rFonts w:ascii="Calibri" w:hAnsi="Calibri" w:cs="Calibri"/>
                  <w:sz w:val="18"/>
                  <w:color w:val="1155CC"/>
                  <w:u w:val="single"/>
                </w:rPr>
                <w:t xml:space="preserve">polioeradication.org — vaccine-derived poliovirus</w:t>
              </w:r>
            </w:hyperlink>
          </w:p>
          <w:p>
            <w:pPr>
              <w:spacing w:before="60" w:after="40"/>
            </w:pPr>
            <w:r>
              <w:rPr>
                <w:rFonts w:ascii="Calibri" w:hAnsi="Calibri"/>
                <w:b w:val="0"/>
                <w:i w:val="0"/>
                <w:color w:val="5A5A5A"/>
                <w:sz w:val="18"/>
              </w:rPr>
              <w:t>#immunocompromised  #iVDPV  #longtermexcretor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tonsillectomy</w:t>
            </w:r>
          </w:p>
        </w:tc>
        <w:tc>
          <w:tcPr>
            <w:tcW w:type="dxa" w:w="2160"/>
            <w:vAlign w:val="top"/>
          </w:tcPr>
          <w:p>
            <w:pPr>
              <w:spacing w:after="40" w:before="0" w:line="259" w:lineRule="auto"/>
            </w:pPr>
            <w:r>
              <w:rPr>
                <w:rFonts w:ascii="Calibri" w:hAnsi="Calibri"/>
                <w:b w:val="0"/>
                <w:i w:val="0"/>
                <w:color w:val="212121"/>
                <w:sz w:val="19"/>
              </w:rPr>
              <w:t>Children with recent tonsillectomy</w:t>
            </w:r>
          </w:p>
        </w:tc>
        <w:tc>
          <w:tcPr>
            <w:tcW w:type="dxa" w:w="4276"/>
            <w:vAlign w:val="top"/>
          </w:tcPr>
          <w:p>
            <w:pPr>
              <w:spacing w:after="60" w:line="259" w:lineRule="auto"/>
            </w:pPr>
            <w:r>
              <w:rPr>
                <w:rFonts w:ascii="Calibri" w:hAnsi="Calibri"/>
                <w:b w:val="0"/>
                <w:i w:val="0"/>
                <w:color w:val="212121"/>
                <w:sz w:val="19"/>
              </w:rPr>
              <w:t>Removal of the tonsils shortly before or during infection predisposes to the bulbar form of poliomyelitis, which involves cranial nerves and carries the highest case-fatality.</w:t>
            </w:r>
          </w:p>
          <w:p>
            <w:pPr>
              <w:spacing w:after="40" w:before="60" w:line="259" w:lineRule="auto"/>
            </w:pPr>
            <w:r>
              <w:rPr>
                <w:rFonts w:ascii="Calibri" w:hAnsi="Calibri"/>
                <w:b w:val="0"/>
                <w:i w:val="0"/>
                <w:color w:val="212121"/>
                <w:sz w:val="19"/>
              </w:rPr>
              <w:t>Recent tonsillectomy is a classic risk factor for bulbar poliomyelitis.</w:t>
            </w:r>
          </w:p>
          <w:p>
            <w:pPr>
              <w:spacing w:before="60" w:after="40"/>
            </w:pPr>
            <w:r>
              <w:rPr>
                <w:rFonts w:ascii="Calibri" w:hAnsi="Calibri"/>
                <w:b w:val="0"/>
                <w:i w:val="0"/>
                <w:color w:val="5A5A5A"/>
                <w:sz w:val="18"/>
              </w:rPr>
              <w:t>#tonsillectomy  #bulbarpolio  #provocation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Pregnancy is associated with increased susceptibility to poliovirus infection and a greater likelihood of paralytic disease, attributed to relative immune modulation and physiological changes.</w:t>
            </w:r>
          </w:p>
          <w:p>
            <w:pPr>
              <w:spacing w:after="40" w:before="60" w:line="259" w:lineRule="auto"/>
            </w:pPr>
            <w:r>
              <w:rPr>
                <w:rFonts w:ascii="Calibri" w:hAnsi="Calibri"/>
                <w:b w:val="0"/>
                <w:i w:val="0"/>
                <w:color w:val="212121"/>
                <w:sz w:val="19"/>
              </w:rPr>
              <w:t>Pregnancy increases susceptibility to, and severity of, paralytic poliomyelitis.</w:t>
            </w:r>
          </w:p>
          <w:p>
            <w:pPr>
              <w:spacing w:before="60" w:after="40"/>
            </w:pPr>
            <w:r>
              <w:rPr>
                <w:rFonts w:ascii="Calibri" w:hAnsi="Calibri"/>
                <w:b w:val="0"/>
                <w:i w:val="0"/>
                <w:color w:val="5A5A5A"/>
                <w:sz w:val="18"/>
              </w:rPr>
              <w:t>#pregnancy  #susceptibility  #maternalhealth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paralytic polio</w:t>
            </w:r>
          </w:p>
        </w:tc>
        <w:tc>
          <w:tcPr>
            <w:tcW w:type="dxa" w:w="2160"/>
            <w:vAlign w:val="top"/>
          </w:tcPr>
          <w:p>
            <w:pPr>
              <w:spacing w:after="40" w:before="0" w:line="259" w:lineRule="auto"/>
            </w:pPr>
            <w:r>
              <w:rPr>
                <w:rFonts w:ascii="Calibri" w:hAnsi="Calibri"/>
                <w:b w:val="0"/>
                <w:i w:val="0"/>
                <w:color w:val="212121"/>
                <w:sz w:val="19"/>
              </w:rPr>
              <w:t>Polio survivors (decades after acute illness)</w:t>
            </w:r>
          </w:p>
        </w:tc>
        <w:tc>
          <w:tcPr>
            <w:tcW w:type="dxa" w:w="4276"/>
            <w:vAlign w:val="top"/>
          </w:tcPr>
          <w:p>
            <w:pPr>
              <w:spacing w:after="60" w:line="259" w:lineRule="auto"/>
            </w:pPr>
            <w:r>
              <w:rPr>
                <w:rFonts w:ascii="Calibri" w:hAnsi="Calibri"/>
                <w:b w:val="0"/>
                <w:i w:val="0"/>
                <w:color w:val="212121"/>
                <w:sz w:val="19"/>
              </w:rPr>
              <w:t>Survivors of paralytic polio are at risk of post-polio syndrome — new weakness, fatigue and pain — as surviving motor units, overworked for years, gradually degenerate.</w:t>
            </w:r>
          </w:p>
          <w:p>
            <w:pPr>
              <w:spacing w:after="40" w:before="60" w:line="259" w:lineRule="auto"/>
            </w:pPr>
            <w:r>
              <w:rPr>
                <w:rFonts w:ascii="Calibri" w:hAnsi="Calibri"/>
                <w:b w:val="0"/>
                <w:i w:val="0"/>
                <w:color w:val="212121"/>
                <w:sz w:val="19"/>
              </w:rPr>
              <w:t>Post-polio syndrome affects 25–40 out of every 100 survivors, typically 15–40 years after the initial infection.</w:t>
            </w:r>
          </w:p>
          <w:p>
            <w:pPr>
              <w:spacing w:after="40" w:line="252" w:lineRule="auto"/>
            </w:pPr>
            <w:hyperlink r:id="rId14">
              <w:r>
                <w:rPr>
                  <w:rFonts w:ascii="Calibri" w:hAnsi="Calibri" w:cs="Calibri"/>
                  <w:sz w:val="18"/>
                  <w:color w:val="1155CC"/>
                  <w:u w:val="single"/>
                </w:rPr>
                <w:t xml:space="preserve">cdc.gov — about polio</w:t>
              </w:r>
            </w:hyperlink>
          </w:p>
          <w:p>
            <w:pPr>
              <w:spacing w:before="60" w:after="40"/>
            </w:pPr>
            <w:r>
              <w:rPr>
                <w:rFonts w:ascii="Calibri" w:hAnsi="Calibri"/>
                <w:b w:val="0"/>
                <w:i w:val="0"/>
                <w:color w:val="5A5A5A"/>
                <w:sz w:val="18"/>
              </w:rPr>
              <w:t>#postpoliosyndrome  #survivors  #PPS  #lateeffects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Enteric co-infection</w:t>
            </w:r>
          </w:p>
        </w:tc>
        <w:tc>
          <w:tcPr>
            <w:tcW w:type="dxa" w:w="2160"/>
            <w:vAlign w:val="top"/>
          </w:tcPr>
          <w:p>
            <w:pPr>
              <w:spacing w:after="40" w:before="0" w:line="259" w:lineRule="auto"/>
            </w:pPr>
            <w:r>
              <w:rPr>
                <w:rFonts w:ascii="Calibri" w:hAnsi="Calibri"/>
                <w:b w:val="0"/>
                <w:i w:val="0"/>
                <w:color w:val="212121"/>
                <w:sz w:val="19"/>
              </w:rPr>
              <w:t>Children with diarrhoeal / enteric co-infection</w:t>
            </w:r>
          </w:p>
        </w:tc>
        <w:tc>
          <w:tcPr>
            <w:tcW w:type="dxa" w:w="4276"/>
            <w:vAlign w:val="top"/>
          </w:tcPr>
          <w:p>
            <w:pPr>
              <w:spacing w:after="60" w:line="259" w:lineRule="auto"/>
            </w:pPr>
            <w:r>
              <w:rPr>
                <w:rFonts w:ascii="Calibri" w:hAnsi="Calibri"/>
                <w:b w:val="0"/>
                <w:i w:val="0"/>
                <w:color w:val="212121"/>
                <w:sz w:val="19"/>
              </w:rPr>
              <w:t>Concurrent diarrhoea and other enterovirus infections can reduce oral polio vaccine take and accelerate faecal-oral transmission, leaving children less protected in outbreak conditions.</w:t>
            </w:r>
          </w:p>
          <w:p>
            <w:pPr>
              <w:spacing w:after="40" w:before="60" w:line="259" w:lineRule="auto"/>
            </w:pPr>
            <w:r>
              <w:rPr>
                <w:rFonts w:ascii="Calibri" w:hAnsi="Calibri"/>
                <w:b w:val="0"/>
                <w:i w:val="0"/>
                <w:color w:val="212121"/>
                <w:sz w:val="19"/>
              </w:rPr>
              <w:t>Diarrhoeal illness at the time of OPV dosing can lower vaccine seroconversion.</w:t>
            </w:r>
          </w:p>
          <w:p>
            <w:pPr>
              <w:spacing w:before="60" w:after="40"/>
            </w:pPr>
            <w:r>
              <w:rPr>
                <w:rFonts w:ascii="Calibri" w:hAnsi="Calibri"/>
                <w:b w:val="0"/>
                <w:i w:val="0"/>
                <w:color w:val="5A5A5A"/>
                <w:sz w:val="18"/>
              </w:rPr>
              <w:t>#diarrhoea  #enterovirus  #OPVtake  #coinfection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Strenuous exertion or muscle fatigue during the prodromal/incubation phase (“provocation poliomyelitis”) is associated with more severe and localized paralysis; rest is advised during febrile illness. In survivors, overuse of weakened muscles accelerates post-polio decline.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Malnutrition and micronutrient deficiency (notably vitamin A) impair mucosal and humoral immunity and can reduce oral vaccine seroconversion; breastfeeding confers passive protection to infants.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role in transmission, but adequate rest supports immune function during acute infection and convalescence; survivors with bulbar/respiratory weakness are prone to sleep-disordered breathing.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risk factor for acquiring polio in the predominantly paediatric population, but smoking further reduces respiratory reserve in adult survivors and post-polio patients with chest-muscle weakness.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role in acquisition; in adult survivors heavy alcohol worsens deconditioning and falls risk and interacts with rehabilitation and pain medications.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chronic paralysis, disability, stigma and post-polio syndrome carry a high burden of depression and anxiety that affects rehabilitation outcomes.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Faecally contaminated water is a key common-vehicle route of poliovirus spread; safe drinking water and improved sanitation are central to interrupting transmission.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Because spread is faecal-oral, handwashing with soap, safe faeces disposal, sanitation and clean food/water are the primary non-vaccine defences; high vaccination coverage remains the cornerstone.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Intramuscular injections, recent tonsillectomy, pregnancy and strenuous exercise during incubation increase the risk and localization of paralysis; unnecessary injections should be avoided when polio circulates.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During acute paralysis, correct positioning and splinting prevent contractures and deformity; residual asymmetric paralysis in growing children causes scoliosis, limb-length discrepancy and postural deformities requiring orthotic management.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Polio immunization status (OPV/IPV doses for age)</w:t>
            </w:r>
          </w:p>
        </w:tc>
        <w:tc>
          <w:tcPr>
            <w:tcW w:type="dxa" w:w="1655"/>
            <w:vAlign w:val="top"/>
          </w:tcPr>
          <w:p>
            <w:pPr>
              <w:spacing w:after="40" w:before="0" w:line="259" w:lineRule="auto"/>
            </w:pPr>
            <w:r>
              <w:rPr>
                <w:rFonts w:ascii="Calibri" w:hAnsi="Calibri"/>
                <w:b w:val="0"/>
                <w:i w:val="0"/>
                <w:color w:val="212121"/>
                <w:sz w:val="19"/>
              </w:rPr>
              <w:t>Infants &amp; children &lt;5</w:t>
            </w:r>
          </w:p>
        </w:tc>
        <w:tc>
          <w:tcPr>
            <w:tcW w:type="dxa" w:w="1512"/>
            <w:vAlign w:val="top"/>
          </w:tcPr>
          <w:p>
            <w:pPr>
              <w:spacing w:after="40" w:before="0" w:line="259" w:lineRule="auto"/>
            </w:pPr>
            <w:r>
              <w:rPr>
                <w:rFonts w:ascii="Calibri" w:hAnsi="Calibri"/>
                <w:b w:val="0"/>
                <w:i w:val="0"/>
                <w:color w:val="212121"/>
                <w:sz w:val="19"/>
              </w:rPr>
              <w:t>Complete per UIP: birth-dose OPV + primary bOPV series + ≥1 IPV, and all supplementary (Pulse Polio) rounds</w:t>
            </w:r>
          </w:p>
        </w:tc>
        <w:tc>
          <w:tcPr>
            <w:tcW w:type="dxa" w:w="1512"/>
            <w:vAlign w:val="top"/>
          </w:tcPr>
          <w:p>
            <w:pPr>
              <w:spacing w:after="40" w:before="0" w:line="259" w:lineRule="auto"/>
            </w:pPr>
            <w:r>
              <w:rPr>
                <w:rFonts w:ascii="Calibri" w:hAnsi="Calibri"/>
                <w:b w:val="0"/>
                <w:i w:val="0"/>
                <w:color w:val="212121"/>
                <w:sz w:val="19"/>
              </w:rPr>
              <w:t>Zero-dose or partially vaccinated child</w:t>
            </w:r>
          </w:p>
        </w:tc>
        <w:tc>
          <w:tcPr>
            <w:tcW w:type="dxa" w:w="1468"/>
            <w:vAlign w:val="top"/>
          </w:tcPr>
          <w:p>
            <w:pPr>
              <w:spacing w:after="60" w:line="259" w:lineRule="auto"/>
            </w:pPr>
            <w:r>
              <w:rPr>
                <w:rFonts w:ascii="Calibri" w:hAnsi="Calibri"/>
                <w:b w:val="0"/>
                <w:i w:val="0"/>
                <w:color w:val="212121"/>
                <w:sz w:val="19"/>
              </w:rPr>
              <w:t>Under-immunized children sustain transmission and cVDPV emergence</w:t>
            </w:r>
          </w:p>
          <w:p>
            <w:pPr>
              <w:spacing w:after="40" w:line="252" w:lineRule="auto"/>
            </w:pPr>
            <w:hyperlink r:id="rId12">
              <w:r>
                <w:rPr>
                  <w:rFonts w:ascii="Calibri" w:hAnsi="Calibri" w:cs="Calibri"/>
                  <w:sz w:val="18"/>
                  <w:color w:val="1155CC"/>
                  <w:u w:val="single"/>
                </w:rPr>
                <w:t xml:space="preserve">https://polioeradication.org/circulating-vaccine-derived-poliovirus/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&amp; handwashing</w:t>
            </w:r>
          </w:p>
        </w:tc>
        <w:tc>
          <w:tcPr>
            <w:tcW w:type="dxa" w:w="1655"/>
            <w:vAlign w:val="top"/>
          </w:tcPr>
          <w:p>
            <w:pPr>
              <w:spacing w:after="40" w:before="0" w:line="259" w:lineRule="auto"/>
            </w:pPr>
            <w:r>
              <w:rPr>
                <w:rFonts w:ascii="Calibri" w:hAnsi="Calibri"/>
                <w:b w:val="0"/>
                <w:i w:val="0"/>
                <w:color w:val="212121"/>
                <w:sz w:val="19"/>
              </w:rPr>
              <w:t>Households with young children</w:t>
            </w:r>
          </w:p>
        </w:tc>
        <w:tc>
          <w:tcPr>
            <w:tcW w:type="dxa" w:w="1512"/>
            <w:vAlign w:val="top"/>
          </w:tcPr>
          <w:p>
            <w:pPr>
              <w:spacing w:after="40" w:before="0" w:line="259" w:lineRule="auto"/>
            </w:pPr>
            <w:r>
              <w:rPr>
                <w:rFonts w:ascii="Calibri" w:hAnsi="Calibri"/>
                <w:b w:val="0"/>
                <w:i w:val="0"/>
                <w:color w:val="212121"/>
                <w:sz w:val="19"/>
              </w:rPr>
              <w:t>Improved toilet use; handwashing with soap after defecation and before feeding</w:t>
            </w:r>
          </w:p>
        </w:tc>
        <w:tc>
          <w:tcPr>
            <w:tcW w:type="dxa" w:w="1512"/>
            <w:vAlign w:val="top"/>
          </w:tcPr>
          <w:p>
            <w:pPr>
              <w:spacing w:after="40" w:before="0" w:line="259" w:lineRule="auto"/>
            </w:pPr>
            <w:r>
              <w:rPr>
                <w:rFonts w:ascii="Calibri" w:hAnsi="Calibri"/>
                <w:b w:val="0"/>
                <w:i w:val="0"/>
                <w:color w:val="212121"/>
                <w:sz w:val="19"/>
              </w:rPr>
              <w:t>Open defecation; no handwashing</w:t>
            </w:r>
          </w:p>
        </w:tc>
        <w:tc>
          <w:tcPr>
            <w:tcW w:type="dxa" w:w="1468"/>
            <w:vAlign w:val="top"/>
          </w:tcPr>
          <w:p>
            <w:pPr>
              <w:spacing w:after="60" w:line="259" w:lineRule="auto"/>
            </w:pPr>
            <w:r>
              <w:rPr>
                <w:rFonts w:ascii="Calibri" w:hAnsi="Calibri"/>
                <w:b w:val="0"/>
                <w:i w:val="0"/>
                <w:color w:val="212121"/>
                <w:sz w:val="19"/>
              </w:rPr>
              <w:t>Interrupts faecal-oral transmission</w:t>
            </w:r>
          </w:p>
          <w:p>
            <w:pPr>
              <w:spacing w:after="40" w:line="252" w:lineRule="auto"/>
            </w:pPr>
            <w:hyperlink r:id="rId9">
              <w:r>
                <w:rPr>
                  <w:rFonts w:ascii="Calibri" w:hAnsi="Calibri" w:cs="Calibri"/>
                  <w:sz w:val="18"/>
                  <w:color w:val="1155CC"/>
                  <w:u w:val="single"/>
                </w:rPr>
                <w:t xml:space="preserve">https://www.who.int/news-room/fact-sheets/detail/poliomyelitis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source &amp; safety</w:t>
            </w:r>
          </w:p>
        </w:tc>
        <w:tc>
          <w:tcPr>
            <w:tcW w:type="dxa" w:w="1655"/>
            <w:vAlign w:val="top"/>
          </w:tcPr>
          <w:p>
            <w:pPr>
              <w:spacing w:after="40" w:before="0" w:line="259" w:lineRule="auto"/>
            </w:pPr>
            <w:r>
              <w:rPr>
                <w:rFonts w:ascii="Calibri" w:hAnsi="Calibri"/>
                <w:b w:val="0"/>
                <w:i w:val="0"/>
                <w:color w:val="212121"/>
                <w:sz w:val="19"/>
              </w:rPr>
              <w:t>Communities</w:t>
            </w:r>
          </w:p>
        </w:tc>
        <w:tc>
          <w:tcPr>
            <w:tcW w:type="dxa" w:w="1512"/>
            <w:vAlign w:val="top"/>
          </w:tcPr>
          <w:p>
            <w:pPr>
              <w:spacing w:after="40" w:before="0" w:line="259" w:lineRule="auto"/>
            </w:pPr>
            <w:r>
              <w:rPr>
                <w:rFonts w:ascii="Calibri" w:hAnsi="Calibri"/>
                <w:b w:val="0"/>
                <w:i w:val="0"/>
                <w:color w:val="212121"/>
                <w:sz w:val="19"/>
              </w:rPr>
              <w:t>Treated / piped safe water</w:t>
            </w:r>
          </w:p>
        </w:tc>
        <w:tc>
          <w:tcPr>
            <w:tcW w:type="dxa" w:w="1512"/>
            <w:vAlign w:val="top"/>
          </w:tcPr>
          <w:p>
            <w:pPr>
              <w:spacing w:after="40" w:before="0" w:line="259" w:lineRule="auto"/>
            </w:pPr>
            <w:r>
              <w:rPr>
                <w:rFonts w:ascii="Calibri" w:hAnsi="Calibri"/>
                <w:b w:val="0"/>
                <w:i w:val="0"/>
                <w:color w:val="212121"/>
                <w:sz w:val="19"/>
              </w:rPr>
              <w:t>Untreated surface or faecally contaminated water</w:t>
            </w:r>
          </w:p>
        </w:tc>
        <w:tc>
          <w:tcPr>
            <w:tcW w:type="dxa" w:w="1468"/>
            <w:vAlign w:val="top"/>
          </w:tcPr>
          <w:p>
            <w:pPr>
              <w:spacing w:after="60" w:line="259" w:lineRule="auto"/>
            </w:pPr>
            <w:r>
              <w:rPr>
                <w:rFonts w:ascii="Calibri" w:hAnsi="Calibri"/>
                <w:b w:val="0"/>
                <w:i w:val="0"/>
                <w:color w:val="212121"/>
                <w:sz w:val="19"/>
              </w:rPr>
              <w:t>Contaminated water is a common vehicle for poliovirus</w:t>
            </w:r>
          </w:p>
          <w:p>
            <w:pPr>
              <w:spacing w:after="40" w:line="252" w:lineRule="auto"/>
            </w:pPr>
            <w:hyperlink r:id="rId9">
              <w:r>
                <w:rPr>
                  <w:rFonts w:ascii="Calibri" w:hAnsi="Calibri" w:cs="Calibri"/>
                  <w:sz w:val="18"/>
                  <w:color w:val="1155CC"/>
                  <w:u w:val="single"/>
                </w:rPr>
                <w:t xml:space="preserve">https://www.who.int/news-room/fact-sheets/detail/poliomyelitis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Intramuscular injections during febrile illness</w:t>
            </w:r>
          </w:p>
        </w:tc>
        <w:tc>
          <w:tcPr>
            <w:tcW w:type="dxa" w:w="1655"/>
            <w:vAlign w:val="top"/>
          </w:tcPr>
          <w:p>
            <w:pPr>
              <w:spacing w:after="40" w:before="0" w:line="259" w:lineRule="auto"/>
            </w:pPr>
            <w:r>
              <w:rPr>
                <w:rFonts w:ascii="Calibri" w:hAnsi="Calibri"/>
                <w:b w:val="0"/>
                <w:i w:val="0"/>
                <w:color w:val="212121"/>
                <w:sz w:val="19"/>
              </w:rPr>
              <w:t>Children in incubation/prodrome</w:t>
            </w:r>
          </w:p>
        </w:tc>
        <w:tc>
          <w:tcPr>
            <w:tcW w:type="dxa" w:w="1512"/>
            <w:vAlign w:val="top"/>
          </w:tcPr>
          <w:p>
            <w:pPr>
              <w:spacing w:after="40" w:before="0" w:line="259" w:lineRule="auto"/>
            </w:pPr>
            <w:r>
              <w:rPr>
                <w:rFonts w:ascii="Calibri" w:hAnsi="Calibri"/>
                <w:b w:val="0"/>
                <w:i w:val="0"/>
                <w:color w:val="212121"/>
                <w:sz w:val="19"/>
              </w:rPr>
              <w:t>Avoid unnecessary IM injections when poliovirus circulates</w:t>
            </w:r>
          </w:p>
        </w:tc>
        <w:tc>
          <w:tcPr>
            <w:tcW w:type="dxa" w:w="1512"/>
            <w:vAlign w:val="top"/>
          </w:tcPr>
          <w:p>
            <w:pPr>
              <w:spacing w:after="40" w:before="0" w:line="259" w:lineRule="auto"/>
            </w:pPr>
            <w:r>
              <w:rPr>
                <w:rFonts w:ascii="Calibri" w:hAnsi="Calibri"/>
                <w:b w:val="0"/>
                <w:i w:val="0"/>
                <w:color w:val="212121"/>
                <w:sz w:val="19"/>
              </w:rPr>
              <w:t>IM injection during a febrile prodrome</w:t>
            </w:r>
          </w:p>
        </w:tc>
        <w:tc>
          <w:tcPr>
            <w:tcW w:type="dxa" w:w="1468"/>
            <w:vAlign w:val="top"/>
          </w:tcPr>
          <w:p>
            <w:pPr>
              <w:spacing w:after="40" w:before="0" w:line="259" w:lineRule="auto"/>
            </w:pPr>
            <w:r>
              <w:rPr>
                <w:rFonts w:ascii="Calibri" w:hAnsi="Calibri"/>
                <w:b w:val="0"/>
                <w:i w:val="0"/>
                <w:color w:val="212121"/>
                <w:sz w:val="19"/>
              </w:rPr>
              <w:t>Provocation poliomyelitis localizes paralysis to the injected limb</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Elective tonsillectomy timing</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Defer during an outbreak or suspected incubation</w:t>
            </w:r>
          </w:p>
        </w:tc>
        <w:tc>
          <w:tcPr>
            <w:tcW w:type="dxa" w:w="1512"/>
            <w:vAlign w:val="top"/>
          </w:tcPr>
          <w:p>
            <w:pPr>
              <w:spacing w:after="40" w:before="0" w:line="259" w:lineRule="auto"/>
            </w:pPr>
            <w:r>
              <w:rPr>
                <w:rFonts w:ascii="Calibri" w:hAnsi="Calibri"/>
                <w:b w:val="0"/>
                <w:i w:val="0"/>
                <w:color w:val="212121"/>
                <w:sz w:val="19"/>
              </w:rPr>
              <w:t>Recent tonsillectomy</w:t>
            </w:r>
          </w:p>
        </w:tc>
        <w:tc>
          <w:tcPr>
            <w:tcW w:type="dxa" w:w="1468"/>
            <w:vAlign w:val="top"/>
          </w:tcPr>
          <w:p>
            <w:pPr>
              <w:spacing w:after="40" w:before="0" w:line="259" w:lineRule="auto"/>
            </w:pPr>
            <w:r>
              <w:rPr>
                <w:rFonts w:ascii="Calibri" w:hAnsi="Calibri"/>
                <w:b w:val="0"/>
                <w:i w:val="0"/>
                <w:color w:val="212121"/>
                <w:sz w:val="19"/>
              </w:rPr>
              <w:t>Predisposes to bulbar poliomyelitis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Strenuous exertion during febrile prodrome</w:t>
            </w:r>
          </w:p>
        </w:tc>
        <w:tc>
          <w:tcPr>
            <w:tcW w:type="dxa" w:w="1655"/>
            <w:vAlign w:val="top"/>
          </w:tcPr>
          <w:p>
            <w:pPr>
              <w:spacing w:after="40" w:before="0" w:line="259" w:lineRule="auto"/>
            </w:pPr>
            <w:r>
              <w:rPr>
                <w:rFonts w:ascii="Calibri" w:hAnsi="Calibri"/>
                <w:b w:val="0"/>
                <w:i w:val="0"/>
                <w:color w:val="212121"/>
                <w:sz w:val="19"/>
              </w:rPr>
              <w:t>Older children &amp; adults</w:t>
            </w:r>
          </w:p>
        </w:tc>
        <w:tc>
          <w:tcPr>
            <w:tcW w:type="dxa" w:w="1512"/>
            <w:vAlign w:val="top"/>
          </w:tcPr>
          <w:p>
            <w:pPr>
              <w:spacing w:after="40" w:before="0" w:line="259" w:lineRule="auto"/>
            </w:pPr>
            <w:r>
              <w:rPr>
                <w:rFonts w:ascii="Calibri" w:hAnsi="Calibri"/>
                <w:b w:val="0"/>
                <w:i w:val="0"/>
                <w:color w:val="212121"/>
                <w:sz w:val="19"/>
              </w:rPr>
              <w:t>Rest during acute febrile illness</w:t>
            </w:r>
          </w:p>
        </w:tc>
        <w:tc>
          <w:tcPr>
            <w:tcW w:type="dxa" w:w="1512"/>
            <w:vAlign w:val="top"/>
          </w:tcPr>
          <w:p>
            <w:pPr>
              <w:spacing w:after="40" w:before="0" w:line="259" w:lineRule="auto"/>
            </w:pPr>
            <w:r>
              <w:rPr>
                <w:rFonts w:ascii="Calibri" w:hAnsi="Calibri"/>
                <w:b w:val="0"/>
                <w:i w:val="0"/>
                <w:color w:val="212121"/>
                <w:sz w:val="19"/>
              </w:rPr>
              <w:t>Heavy exertion/fatigue in the prodrome</w:t>
            </w:r>
          </w:p>
        </w:tc>
        <w:tc>
          <w:tcPr>
            <w:tcW w:type="dxa" w:w="1468"/>
            <w:vAlign w:val="top"/>
          </w:tcPr>
          <w:p>
            <w:pPr>
              <w:spacing w:after="40" w:before="0" w:line="259" w:lineRule="auto"/>
            </w:pPr>
            <w:r>
              <w:rPr>
                <w:rFonts w:ascii="Calibri" w:hAnsi="Calibri"/>
                <w:b w:val="0"/>
                <w:i w:val="0"/>
                <w:color w:val="212121"/>
                <w:sz w:val="19"/>
              </w:rPr>
              <w:t>Exertion in the prodrome worsens paralysis severity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status (weight-for-age) &amp; breastfeeding</w:t>
            </w:r>
          </w:p>
        </w:tc>
        <w:tc>
          <w:tcPr>
            <w:tcW w:type="dxa" w:w="1655"/>
            <w:vAlign w:val="top"/>
          </w:tcPr>
          <w:p>
            <w:pPr>
              <w:spacing w:after="40" w:before="0" w:line="259" w:lineRule="auto"/>
            </w:pPr>
            <w:r>
              <w:rPr>
                <w:rFonts w:ascii="Calibri" w:hAnsi="Calibri"/>
                <w:b w:val="0"/>
                <w:i w:val="0"/>
                <w:color w:val="212121"/>
                <w:sz w:val="19"/>
              </w:rPr>
              <w:t>Children &lt;5</w:t>
            </w:r>
          </w:p>
        </w:tc>
        <w:tc>
          <w:tcPr>
            <w:tcW w:type="dxa" w:w="1512"/>
            <w:vAlign w:val="top"/>
          </w:tcPr>
          <w:p>
            <w:pPr>
              <w:spacing w:after="40" w:before="0" w:line="259" w:lineRule="auto"/>
            </w:pPr>
            <w:r>
              <w:rPr>
                <w:rFonts w:ascii="Calibri" w:hAnsi="Calibri"/>
                <w:b w:val="0"/>
                <w:i w:val="0"/>
                <w:color w:val="212121"/>
                <w:sz w:val="19"/>
              </w:rPr>
              <w:t>Normal weight-for-age; exclusive breastfeeding to 6 months</w:t>
            </w:r>
          </w:p>
        </w:tc>
        <w:tc>
          <w:tcPr>
            <w:tcW w:type="dxa" w:w="1512"/>
            <w:vAlign w:val="top"/>
          </w:tcPr>
          <w:p>
            <w:pPr>
              <w:spacing w:after="40" w:before="0" w:line="259" w:lineRule="auto"/>
            </w:pPr>
            <w:r>
              <w:rPr>
                <w:rFonts w:ascii="Calibri" w:hAnsi="Calibri"/>
                <w:b w:val="0"/>
                <w:i w:val="0"/>
                <w:color w:val="212121"/>
                <w:sz w:val="19"/>
              </w:rPr>
              <w:t>Underweight / malnutrition</w:t>
            </w:r>
          </w:p>
        </w:tc>
        <w:tc>
          <w:tcPr>
            <w:tcW w:type="dxa" w:w="1468"/>
            <w:vAlign w:val="top"/>
          </w:tcPr>
          <w:p>
            <w:pPr>
              <w:spacing w:after="40" w:before="0" w:line="259" w:lineRule="auto"/>
            </w:pPr>
            <w:r>
              <w:rPr>
                <w:rFonts w:ascii="Calibri" w:hAnsi="Calibri"/>
                <w:b w:val="0"/>
                <w:i w:val="0"/>
                <w:color w:val="212121"/>
                <w:sz w:val="19"/>
              </w:rPr>
              <w:t>Malnutrition impairs immunity and can lower oral vaccine take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screening (PHQ-9)</w:t>
            </w:r>
          </w:p>
        </w:tc>
        <w:tc>
          <w:tcPr>
            <w:tcW w:type="dxa" w:w="1655"/>
            <w:vAlign w:val="top"/>
          </w:tcPr>
          <w:p>
            <w:pPr>
              <w:spacing w:after="40" w:before="0" w:line="259" w:lineRule="auto"/>
            </w:pPr>
            <w:r>
              <w:rPr>
                <w:rFonts w:ascii="Calibri" w:hAnsi="Calibri"/>
                <w:b w:val="0"/>
                <w:i w:val="0"/>
                <w:color w:val="212121"/>
                <w:sz w:val="19"/>
              </w:rPr>
              <w:t>Polio survivors &amp; PPS patients</w:t>
            </w:r>
          </w:p>
        </w:tc>
        <w:tc>
          <w:tcPr>
            <w:tcW w:type="dxa" w:w="1512"/>
            <w:vAlign w:val="top"/>
          </w:tcPr>
          <w:p>
            <w:pPr>
              <w:spacing w:after="40" w:before="0" w:line="259" w:lineRule="auto"/>
            </w:pPr>
            <w:r>
              <w:rPr>
                <w:rFonts w:ascii="Calibri" w:hAnsi="Calibri"/>
                <w:b w:val="0"/>
                <w:i w:val="0"/>
                <w:color w:val="212121"/>
                <w:sz w:val="19"/>
              </w:rPr>
              <w:t>PHQ-9 &lt; 5</w:t>
            </w:r>
          </w:p>
        </w:tc>
        <w:tc>
          <w:tcPr>
            <w:tcW w:type="dxa" w:w="1512"/>
            <w:vAlign w:val="top"/>
          </w:tcPr>
          <w:p>
            <w:pPr>
              <w:spacing w:after="40" w:before="0" w:line="259" w:lineRule="auto"/>
            </w:pPr>
            <w:r>
              <w:rPr>
                <w:rFonts w:ascii="Calibri" w:hAnsi="Calibri"/>
                <w:b w:val="0"/>
                <w:i w:val="0"/>
                <w:color w:val="212121"/>
                <w:sz w:val="19"/>
              </w:rPr>
              <w:t>PHQ-9 ≥ 10</w:t>
            </w:r>
          </w:p>
        </w:tc>
        <w:tc>
          <w:tcPr>
            <w:tcW w:type="dxa" w:w="1468"/>
            <w:vAlign w:val="top"/>
          </w:tcPr>
          <w:p>
            <w:pPr>
              <w:spacing w:after="40" w:before="0" w:line="259" w:lineRule="auto"/>
            </w:pPr>
            <w:r>
              <w:rPr>
                <w:rFonts w:ascii="Calibri" w:hAnsi="Calibri"/>
                <w:b w:val="0"/>
                <w:i w:val="0"/>
                <w:color w:val="212121"/>
                <w:sz w:val="19"/>
              </w:rPr>
              <w:t>Chronic disability and PPS raise depression risk</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Non-polio AFP rate (surveillance sensitivity)</w:t>
            </w:r>
          </w:p>
        </w:tc>
        <w:tc>
          <w:tcPr>
            <w:tcW w:type="dxa" w:w="1655"/>
            <w:vAlign w:val="top"/>
          </w:tcPr>
          <w:p>
            <w:pPr>
              <w:spacing w:after="40" w:before="0" w:line="259" w:lineRule="auto"/>
            </w:pPr>
            <w:r>
              <w:rPr>
                <w:rFonts w:ascii="Calibri" w:hAnsi="Calibri"/>
                <w:b w:val="0"/>
                <w:i w:val="0"/>
                <w:color w:val="212121"/>
                <w:sz w:val="19"/>
              </w:rPr>
              <w:t>Children &lt;15 (surveillance)</w:t>
            </w:r>
          </w:p>
        </w:tc>
        <w:tc>
          <w:tcPr>
            <w:tcW w:type="dxa" w:w="1512"/>
            <w:vAlign w:val="top"/>
          </w:tcPr>
          <w:p>
            <w:pPr>
              <w:spacing w:after="40" w:before="0" w:line="259" w:lineRule="auto"/>
            </w:pPr>
            <w:r>
              <w:rPr>
                <w:rFonts w:ascii="Calibri" w:hAnsi="Calibri"/>
                <w:b w:val="0"/>
                <w:i w:val="0"/>
                <w:color w:val="212121"/>
                <w:sz w:val="19"/>
              </w:rPr>
              <w:t>≥ 2 per 100,000 per year</w:t>
            </w:r>
          </w:p>
        </w:tc>
        <w:tc>
          <w:tcPr>
            <w:tcW w:type="dxa" w:w="1512"/>
            <w:vAlign w:val="top"/>
          </w:tcPr>
          <w:p>
            <w:pPr>
              <w:spacing w:after="40" w:before="0" w:line="259" w:lineRule="auto"/>
            </w:pPr>
            <w:r>
              <w:rPr>
                <w:rFonts w:ascii="Calibri" w:hAnsi="Calibri"/>
                <w:b w:val="0"/>
                <w:i w:val="0"/>
                <w:color w:val="212121"/>
                <w:sz w:val="19"/>
              </w:rPr>
              <w:t>&lt; 1 per 100,000 per year</w:t>
            </w:r>
          </w:p>
        </w:tc>
        <w:tc>
          <w:tcPr>
            <w:tcW w:type="dxa" w:w="1468"/>
            <w:vAlign w:val="top"/>
          </w:tcPr>
          <w:p>
            <w:pPr>
              <w:spacing w:after="40" w:before="0" w:line="259" w:lineRule="auto"/>
            </w:pPr>
            <w:r>
              <w:rPr>
                <w:rFonts w:ascii="Calibri" w:hAnsi="Calibri"/>
                <w:b w:val="0"/>
                <w:i w:val="0"/>
                <w:color w:val="212121"/>
                <w:sz w:val="19"/>
              </w:rPr>
              <w:t>WHO indicator of AFP surveillance quality; a polio-free country must sustain it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Stool specimen adequacy in AFP cases</w:t>
            </w:r>
          </w:p>
        </w:tc>
        <w:tc>
          <w:tcPr>
            <w:tcW w:type="dxa" w:w="1655"/>
            <w:vAlign w:val="top"/>
          </w:tcPr>
          <w:p>
            <w:pPr>
              <w:spacing w:after="40" w:before="0" w:line="259" w:lineRule="auto"/>
            </w:pPr>
            <w:r>
              <w:rPr>
                <w:rFonts w:ascii="Calibri" w:hAnsi="Calibri"/>
                <w:b w:val="0"/>
                <w:i w:val="0"/>
                <w:color w:val="212121"/>
                <w:sz w:val="19"/>
              </w:rPr>
              <w:t>AFP cases</w:t>
            </w:r>
          </w:p>
        </w:tc>
        <w:tc>
          <w:tcPr>
            <w:tcW w:type="dxa" w:w="1512"/>
            <w:vAlign w:val="top"/>
          </w:tcPr>
          <w:p>
            <w:pPr>
              <w:spacing w:after="40" w:before="0" w:line="259" w:lineRule="auto"/>
            </w:pPr>
            <w:r>
              <w:rPr>
                <w:rFonts w:ascii="Calibri" w:hAnsi="Calibri"/>
                <w:b w:val="0"/>
                <w:i w:val="0"/>
                <w:color w:val="212121"/>
                <w:sz w:val="19"/>
              </w:rPr>
              <w:t>2 adequate stools 24–48 h apart within 14 days of onset</w:t>
            </w:r>
          </w:p>
        </w:tc>
        <w:tc>
          <w:tcPr>
            <w:tcW w:type="dxa" w:w="1512"/>
            <w:vAlign w:val="top"/>
          </w:tcPr>
          <w:p>
            <w:pPr>
              <w:spacing w:after="40" w:before="0" w:line="259" w:lineRule="auto"/>
            </w:pPr>
            <w:r>
              <w:rPr>
                <w:rFonts w:ascii="Calibri" w:hAnsi="Calibri"/>
                <w:b w:val="0"/>
                <w:i w:val="0"/>
                <w:color w:val="212121"/>
                <w:sz w:val="19"/>
              </w:rPr>
              <w:t>Late or insufficient specimens</w:t>
            </w:r>
          </w:p>
        </w:tc>
        <w:tc>
          <w:tcPr>
            <w:tcW w:type="dxa" w:w="1468"/>
            <w:vAlign w:val="top"/>
          </w:tcPr>
          <w:p>
            <w:pPr>
              <w:spacing w:after="60" w:line="259" w:lineRule="auto"/>
            </w:pPr>
            <w:r>
              <w:rPr>
                <w:rFonts w:ascii="Calibri" w:hAnsi="Calibri"/>
                <w:b w:val="0"/>
                <w:i w:val="0"/>
                <w:color w:val="212121"/>
                <w:sz w:val="19"/>
              </w:rPr>
              <w:t>Adequate stools maximize poliovirus isolation</w:t>
            </w:r>
          </w:p>
          <w:p>
            <w:pPr>
              <w:spacing w:after="40" w:line="252" w:lineRule="auto"/>
            </w:pPr>
            <w:hyperlink r:id="rId10">
              <w:r>
                <w:rPr>
                  <w:rFonts w:ascii="Calibri" w:hAnsi="Calibri" w:cs="Calibri"/>
                  <w:sz w:val="18"/>
                  <w:color w:val="1155CC"/>
                  <w:u w:val="single"/>
                </w:rPr>
                <w:t xml:space="preserve">https://www.cdc.gov/pinkbook/hcp/table-of-contents/chapter-18-poliomyelitis.html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Virological</w:t>
            </w:r>
          </w:p>
        </w:tc>
        <w:tc>
          <w:tcPr>
            <w:tcW w:type="dxa" w:w="1036"/>
            <w:vAlign w:val="top"/>
          </w:tcPr>
          <w:p>
            <w:pPr>
              <w:spacing w:after="40" w:before="0" w:line="259" w:lineRule="auto"/>
            </w:pPr>
            <w:r>
              <w:rPr>
                <w:rFonts w:ascii="Calibri" w:hAnsi="Calibri"/>
                <w:b w:val="0"/>
                <w:i w:val="0"/>
                <w:color w:val="212121"/>
                <w:sz w:val="16"/>
              </w:rPr>
              <w:t>Poliovirus in stool</w:t>
            </w:r>
          </w:p>
        </w:tc>
        <w:tc>
          <w:tcPr>
            <w:tcW w:type="dxa" w:w="892"/>
            <w:vAlign w:val="top"/>
          </w:tcPr>
          <w:p>
            <w:pPr>
              <w:spacing w:after="40" w:before="0" w:line="259" w:lineRule="auto"/>
            </w:pPr>
            <w:r>
              <w:rPr>
                <w:rFonts w:ascii="Calibri" w:hAnsi="Calibri"/>
                <w:b w:val="0"/>
                <w:i w:val="0"/>
                <w:color w:val="212121"/>
                <w:sz w:val="16"/>
              </w:rPr>
              <w:t>Stool viral culture</w:t>
            </w:r>
          </w:p>
        </w:tc>
        <w:tc>
          <w:tcPr>
            <w:tcW w:type="dxa" w:w="950"/>
            <w:vAlign w:val="top"/>
          </w:tcPr>
          <w:p>
            <w:pPr>
              <w:spacing w:after="40" w:before="0" w:line="259" w:lineRule="auto"/>
            </w:pPr>
            <w:r>
              <w:rPr>
                <w:rFonts w:ascii="Calibri" w:hAnsi="Calibri"/>
                <w:b w:val="0"/>
                <w:i w:val="0"/>
                <w:color w:val="212121"/>
                <w:sz w:val="16"/>
              </w:rPr>
              <w:t>No poliovirus isolated</w:t>
            </w:r>
          </w:p>
        </w:tc>
        <w:tc>
          <w:tcPr>
            <w:tcW w:type="dxa" w:w="950"/>
            <w:vAlign w:val="top"/>
          </w:tcPr>
          <w:p>
            <w:pPr>
              <w:spacing w:after="40" w:before="0" w:line="259" w:lineRule="auto"/>
            </w:pPr>
            <w:r>
              <w:rPr>
                <w:rFonts w:ascii="Calibri" w:hAnsi="Calibri"/>
                <w:b w:val="0"/>
                <w:i w:val="0"/>
                <w:color w:val="212121"/>
                <w:sz w:val="16"/>
              </w:rPr>
              <w:t>Poliovirus isolated (wild / vaccine / VDPV)</w:t>
            </w:r>
          </w:p>
        </w:tc>
        <w:tc>
          <w:tcPr>
            <w:tcW w:type="dxa" w:w="1036"/>
            <w:vAlign w:val="top"/>
          </w:tcPr>
          <w:p>
            <w:pPr>
              <w:spacing w:after="40" w:before="0" w:line="259" w:lineRule="auto"/>
            </w:pPr>
            <w:r>
              <w:rPr>
                <w:rFonts w:ascii="Calibri" w:hAnsi="Calibri"/>
                <w:b w:val="0"/>
                <w:i w:val="0"/>
                <w:color w:val="212121"/>
                <w:sz w:val="16"/>
              </w:rPr>
              <w:t>Confirms infection; the primary specimen for diagnosis</w:t>
            </w:r>
          </w:p>
        </w:tc>
        <w:tc>
          <w:tcPr>
            <w:tcW w:type="dxa" w:w="1036"/>
            <w:vAlign w:val="top"/>
          </w:tcPr>
          <w:p>
            <w:pPr>
              <w:spacing w:after="40" w:before="0" w:line="259" w:lineRule="auto"/>
            </w:pPr>
            <w:r>
              <w:rPr>
                <w:rFonts w:ascii="Calibri" w:hAnsi="Calibri"/>
                <w:b w:val="0"/>
                <w:i w:val="0"/>
                <w:color w:val="212121"/>
                <w:sz w:val="16"/>
              </w:rPr>
              <w:t>AFP cases and their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2 adequate stools 24–48 h apart within 14 days of onset give the greatest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Wild vs Sabin vs VDPV</w:t>
            </w:r>
          </w:p>
        </w:tc>
        <w:tc>
          <w:tcPr>
            <w:tcW w:type="dxa" w:w="892"/>
            <w:vAlign w:val="top"/>
          </w:tcPr>
          <w:p>
            <w:pPr>
              <w:spacing w:after="40" w:before="0" w:line="259" w:lineRule="auto"/>
            </w:pPr>
            <w:r>
              <w:rPr>
                <w:rFonts w:ascii="Calibri" w:hAnsi="Calibri"/>
                <w:b w:val="0"/>
                <w:i w:val="0"/>
                <w:color w:val="212121"/>
                <w:sz w:val="16"/>
              </w:rPr>
              <w:t>RT-PCR &amp; intratypic differentiation (ITD)</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WPV1 or VDPV detected</w:t>
            </w:r>
          </w:p>
        </w:tc>
        <w:tc>
          <w:tcPr>
            <w:tcW w:type="dxa" w:w="1036"/>
            <w:vAlign w:val="top"/>
          </w:tcPr>
          <w:p>
            <w:pPr>
              <w:spacing w:after="40" w:before="0" w:line="259" w:lineRule="auto"/>
            </w:pPr>
            <w:r>
              <w:rPr>
                <w:rFonts w:ascii="Calibri" w:hAnsi="Calibri"/>
                <w:b w:val="0"/>
                <w:i w:val="0"/>
                <w:color w:val="212121"/>
                <w:sz w:val="16"/>
              </w:rPr>
              <w:t>Classifies the strain and triggers the appropriate outbreak response</w:t>
            </w:r>
          </w:p>
        </w:tc>
        <w:tc>
          <w:tcPr>
            <w:tcW w:type="dxa" w:w="1036"/>
            <w:vAlign w:val="top"/>
          </w:tcPr>
          <w:p>
            <w:pPr>
              <w:spacing w:after="40" w:before="0" w:line="259" w:lineRule="auto"/>
            </w:pPr>
            <w:r>
              <w:rPr>
                <w:rFonts w:ascii="Calibri" w:hAnsi="Calibri"/>
                <w:b w:val="0"/>
                <w:i w:val="0"/>
                <w:color w:val="212121"/>
                <w:sz w:val="16"/>
              </w:rPr>
              <w:t>Culture-positive AFP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critical</w:t>
            </w:r>
          </w:p>
        </w:tc>
        <w:tc>
          <w:tcPr>
            <w:tcW w:type="dxa" w:w="720"/>
            <w:vAlign w:val="top"/>
          </w:tcPr>
          <w:p>
            <w:pPr>
              <w:spacing w:after="40" w:before="0" w:line="259" w:lineRule="auto"/>
            </w:pPr>
            <w:r>
              <w:rPr>
                <w:rFonts w:ascii="Calibri" w:hAnsi="Calibri"/>
                <w:b w:val="0"/>
                <w:i w:val="0"/>
                <w:color w:val="212121"/>
                <w:sz w:val="16"/>
              </w:rPr>
              <w:t>Performed at WHO-accredited laboratories; sequencing characterizes VDPV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Environmental</w:t>
            </w:r>
          </w:p>
        </w:tc>
        <w:tc>
          <w:tcPr>
            <w:tcW w:type="dxa" w:w="1036"/>
            <w:vAlign w:val="top"/>
          </w:tcPr>
          <w:p>
            <w:pPr>
              <w:spacing w:after="40" w:before="0" w:line="259" w:lineRule="auto"/>
            </w:pPr>
            <w:r>
              <w:rPr>
                <w:rFonts w:ascii="Calibri" w:hAnsi="Calibri"/>
                <w:b w:val="0"/>
                <w:i w:val="0"/>
                <w:color w:val="212121"/>
                <w:sz w:val="16"/>
              </w:rPr>
              <w:t>Poliovirus RNA in sewage</w:t>
            </w:r>
          </w:p>
        </w:tc>
        <w:tc>
          <w:tcPr>
            <w:tcW w:type="dxa" w:w="892"/>
            <w:vAlign w:val="top"/>
          </w:tcPr>
          <w:p>
            <w:pPr>
              <w:spacing w:after="40" w:before="0" w:line="259" w:lineRule="auto"/>
            </w:pPr>
            <w:r>
              <w:rPr>
                <w:rFonts w:ascii="Calibri" w:hAnsi="Calibri"/>
                <w:b w:val="0"/>
                <w:i w:val="0"/>
                <w:color w:val="212121"/>
                <w:sz w:val="16"/>
              </w:rPr>
              <w:t>Environmental (sewage) surveillance</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Poliovirus detected in sewage</w:t>
            </w:r>
          </w:p>
        </w:tc>
        <w:tc>
          <w:tcPr>
            <w:tcW w:type="dxa" w:w="1036"/>
            <w:vAlign w:val="top"/>
          </w:tcPr>
          <w:p>
            <w:pPr>
              <w:spacing w:after="40" w:before="0" w:line="259" w:lineRule="auto"/>
            </w:pPr>
            <w:r>
              <w:rPr>
                <w:rFonts w:ascii="Calibri" w:hAnsi="Calibri"/>
                <w:b w:val="0"/>
                <w:i w:val="0"/>
                <w:color w:val="212121"/>
                <w:sz w:val="16"/>
              </w:rPr>
              <w:t>Early warning of silent circulation even without clinical cases</w:t>
            </w:r>
          </w:p>
        </w:tc>
        <w:tc>
          <w:tcPr>
            <w:tcW w:type="dxa" w:w="1036"/>
            <w:vAlign w:val="top"/>
          </w:tcPr>
          <w:p>
            <w:pPr>
              <w:spacing w:after="40" w:before="0" w:line="259" w:lineRule="auto"/>
            </w:pPr>
            <w:r>
              <w:rPr>
                <w:rFonts w:ascii="Calibri" w:hAnsi="Calibri"/>
                <w:b w:val="0"/>
                <w:i w:val="0"/>
                <w:color w:val="212121"/>
                <w:sz w:val="16"/>
              </w:rPr>
              <w:t>Community surveillance sites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High (surveillance)</w:t>
            </w:r>
          </w:p>
        </w:tc>
        <w:tc>
          <w:tcPr>
            <w:tcW w:type="dxa" w:w="720"/>
            <w:vAlign w:val="top"/>
          </w:tcPr>
          <w:p>
            <w:pPr>
              <w:spacing w:after="40" w:before="0" w:line="259" w:lineRule="auto"/>
            </w:pPr>
            <w:r>
              <w:rPr>
                <w:rFonts w:ascii="Calibri" w:hAnsi="Calibri"/>
                <w:b w:val="0"/>
                <w:i w:val="0"/>
                <w:color w:val="212121"/>
                <w:sz w:val="16"/>
              </w:rPr>
              <w:t>Supplements AFP surveillance and is central to India’s polio-free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Cells, protein, glucose</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 5 cells/µL, protein 15–45 mg/dL, normal glucose</w:t>
            </w:r>
          </w:p>
        </w:tc>
        <w:tc>
          <w:tcPr>
            <w:tcW w:type="dxa" w:w="950"/>
            <w:vAlign w:val="top"/>
          </w:tcPr>
          <w:p>
            <w:pPr>
              <w:spacing w:after="40" w:before="0" w:line="259" w:lineRule="auto"/>
            </w:pPr>
            <w:r>
              <w:rPr>
                <w:rFonts w:ascii="Calibri" w:hAnsi="Calibri"/>
                <w:b w:val="0"/>
                <w:i w:val="0"/>
                <w:color w:val="212121"/>
                <w:sz w:val="16"/>
              </w:rPr>
              <w:t>Lymphocytic pleocytosis (10–200), mildly raised protein, normal glucose</w:t>
            </w:r>
          </w:p>
        </w:tc>
        <w:tc>
          <w:tcPr>
            <w:tcW w:type="dxa" w:w="1036"/>
            <w:vAlign w:val="top"/>
          </w:tcPr>
          <w:p>
            <w:pPr>
              <w:spacing w:after="40" w:before="0" w:line="259" w:lineRule="auto"/>
            </w:pPr>
            <w:r>
              <w:rPr>
                <w:rFonts w:ascii="Calibri" w:hAnsi="Calibri"/>
                <w:b w:val="0"/>
                <w:i w:val="0"/>
                <w:color w:val="212121"/>
                <w:sz w:val="16"/>
              </w:rPr>
              <w:t>Aseptic meningitis pattern; supports but does not confirm polio</w:t>
            </w:r>
          </w:p>
        </w:tc>
        <w:tc>
          <w:tcPr>
            <w:tcW w:type="dxa" w:w="1036"/>
            <w:vAlign w:val="top"/>
          </w:tcPr>
          <w:p>
            <w:pPr>
              <w:spacing w:after="40" w:before="0" w:line="259" w:lineRule="auto"/>
            </w:pPr>
            <w:r>
              <w:rPr>
                <w:rFonts w:ascii="Calibri" w:hAnsi="Calibri"/>
                <w:b w:val="0"/>
                <w:i w:val="0"/>
                <w:color w:val="212121"/>
                <w:sz w:val="16"/>
              </w:rPr>
              <w:t>Non-paralytic &amp; paralytic polio</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Must be corroborated with virology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Type-specific neutralizing antibody titre</w:t>
            </w:r>
          </w:p>
        </w:tc>
        <w:tc>
          <w:tcPr>
            <w:tcW w:type="dxa" w:w="892"/>
            <w:vAlign w:val="top"/>
          </w:tcPr>
          <w:p>
            <w:pPr>
              <w:spacing w:after="40" w:before="0" w:line="259" w:lineRule="auto"/>
            </w:pPr>
            <w:r>
              <w:rPr>
                <w:rFonts w:ascii="Calibri" w:hAnsi="Calibri"/>
                <w:b w:val="0"/>
                <w:i w:val="0"/>
                <w:color w:val="212121"/>
                <w:sz w:val="16"/>
              </w:rPr>
              <w:t>Paired acute &amp; convalescent sera</w:t>
            </w:r>
          </w:p>
        </w:tc>
        <w:tc>
          <w:tcPr>
            <w:tcW w:type="dxa" w:w="950"/>
            <w:vAlign w:val="top"/>
          </w:tcPr>
          <w:p>
            <w:pPr>
              <w:spacing w:after="40" w:before="0" w:line="259" w:lineRule="auto"/>
            </w:pPr>
            <w:r>
              <w:rPr>
                <w:rFonts w:ascii="Calibri" w:hAnsi="Calibri"/>
                <w:b w:val="0"/>
                <w:i w:val="0"/>
                <w:color w:val="212121"/>
                <w:sz w:val="16"/>
              </w:rPr>
              <w:t>Stable low titre</w:t>
            </w:r>
          </w:p>
        </w:tc>
        <w:tc>
          <w:tcPr>
            <w:tcW w:type="dxa" w:w="950"/>
            <w:vAlign w:val="top"/>
          </w:tcPr>
          <w:p>
            <w:pPr>
              <w:spacing w:after="40" w:before="0" w:line="259" w:lineRule="auto"/>
            </w:pPr>
            <w:r>
              <w:rPr>
                <w:rFonts w:ascii="Calibri" w:hAnsi="Calibri"/>
                <w:b w:val="0"/>
                <w:i w:val="0"/>
                <w:color w:val="212121"/>
                <w:sz w:val="16"/>
              </w:rPr>
              <w:t>≥ 4-fold rise between acute and convalescent sera</w:t>
            </w:r>
          </w:p>
        </w:tc>
        <w:tc>
          <w:tcPr>
            <w:tcW w:type="dxa" w:w="1036"/>
            <w:vAlign w:val="top"/>
          </w:tcPr>
          <w:p>
            <w:pPr>
              <w:spacing w:after="40" w:before="0" w:line="259" w:lineRule="auto"/>
            </w:pPr>
            <w:r>
              <w:rPr>
                <w:rFonts w:ascii="Calibri" w:hAnsi="Calibri"/>
                <w:b w:val="0"/>
                <w:i w:val="0"/>
                <w:color w:val="212121"/>
                <w:sz w:val="16"/>
              </w:rPr>
              <w:t>Supports recent infection and assesses immunity</w:t>
            </w:r>
          </w:p>
        </w:tc>
        <w:tc>
          <w:tcPr>
            <w:tcW w:type="dxa" w:w="1036"/>
            <w:vAlign w:val="top"/>
          </w:tcPr>
          <w:p>
            <w:pPr>
              <w:spacing w:after="40" w:before="0" w:line="259" w:lineRule="auto"/>
            </w:pPr>
            <w:r>
              <w:rPr>
                <w:rFonts w:ascii="Calibri" w:hAnsi="Calibri"/>
                <w:b w:val="0"/>
                <w:i w:val="0"/>
                <w:color w:val="212121"/>
                <w:sz w:val="16"/>
              </w:rPr>
              <w:t>Suspected cases; immunity surveys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Cannot alone distinguish wild from vaccine strains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Electrodiagnosis</w:t>
            </w:r>
          </w:p>
        </w:tc>
        <w:tc>
          <w:tcPr>
            <w:tcW w:type="dxa" w:w="1036"/>
            <w:vAlign w:val="top"/>
          </w:tcPr>
          <w:p>
            <w:pPr>
              <w:spacing w:after="40" w:before="0" w:line="259" w:lineRule="auto"/>
            </w:pPr>
            <w:r>
              <w:rPr>
                <w:rFonts w:ascii="Calibri" w:hAnsi="Calibri"/>
                <w:b w:val="0"/>
                <w:i w:val="0"/>
                <w:color w:val="212121"/>
                <w:sz w:val="16"/>
              </w:rPr>
              <w:t>Motor amplitudes &amp; denervation</w:t>
            </w:r>
          </w:p>
        </w:tc>
        <w:tc>
          <w:tcPr>
            <w:tcW w:type="dxa" w:w="892"/>
            <w:vAlign w:val="top"/>
          </w:tcPr>
          <w:p>
            <w:pPr>
              <w:spacing w:after="40" w:before="0" w:line="259" w:lineRule="auto"/>
            </w:pPr>
            <w:r>
              <w:rPr>
                <w:rFonts w:ascii="Calibri" w:hAnsi="Calibri"/>
                <w:b w:val="0"/>
                <w:i w:val="0"/>
                <w:color w:val="212121"/>
                <w:sz w:val="16"/>
              </w:rPr>
              <w:t>Nerve conduction study &amp; EMG</w:t>
            </w:r>
          </w:p>
        </w:tc>
        <w:tc>
          <w:tcPr>
            <w:tcW w:type="dxa" w:w="950"/>
            <w:vAlign w:val="top"/>
          </w:tcPr>
          <w:p>
            <w:pPr>
              <w:spacing w:after="40" w:before="0" w:line="259" w:lineRule="auto"/>
            </w:pPr>
            <w:r>
              <w:rPr>
                <w:rFonts w:ascii="Calibri" w:hAnsi="Calibri"/>
                <w:b w:val="0"/>
                <w:i w:val="0"/>
                <w:color w:val="212121"/>
                <w:sz w:val="16"/>
              </w:rPr>
              <w:t>Normal motor and sensory studies</w:t>
            </w:r>
          </w:p>
        </w:tc>
        <w:tc>
          <w:tcPr>
            <w:tcW w:type="dxa" w:w="950"/>
            <w:vAlign w:val="top"/>
          </w:tcPr>
          <w:p>
            <w:pPr>
              <w:spacing w:after="40" w:before="0" w:line="259" w:lineRule="auto"/>
            </w:pPr>
            <w:r>
              <w:rPr>
                <w:rFonts w:ascii="Calibri" w:hAnsi="Calibri"/>
                <w:b w:val="0"/>
                <w:i w:val="0"/>
                <w:color w:val="212121"/>
                <w:sz w:val="16"/>
              </w:rPr>
              <w:t>Reduced CMAP amplitudes with denervation and normal sensory responses</w:t>
            </w:r>
          </w:p>
        </w:tc>
        <w:tc>
          <w:tcPr>
            <w:tcW w:type="dxa" w:w="1036"/>
            <w:vAlign w:val="top"/>
          </w:tcPr>
          <w:p>
            <w:pPr>
              <w:spacing w:after="40" w:before="0" w:line="259" w:lineRule="auto"/>
            </w:pPr>
            <w:r>
              <w:rPr>
                <w:rFonts w:ascii="Calibri" w:hAnsi="Calibri"/>
                <w:b w:val="0"/>
                <w:i w:val="0"/>
                <w:color w:val="212121"/>
                <w:sz w:val="16"/>
              </w:rPr>
              <w:t>Anterior horn (motor neuron) pattern with preserved sensory nerves</w:t>
            </w:r>
          </w:p>
        </w:tc>
        <w:tc>
          <w:tcPr>
            <w:tcW w:type="dxa" w:w="1036"/>
            <w:vAlign w:val="top"/>
          </w:tcPr>
          <w:p>
            <w:pPr>
              <w:spacing w:after="40" w:before="0" w:line="259" w:lineRule="auto"/>
            </w:pPr>
            <w:r>
              <w:rPr>
                <w:rFonts w:ascii="Calibri" w:hAnsi="Calibri"/>
                <w:b w:val="0"/>
                <w:i w:val="0"/>
                <w:color w:val="212121"/>
                <w:sz w:val="16"/>
              </w:rPr>
              <w:t>Paralytic polio; post-polio syndrome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differentiate from Guillain-Barré syndrome, which is demyelinating with sensory involvement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febrile illness then flaccid weakness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Fever followed by rapid, asymmetric limb weakness</w:t>
            </w:r>
          </w:p>
        </w:tc>
        <w:tc>
          <w:tcPr>
            <w:tcW w:type="dxa" w:w="1036"/>
            <w:vAlign w:val="top"/>
          </w:tcPr>
          <w:p>
            <w:pPr>
              <w:spacing w:after="40" w:before="0" w:line="259" w:lineRule="auto"/>
            </w:pPr>
            <w:r>
              <w:rPr>
                <w:rFonts w:ascii="Calibri" w:hAnsi="Calibri"/>
                <w:b w:val="0"/>
                <w:i w:val="0"/>
                <w:color w:val="212121"/>
                <w:sz w:val="16"/>
              </w:rPr>
              <w:t>Classic biphasic AFP presentation</w:t>
            </w:r>
          </w:p>
        </w:tc>
        <w:tc>
          <w:tcPr>
            <w:tcW w:type="dxa" w:w="1036"/>
            <w:vAlign w:val="top"/>
          </w:tcPr>
          <w:p>
            <w:pPr>
              <w:spacing w:after="40" w:before="0" w:line="259" w:lineRule="auto"/>
            </w:pPr>
            <w:r>
              <w:rPr>
                <w:rFonts w:ascii="Calibri" w:hAnsi="Calibri"/>
                <w:b w:val="0"/>
                <w:i w:val="0"/>
                <w:color w:val="212121"/>
                <w:sz w:val="16"/>
              </w:rPr>
              <w:t>Children &lt;15 with AFP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Paralysis is often first noticed on waking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Immunization history</w:t>
            </w:r>
          </w:p>
        </w:tc>
        <w:tc>
          <w:tcPr>
            <w:tcW w:type="dxa" w:w="979"/>
            <w:vAlign w:val="top"/>
          </w:tcPr>
          <w:p>
            <w:pPr>
              <w:spacing w:after="40" w:before="0" w:line="259" w:lineRule="auto"/>
            </w:pPr>
            <w:r>
              <w:rPr>
                <w:rFonts w:ascii="Calibri" w:hAnsi="Calibri"/>
                <w:b w:val="0"/>
                <w:i w:val="0"/>
                <w:color w:val="212121"/>
                <w:sz w:val="16"/>
              </w:rPr>
              <w:t>OPV/IPV doses received</w:t>
            </w:r>
          </w:p>
        </w:tc>
        <w:tc>
          <w:tcPr>
            <w:tcW w:type="dxa" w:w="950"/>
            <w:vAlign w:val="top"/>
          </w:tcPr>
          <w:p>
            <w:pPr>
              <w:spacing w:after="40" w:before="0" w:line="259" w:lineRule="auto"/>
            </w:pPr>
            <w:r>
              <w:rPr>
                <w:rFonts w:ascii="Calibri" w:hAnsi="Calibri"/>
                <w:b w:val="0"/>
                <w:i w:val="0"/>
                <w:color w:val="212121"/>
                <w:sz w:val="16"/>
              </w:rPr>
              <w:t>Fully immunized for age</w:t>
            </w:r>
          </w:p>
        </w:tc>
        <w:tc>
          <w:tcPr>
            <w:tcW w:type="dxa" w:w="950"/>
            <w:vAlign w:val="top"/>
          </w:tcPr>
          <w:p>
            <w:pPr>
              <w:spacing w:after="40" w:before="0" w:line="259" w:lineRule="auto"/>
            </w:pPr>
            <w:r>
              <w:rPr>
                <w:rFonts w:ascii="Calibri" w:hAnsi="Calibri"/>
                <w:b w:val="0"/>
                <w:i w:val="0"/>
                <w:color w:val="212121"/>
                <w:sz w:val="16"/>
              </w:rPr>
              <w:t>Zero-dose or incomplete</w:t>
            </w:r>
          </w:p>
        </w:tc>
        <w:tc>
          <w:tcPr>
            <w:tcW w:type="dxa" w:w="1036"/>
            <w:vAlign w:val="top"/>
          </w:tcPr>
          <w:p>
            <w:pPr>
              <w:spacing w:after="40" w:before="0" w:line="259" w:lineRule="auto"/>
            </w:pPr>
            <w:r>
              <w:rPr>
                <w:rFonts w:ascii="Calibri" w:hAnsi="Calibri"/>
                <w:b w:val="0"/>
                <w:i w:val="0"/>
                <w:color w:val="212121"/>
                <w:sz w:val="16"/>
              </w:rPr>
              <w:t>Under-immunization raises both suspicion and susceptibility</w:t>
            </w:r>
          </w:p>
        </w:tc>
        <w:tc>
          <w:tcPr>
            <w:tcW w:type="dxa" w:w="1036"/>
            <w:vAlign w:val="top"/>
          </w:tcPr>
          <w:p>
            <w:pPr>
              <w:spacing w:after="40" w:before="0" w:line="259" w:lineRule="auto"/>
            </w:pPr>
            <w:r>
              <w:rPr>
                <w:rFonts w:ascii="Calibri" w:hAnsi="Calibri"/>
                <w:b w:val="0"/>
                <w:i w:val="0"/>
                <w:color w:val="212121"/>
                <w:sz w:val="16"/>
              </w:rPr>
              <w:t>AFP cases and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Record routine doses and supplementary (Pulse Polio) rounds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Travel &amp; contact history</w:t>
            </w:r>
          </w:p>
        </w:tc>
        <w:tc>
          <w:tcPr>
            <w:tcW w:type="dxa" w:w="979"/>
            <w:vAlign w:val="top"/>
          </w:tcPr>
          <w:p>
            <w:pPr>
              <w:spacing w:after="40" w:before="0" w:line="259" w:lineRule="auto"/>
            </w:pPr>
            <w:r>
              <w:rPr>
                <w:rFonts w:ascii="Calibri" w:hAnsi="Calibri"/>
                <w:b w:val="0"/>
                <w:i w:val="0"/>
                <w:color w:val="212121"/>
                <w:sz w:val="16"/>
              </w:rPr>
              <w:t>Travel to endemic areas / contact with a recent OPV recipient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Recent travel to Pakistan/Afghanistan or relevant contact</w:t>
            </w:r>
          </w:p>
        </w:tc>
        <w:tc>
          <w:tcPr>
            <w:tcW w:type="dxa" w:w="1036"/>
            <w:vAlign w:val="top"/>
          </w:tcPr>
          <w:p>
            <w:pPr>
              <w:spacing w:after="40" w:before="0" w:line="259" w:lineRule="auto"/>
            </w:pPr>
            <w:r>
              <w:rPr>
                <w:rFonts w:ascii="Calibri" w:hAnsi="Calibri"/>
                <w:b w:val="0"/>
                <w:i w:val="0"/>
                <w:color w:val="212121"/>
                <w:sz w:val="16"/>
              </w:rPr>
              <w:t>Assesses importation and vaccine-derived virus risk</w:t>
            </w:r>
          </w:p>
        </w:tc>
        <w:tc>
          <w:tcPr>
            <w:tcW w:type="dxa" w:w="1036"/>
            <w:vAlign w:val="top"/>
          </w:tcPr>
          <w:p>
            <w:pPr>
              <w:spacing w:after="40" w:before="0" w:line="259" w:lineRule="auto"/>
            </w:pPr>
            <w:r>
              <w:rPr>
                <w:rFonts w:ascii="Calibri" w:hAnsi="Calibri"/>
                <w:b w:val="0"/>
                <w:i w:val="0"/>
                <w:color w:val="212121"/>
                <w:sz w:val="16"/>
              </w:rPr>
              <w:t>Suspected cases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Epidemiological</w:t>
            </w:r>
          </w:p>
        </w:tc>
        <w:tc>
          <w:tcPr>
            <w:tcW w:type="dxa" w:w="720"/>
            <w:vAlign w:val="top"/>
          </w:tcPr>
          <w:p>
            <w:pPr>
              <w:spacing w:after="40" w:before="0" w:line="259" w:lineRule="auto"/>
            </w:pPr>
            <w:r>
              <w:rPr>
                <w:rFonts w:ascii="Calibri" w:hAnsi="Calibri"/>
                <w:b w:val="0"/>
                <w:i w:val="0"/>
                <w:color w:val="212121"/>
                <w:sz w:val="16"/>
              </w:rPr>
              <w:t>Critical in a polio-free setting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Motor &amp; reflex exam</w:t>
            </w:r>
          </w:p>
        </w:tc>
        <w:tc>
          <w:tcPr>
            <w:tcW w:type="dxa" w:w="979"/>
            <w:vAlign w:val="top"/>
          </w:tcPr>
          <w:p>
            <w:pPr>
              <w:spacing w:after="40" w:before="0" w:line="259" w:lineRule="auto"/>
            </w:pPr>
            <w:r>
              <w:rPr>
                <w:rFonts w:ascii="Calibri" w:hAnsi="Calibri"/>
                <w:b w:val="0"/>
                <w:i w:val="0"/>
                <w:color w:val="212121"/>
                <w:sz w:val="16"/>
              </w:rPr>
              <w:t>Tone, power, deep tendon reflexes, sensation</w:t>
            </w:r>
          </w:p>
        </w:tc>
        <w:tc>
          <w:tcPr>
            <w:tcW w:type="dxa" w:w="950"/>
            <w:vAlign w:val="top"/>
          </w:tcPr>
          <w:p>
            <w:pPr>
              <w:spacing w:after="40" w:before="0" w:line="259" w:lineRule="auto"/>
            </w:pPr>
            <w:r>
              <w:rPr>
                <w:rFonts w:ascii="Calibri" w:hAnsi="Calibri"/>
                <w:b w:val="0"/>
                <w:i w:val="0"/>
                <w:color w:val="212121"/>
                <w:sz w:val="16"/>
              </w:rPr>
              <w:t>Normal power and reflexes; intact sensation</w:t>
            </w:r>
          </w:p>
        </w:tc>
        <w:tc>
          <w:tcPr>
            <w:tcW w:type="dxa" w:w="950"/>
            <w:vAlign w:val="top"/>
          </w:tcPr>
          <w:p>
            <w:pPr>
              <w:spacing w:after="40" w:before="0" w:line="259" w:lineRule="auto"/>
            </w:pPr>
            <w:r>
              <w:rPr>
                <w:rFonts w:ascii="Calibri" w:hAnsi="Calibri"/>
                <w:b w:val="0"/>
                <w:i w:val="0"/>
                <w:color w:val="212121"/>
                <w:sz w:val="16"/>
              </w:rPr>
              <w:t>Asymmetric flaccid weakness, hypo/areflexia, intact sensation</w:t>
            </w:r>
          </w:p>
        </w:tc>
        <w:tc>
          <w:tcPr>
            <w:tcW w:type="dxa" w:w="1036"/>
            <w:vAlign w:val="top"/>
          </w:tcPr>
          <w:p>
            <w:pPr>
              <w:spacing w:after="40" w:before="0" w:line="259" w:lineRule="auto"/>
            </w:pPr>
            <w:r>
              <w:rPr>
                <w:rFonts w:ascii="Calibri" w:hAnsi="Calibri"/>
                <w:b w:val="0"/>
                <w:i w:val="0"/>
                <w:color w:val="212121"/>
                <w:sz w:val="16"/>
              </w:rPr>
              <w:t>Lower motor neuron / anterior horn lesion</w:t>
            </w:r>
          </w:p>
        </w:tc>
        <w:tc>
          <w:tcPr>
            <w:tcW w:type="dxa" w:w="1036"/>
            <w:vAlign w:val="top"/>
          </w:tcPr>
          <w:p>
            <w:pPr>
              <w:spacing w:after="40" w:before="0" w:line="259" w:lineRule="auto"/>
            </w:pPr>
            <w:r>
              <w:rPr>
                <w:rFonts w:ascii="Calibri" w:hAnsi="Calibri"/>
                <w:b w:val="0"/>
                <w:i w:val="0"/>
                <w:color w:val="212121"/>
                <w:sz w:val="16"/>
              </w:rPr>
              <w:t>Paralytic polio</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Weakness is proximal &gt; distal and legs &gt; arms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Bulbar &amp; respiratory assessment</w:t>
            </w:r>
          </w:p>
        </w:tc>
        <w:tc>
          <w:tcPr>
            <w:tcW w:type="dxa" w:w="979"/>
            <w:vAlign w:val="top"/>
          </w:tcPr>
          <w:p>
            <w:pPr>
              <w:spacing w:after="40" w:before="0" w:line="259" w:lineRule="auto"/>
            </w:pPr>
            <w:r>
              <w:rPr>
                <w:rFonts w:ascii="Calibri" w:hAnsi="Calibri"/>
                <w:b w:val="0"/>
                <w:i w:val="0"/>
                <w:color w:val="212121"/>
                <w:sz w:val="16"/>
              </w:rPr>
              <w:t>Swallowing, phonation, respiratory effort</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Dysphagia, nasal speech, weak cough, respiratory failure</w:t>
            </w:r>
          </w:p>
        </w:tc>
        <w:tc>
          <w:tcPr>
            <w:tcW w:type="dxa" w:w="1036"/>
            <w:vAlign w:val="top"/>
          </w:tcPr>
          <w:p>
            <w:pPr>
              <w:spacing w:after="40" w:before="0" w:line="259" w:lineRule="auto"/>
            </w:pPr>
            <w:r>
              <w:rPr>
                <w:rFonts w:ascii="Calibri" w:hAnsi="Calibri"/>
                <w:b w:val="0"/>
                <w:i w:val="0"/>
                <w:color w:val="212121"/>
                <w:sz w:val="16"/>
              </w:rPr>
              <w:t>Bulbar or bulbospinal involvement — life-threatening</w:t>
            </w:r>
          </w:p>
        </w:tc>
        <w:tc>
          <w:tcPr>
            <w:tcW w:type="dxa" w:w="1036"/>
            <w:vAlign w:val="top"/>
          </w:tcPr>
          <w:p>
            <w:pPr>
              <w:spacing w:after="40" w:before="0" w:line="259" w:lineRule="auto"/>
            </w:pPr>
            <w:r>
              <w:rPr>
                <w:rFonts w:ascii="Calibri" w:hAnsi="Calibri"/>
                <w:b w:val="0"/>
                <w:i w:val="0"/>
                <w:color w:val="212121"/>
                <w:sz w:val="16"/>
              </w:rPr>
              <w:t>Bulbar polio</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May require ventilatory support and airway protection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60-day residual paralysis follow-up</w:t>
            </w:r>
          </w:p>
        </w:tc>
        <w:tc>
          <w:tcPr>
            <w:tcW w:type="dxa" w:w="979"/>
            <w:vAlign w:val="top"/>
          </w:tcPr>
          <w:p>
            <w:pPr>
              <w:spacing w:after="40" w:before="0" w:line="259" w:lineRule="auto"/>
            </w:pPr>
            <w:r>
              <w:rPr>
                <w:rFonts w:ascii="Calibri" w:hAnsi="Calibri"/>
                <w:b w:val="0"/>
                <w:i w:val="0"/>
                <w:color w:val="212121"/>
                <w:sz w:val="16"/>
              </w:rPr>
              <w:t>Persisting weakness at 60 days</w:t>
            </w:r>
          </w:p>
        </w:tc>
        <w:tc>
          <w:tcPr>
            <w:tcW w:type="dxa" w:w="950"/>
            <w:vAlign w:val="top"/>
          </w:tcPr>
          <w:p>
            <w:pPr>
              <w:spacing w:after="40" w:before="0" w:line="259" w:lineRule="auto"/>
            </w:pPr>
            <w:r>
              <w:rPr>
                <w:rFonts w:ascii="Calibri" w:hAnsi="Calibri"/>
                <w:b w:val="0"/>
                <w:i w:val="0"/>
                <w:color w:val="212121"/>
                <w:sz w:val="16"/>
              </w:rPr>
              <w:t>Full recovery</w:t>
            </w:r>
          </w:p>
        </w:tc>
        <w:tc>
          <w:tcPr>
            <w:tcW w:type="dxa" w:w="950"/>
            <w:vAlign w:val="top"/>
          </w:tcPr>
          <w:p>
            <w:pPr>
              <w:spacing w:after="40" w:before="0" w:line="259" w:lineRule="auto"/>
            </w:pPr>
            <w:r>
              <w:rPr>
                <w:rFonts w:ascii="Calibri" w:hAnsi="Calibri"/>
                <w:b w:val="0"/>
                <w:i w:val="0"/>
                <w:color w:val="212121"/>
                <w:sz w:val="16"/>
              </w:rPr>
              <w:t>Residual flaccid paralysis</w:t>
            </w:r>
          </w:p>
        </w:tc>
        <w:tc>
          <w:tcPr>
            <w:tcW w:type="dxa" w:w="1036"/>
            <w:vAlign w:val="top"/>
          </w:tcPr>
          <w:p>
            <w:pPr>
              <w:spacing w:after="40" w:before="0" w:line="259" w:lineRule="auto"/>
            </w:pPr>
            <w:r>
              <w:rPr>
                <w:rFonts w:ascii="Calibri" w:hAnsi="Calibri"/>
                <w:b w:val="0"/>
                <w:i w:val="0"/>
                <w:color w:val="212121"/>
                <w:sz w:val="16"/>
              </w:rPr>
              <w:t>Confirms paralytic polio; residual weakness is usually permanent</w:t>
            </w:r>
          </w:p>
        </w:tc>
        <w:tc>
          <w:tcPr>
            <w:tcW w:type="dxa" w:w="1036"/>
            <w:vAlign w:val="top"/>
          </w:tcPr>
          <w:p>
            <w:pPr>
              <w:spacing w:after="40" w:before="0" w:line="259" w:lineRule="auto"/>
            </w:pPr>
            <w:r>
              <w:rPr>
                <w:rFonts w:ascii="Calibri" w:hAnsi="Calibri"/>
                <w:b w:val="0"/>
                <w:i w:val="0"/>
                <w:color w:val="212121"/>
                <w:sz w:val="16"/>
              </w:rPr>
              <w:t>AFP cases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About two-thirds of paralytic cases have permanent residual weakness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Low-to-moderate fever in the minor (abortive) illness and again at the onset of paralysis (biphasic pattern).</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viral replication in the pharynx and gut during the minor illness.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the abortive and non-paralytic (meningitic) forms.</w:t>
            </w:r>
          </w:p>
        </w:tc>
      </w:tr>
      <w:tr>
        <w:trPr>
          <w:cantSplit/>
        </w:trPr>
        <w:tc>
          <w:tcPr>
            <w:tcW w:type="dxa" w:w="2304"/>
            <w:vAlign w:val="top"/>
          </w:tcPr>
          <w:p>
            <w:pPr>
              <w:spacing w:after="40" w:before="0" w:line="259" w:lineRule="auto"/>
            </w:pPr>
            <w:r>
              <w:rPr>
                <w:rFonts w:ascii="Calibri" w:hAnsi="Calibri"/>
                <w:b/>
                <w:i w:val="0"/>
                <w:color w:val="212121"/>
                <w:sz w:val="19"/>
              </w:rPr>
              <w:t>Nausea, vomiting &amp; abdominal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Gastrointestinal symptoms during the minor illness stage.</w:t>
            </w:r>
          </w:p>
        </w:tc>
      </w:tr>
      <w:tr>
        <w:trPr>
          <w:cantSplit/>
        </w:trPr>
        <w:tc>
          <w:tcPr>
            <w:tcW w:type="dxa" w:w="2304"/>
            <w:vAlign w:val="top"/>
          </w:tcPr>
          <w:p>
            <w:pPr>
              <w:spacing w:after="40" w:before="0" w:line="259" w:lineRule="auto"/>
            </w:pPr>
            <w:r>
              <w:rPr>
                <w:rFonts w:ascii="Calibri" w:hAnsi="Calibri"/>
                <w:b/>
                <w:i w:val="0"/>
                <w:color w:val="212121"/>
                <w:sz w:val="19"/>
              </w:rPr>
              <w:t>Malaise &amp;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viral prodrome common to all symptomatic forms.</w:t>
            </w:r>
          </w:p>
        </w:tc>
      </w:tr>
      <w:tr>
        <w:trPr>
          <w:cantSplit/>
        </w:trPr>
        <w:tc>
          <w:tcPr>
            <w:tcW w:type="dxa" w:w="2304"/>
            <w:vAlign w:val="top"/>
          </w:tcPr>
          <w:p>
            <w:pPr>
              <w:spacing w:after="40" w:before="0" w:line="259" w:lineRule="auto"/>
            </w:pPr>
            <w:r>
              <w:rPr>
                <w:rFonts w:ascii="Calibri" w:hAnsi="Calibri"/>
                <w:b/>
                <w:i w:val="0"/>
                <w:color w:val="212121"/>
                <w:sz w:val="19"/>
              </w:rPr>
              <w:t>Muscle pain &amp; spasms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Severe muscle pain and spasm often precede or accompany the onset of paralysis.</w:t>
            </w:r>
          </w:p>
        </w:tc>
      </w:tr>
      <w:tr>
        <w:trPr>
          <w:cantSplit/>
        </w:trPr>
        <w:tc>
          <w:tcPr>
            <w:tcW w:type="dxa" w:w="2304"/>
            <w:vAlign w:val="top"/>
          </w:tcPr>
          <w:p>
            <w:pPr>
              <w:spacing w:after="40" w:before="0" w:line="259" w:lineRule="auto"/>
            </w:pPr>
            <w:r>
              <w:rPr>
                <w:rFonts w:ascii="Calibri" w:hAnsi="Calibri"/>
                <w:b/>
                <w:i w:val="0"/>
                <w:color w:val="212121"/>
                <w:sz w:val="19"/>
              </w:rPr>
              <w:t>Neck &amp; back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Meningeal irritation in non-paralytic poliomyelitis (aseptic meningitis).</w:t>
            </w:r>
          </w:p>
        </w:tc>
      </w:tr>
      <w:tr>
        <w:trPr>
          <w:cantSplit/>
        </w:trPr>
        <w:tc>
          <w:tcPr>
            <w:tcW w:type="dxa" w:w="2304"/>
            <w:vAlign w:val="top"/>
          </w:tcPr>
          <w:p>
            <w:pPr>
              <w:spacing w:after="40" w:before="0" w:line="259" w:lineRule="auto"/>
            </w:pPr>
            <w:r>
              <w:rPr>
                <w:rFonts w:ascii="Calibri" w:hAnsi="Calibri"/>
                <w:b/>
                <w:i w:val="0"/>
                <w:color w:val="212121"/>
                <w:sz w:val="19"/>
              </w:rPr>
              <w:t>Asymmetric limb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Rapidly progressive flaccid weakness, legs more than arms; occurs in less than 1% of infections.</w:t>
            </w:r>
          </w:p>
        </w:tc>
      </w:tr>
      <w:tr>
        <w:trPr>
          <w:cantSplit/>
        </w:trPr>
        <w:tc>
          <w:tcPr>
            <w:tcW w:type="dxa" w:w="2304"/>
            <w:vAlign w:val="top"/>
          </w:tcPr>
          <w:p>
            <w:pPr>
              <w:spacing w:after="40" w:before="0" w:line="259" w:lineRule="auto"/>
            </w:pPr>
            <w:r>
              <w:rPr>
                <w:rFonts w:ascii="Calibri" w:hAnsi="Calibri"/>
                <w:b/>
                <w:i w:val="0"/>
                <w:color w:val="212121"/>
                <w:sz w:val="19"/>
              </w:rPr>
              <w:t>Urinary retention &amp; 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Transient bladder and bowel involvement during the acute paralytic phase.</w:t>
            </w:r>
          </w:p>
        </w:tc>
      </w:tr>
      <w:tr>
        <w:trPr>
          <w:cantSplit/>
        </w:trPr>
        <w:tc>
          <w:tcPr>
            <w:tcW w:type="dxa" w:w="2304"/>
            <w:vAlign w:val="top"/>
          </w:tcPr>
          <w:p>
            <w:pPr>
              <w:spacing w:after="40" w:before="0" w:line="259" w:lineRule="auto"/>
            </w:pPr>
            <w:r>
              <w:rPr>
                <w:rFonts w:ascii="Calibri" w:hAnsi="Calibri"/>
                <w:b/>
                <w:i w:val="0"/>
                <w:color w:val="212121"/>
                <w:sz w:val="19"/>
              </w:rPr>
              <w:t>New weakness, fatigue &amp; pain years later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Post-polio syndrome, arising 15–40 years after the acute paralytic illness in survivors.</w:t>
            </w:r>
          </w:p>
        </w:tc>
      </w:tr>
      <w:tr>
        <w:trPr>
          <w:cantSplit/>
        </w:trPr>
        <w:tc>
          <w:tcPr>
            <w:tcW w:type="dxa" w:w="2304"/>
            <w:vAlign w:val="top"/>
          </w:tcPr>
          <w:p>
            <w:pPr>
              <w:spacing w:after="40" w:before="0" w:line="259" w:lineRule="auto"/>
            </w:pPr>
            <w:r>
              <w:rPr>
                <w:rFonts w:ascii="Calibri" w:hAnsi="Calibri"/>
                <w:b/>
                <w:i w:val="0"/>
                <w:color w:val="212121"/>
                <w:sz w:val="19"/>
              </w:rPr>
              <w:t>Difficulty swallowing / nasal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Bulbar involvement of cranial nerves; risk of aspiration.</w:t>
            </w:r>
          </w:p>
        </w:tc>
      </w:tr>
      <w:tr>
        <w:trPr>
          <w:cantSplit/>
        </w:trPr>
        <w:tc>
          <w:tcPr>
            <w:tcW w:type="dxa" w:w="2304"/>
            <w:vAlign w:val="top"/>
          </w:tcPr>
          <w:p>
            <w:pPr>
              <w:spacing w:after="40" w:before="0" w:line="259" w:lineRule="auto"/>
            </w:pPr>
            <w:r>
              <w:rPr>
                <w:rFonts w:ascii="Calibri" w:hAnsi="Calibri"/>
                <w:b/>
                <w:i w:val="0"/>
                <w:color w:val="212121"/>
                <w:sz w:val="19"/>
              </w:rPr>
              <w:t>Breathing difficulty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Respiratory-muscle or bulbar involvement; may require mechanical ventilation.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Asymmetric flaccid paralysis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of paralytic polio — patchy, asymmetric weakness, proximal muscles and legs more than arms.</w:t>
            </w:r>
          </w:p>
        </w:tc>
      </w:tr>
      <w:tr>
        <w:trPr>
          <w:cantSplit/>
        </w:trPr>
        <w:tc>
          <w:tcPr>
            <w:tcW w:type="dxa" w:w="3456"/>
            <w:vAlign w:val="top"/>
          </w:tcPr>
          <w:p>
            <w:pPr>
              <w:spacing w:after="40" w:before="0" w:line="259" w:lineRule="auto"/>
            </w:pPr>
            <w:r>
              <w:rPr>
                <w:rFonts w:ascii="Calibri" w:hAnsi="Calibri"/>
                <w:b/>
                <w:i w:val="0"/>
                <w:color w:val="212121"/>
                <w:sz w:val="19"/>
              </w:rPr>
              <w:t>Diminished or absent deep tendon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Hyporeflexia/areflexia in affected limbs, indicating a lower motor neuron lesion.</w:t>
            </w:r>
          </w:p>
        </w:tc>
      </w:tr>
      <w:tr>
        <w:trPr>
          <w:cantSplit/>
        </w:trPr>
        <w:tc>
          <w:tcPr>
            <w:tcW w:type="dxa" w:w="3456"/>
            <w:vAlign w:val="top"/>
          </w:tcPr>
          <w:p>
            <w:pPr>
              <w:spacing w:after="40" w:before="0" w:line="259" w:lineRule="auto"/>
            </w:pPr>
            <w:r>
              <w:rPr>
                <w:rFonts w:ascii="Calibri" w:hAnsi="Calibri"/>
                <w:b/>
                <w:i w:val="0"/>
                <w:color w:val="212121"/>
                <w:sz w:val="19"/>
              </w:rPr>
              <w:t>Intact sensation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Sensory examination is normal despite motor loss — a key point distinguishing polio from Guillain-Barré syndrome.</w:t>
            </w:r>
          </w:p>
        </w:tc>
      </w:tr>
      <w:tr>
        <w:trPr>
          <w:cantSplit/>
        </w:trPr>
        <w:tc>
          <w:tcPr>
            <w:tcW w:type="dxa" w:w="3456"/>
            <w:vAlign w:val="top"/>
          </w:tcPr>
          <w:p>
            <w:pPr>
              <w:spacing w:after="40" w:before="0" w:line="259" w:lineRule="auto"/>
            </w:pPr>
            <w:r>
              <w:rPr>
                <w:rFonts w:ascii="Calibri" w:hAnsi="Calibri"/>
                <w:b/>
                <w:i w:val="0"/>
                <w:color w:val="212121"/>
                <w:sz w:val="19"/>
              </w:rPr>
              <w:t>Preserved consciousness &amp; cognition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Patients remain alert despite profound paralysis in the spinal form.</w:t>
            </w:r>
          </w:p>
        </w:tc>
      </w:tr>
      <w:tr>
        <w:trPr>
          <w:cantSplit/>
        </w:trPr>
        <w:tc>
          <w:tcPr>
            <w:tcW w:type="dxa" w:w="3456"/>
            <w:vAlign w:val="top"/>
          </w:tcPr>
          <w:p>
            <w:pPr>
              <w:spacing w:after="40" w:before="0" w:line="259" w:lineRule="auto"/>
            </w:pPr>
            <w:r>
              <w:rPr>
                <w:rFonts w:ascii="Calibri" w:hAnsi="Calibri"/>
                <w:b/>
                <w:i w:val="0"/>
                <w:color w:val="212121"/>
                <w:sz w:val="19"/>
              </w:rPr>
              <w:t>Muscle tenderness &amp; fasciculations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Painful, tender muscles with occasional fasciculations early in the illness.</w:t>
            </w:r>
          </w:p>
        </w:tc>
      </w:tr>
      <w:tr>
        <w:trPr>
          <w:cantSplit/>
        </w:trPr>
        <w:tc>
          <w:tcPr>
            <w:tcW w:type="dxa" w:w="3456"/>
            <w:vAlign w:val="top"/>
          </w:tcPr>
          <w:p>
            <w:pPr>
              <w:spacing w:after="40" w:before="0" w:line="259" w:lineRule="auto"/>
            </w:pPr>
            <w:r>
              <w:rPr>
                <w:rFonts w:ascii="Calibri" w:hAnsi="Calibri"/>
                <w:b/>
                <w:i w:val="0"/>
                <w:color w:val="212121"/>
                <w:sz w:val="19"/>
              </w:rPr>
              <w:t>Nuchal rigidity / meningismus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aseptic meningitis in the non-paralytic form.</w:t>
            </w:r>
          </w:p>
        </w:tc>
      </w:tr>
      <w:tr>
        <w:trPr>
          <w:cantSplit/>
        </w:trPr>
        <w:tc>
          <w:tcPr>
            <w:tcW w:type="dxa" w:w="3456"/>
            <w:vAlign w:val="top"/>
          </w:tcPr>
          <w:p>
            <w:pPr>
              <w:spacing w:after="40" w:before="0" w:line="259" w:lineRule="auto"/>
            </w:pPr>
            <w:r>
              <w:rPr>
                <w:rFonts w:ascii="Calibri" w:hAnsi="Calibri"/>
                <w:b/>
                <w:i w:val="0"/>
                <w:color w:val="212121"/>
                <w:sz w:val="19"/>
              </w:rPr>
              <w:t>Muscle atrophy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Wasting of affected limbs develops over weeks to months after paralysis.</w:t>
            </w:r>
          </w:p>
        </w:tc>
      </w:tr>
      <w:tr>
        <w:trPr>
          <w:cantSplit/>
        </w:trPr>
        <w:tc>
          <w:tcPr>
            <w:tcW w:type="dxa" w:w="3456"/>
            <w:vAlign w:val="top"/>
          </w:tcPr>
          <w:p>
            <w:pPr>
              <w:spacing w:after="40" w:before="0" w:line="259" w:lineRule="auto"/>
            </w:pPr>
            <w:r>
              <w:rPr>
                <w:rFonts w:ascii="Calibri" w:hAnsi="Calibri"/>
                <w:b/>
                <w:i w:val="0"/>
                <w:color w:val="212121"/>
                <w:sz w:val="19"/>
              </w:rPr>
              <w:t>Limb deformities &amp; contractures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Flail limb, equinus deformity, scoliosis and limb-length discrepancy in long-term survivors.</w:t>
            </w:r>
          </w:p>
        </w:tc>
      </w:tr>
      <w:tr>
        <w:trPr>
          <w:cantSplit/>
        </w:trPr>
        <w:tc>
          <w:tcPr>
            <w:tcW w:type="dxa" w:w="3456"/>
            <w:vAlign w:val="top"/>
          </w:tcPr>
          <w:p>
            <w:pPr>
              <w:spacing w:after="40" w:before="0" w:line="259" w:lineRule="auto"/>
            </w:pPr>
            <w:r>
              <w:rPr>
                <w:rFonts w:ascii="Calibri" w:hAnsi="Calibri"/>
                <w:b/>
                <w:i w:val="0"/>
                <w:color w:val="212121"/>
                <w:sz w:val="19"/>
              </w:rPr>
              <w:t>Bulbar signs (palatal weakness, pooled secretions, weak cough)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Cranial nerve involvement with high aspiration and airway risk.</w:t>
            </w:r>
          </w:p>
        </w:tc>
      </w:tr>
      <w:tr>
        <w:trPr>
          <w:cantSplit/>
        </w:trPr>
        <w:tc>
          <w:tcPr>
            <w:tcW w:type="dxa" w:w="3456"/>
            <w:vAlign w:val="top"/>
          </w:tcPr>
          <w:p>
            <w:pPr>
              <w:spacing w:after="40" w:before="0" w:line="259" w:lineRule="auto"/>
            </w:pPr>
            <w:r>
              <w:rPr>
                <w:rFonts w:ascii="Calibri" w:hAnsi="Calibri"/>
                <w:b/>
                <w:i w:val="0"/>
                <w:color w:val="212121"/>
                <w:sz w:val="19"/>
              </w:rPr>
              <w:t>Respiratory insufficiency / paradoxical breathing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Diaphragmatic, intercostal or bulbar failure requiring ventilatory support.</w:t>
            </w:r>
          </w:p>
        </w:tc>
      </w:tr>
      <w:tr>
        <w:trPr>
          <w:cantSplit/>
        </w:trPr>
        <w:tc>
          <w:tcPr>
            <w:tcW w:type="dxa" w:w="3456"/>
            <w:vAlign w:val="top"/>
          </w:tcPr>
          <w:p>
            <w:pPr>
              <w:spacing w:after="40" w:before="0" w:line="259" w:lineRule="auto"/>
            </w:pPr>
            <w:r>
              <w:rPr>
                <w:rFonts w:ascii="Calibri" w:hAnsi="Calibri"/>
                <w:b/>
                <w:i w:val="0"/>
                <w:color w:val="212121"/>
                <w:sz w:val="19"/>
              </w:rPr>
              <w:t>Autonomic instability (labile blood pressure, sweating, tachycardia)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in severe or bulbar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spinal flaccid paralysis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paralysis with dysphagia and airway compromise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from diaphragm/intercostal or bulbar muscle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Aseptic meningitis</w:t>
            </w:r>
          </w:p>
        </w:tc>
        <w:tc>
          <w:tcPr>
            <w:tcW w:type="dxa" w:w="2980"/>
            <w:vAlign w:val="top"/>
          </w:tcPr>
          <w:p>
            <w:pPr>
              <w:spacing w:after="40" w:before="0" w:line="259" w:lineRule="auto"/>
            </w:pPr>
            <w:r>
              <w:rPr>
                <w:rFonts w:ascii="Calibri" w:hAnsi="Calibri"/>
                <w:b w:val="0"/>
                <w:i w:val="0"/>
                <w:color w:val="212121"/>
                <w:sz w:val="19"/>
              </w:rPr>
              <w:t>Direct effects of poliovirus destruction of anterior horn and brainstem motor neurons during the acute illness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retention and urinary tract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vein thrombosis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sores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instability /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and electrolyte disturbance</w:t>
            </w:r>
          </w:p>
        </w:tc>
        <w:tc>
          <w:tcPr>
            <w:tcW w:type="dxa" w:w="2980"/>
            <w:vAlign w:val="top"/>
          </w:tcPr>
          <w:p>
            <w:pPr>
              <w:spacing w:after="40" w:before="0" w:line="259" w:lineRule="auto"/>
            </w:pPr>
            <w:r>
              <w:rPr>
                <w:rFonts w:ascii="Calibri" w:hAnsi="Calibri"/>
                <w:b w:val="0"/>
                <w:i w:val="0"/>
                <w:color w:val="212121"/>
                <w:sz w:val="19"/>
              </w:rPr>
              <w:t>Consequences of paralysis, immobilization and intensive care during the acute and convalescent phases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residual flaccid paralysis (about two-thirds of paralytic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 deformities, contractures, scoliosis and limb-length discrepancy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Disuse osteoporosis and fragility fractures of paralyzed limbs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(new weakness, fatigue and pain 15–40 years later)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insufficiency and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disability, reduced mobility and social participation</w:t>
            </w:r>
          </w:p>
        </w:tc>
        <w:tc>
          <w:tcPr>
            <w:tcW w:type="dxa" w:w="2980"/>
            <w:vAlign w:val="top"/>
          </w:tcPr>
          <w:p>
            <w:pPr>
              <w:spacing w:after="40" w:before="0" w:line="259" w:lineRule="auto"/>
            </w:pPr>
            <w:r>
              <w:rPr>
                <w:rFonts w:ascii="Calibri" w:hAnsi="Calibri"/>
                <w:b w:val="0"/>
                <w:i w:val="0"/>
                <w:color w:val="212121"/>
                <w:sz w:val="19"/>
              </w:rPr>
              <w:t>Irreversible, disabling long-term outcomes in survivors — the dominant residual burden in polio-free India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Post-polio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New progressive weakness, fatigue and pain developing 15–40 years after acute paralytic polio as overworked surviving motor units degenerate.</w:t>
            </w:r>
          </w:p>
          <w:p>
            <w:pPr>
              <w:spacing w:after="40" w:before="0" w:line="259" w:lineRule="auto"/>
            </w:pPr>
            <w:r>
              <w:rPr>
                <w:rFonts w:ascii="Calibri" w:hAnsi="Calibri"/>
                <w:b/>
                <w:i w:val="0"/>
                <w:color w:val="212121"/>
                <w:sz w:val="19"/>
              </w:rPr>
              <w:t>25–40% of survivors</w:t>
            </w:r>
          </w:p>
        </w:tc>
      </w:tr>
      <w:tr>
        <w:trPr>
          <w:cantSplit/>
        </w:trPr>
        <w:tc>
          <w:tcPr>
            <w:tcW w:type="dxa" w:w="2232"/>
            <w:vAlign w:val="top"/>
          </w:tcPr>
          <w:p>
            <w:pPr>
              <w:spacing w:after="40" w:before="0" w:line="259" w:lineRule="auto"/>
            </w:pPr>
            <w:r>
              <w:rPr>
                <w:rFonts w:ascii="Calibri" w:hAnsi="Calibri"/>
                <w:b/>
                <w:i w:val="0"/>
                <w:color w:val="212121"/>
                <w:sz w:val="19"/>
              </w:rPr>
              <w:t>Respiratory failure / ventilator dependence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Bulbar or high spinal paralysis impairs breathing and swallowing and is historically the leading cause of death.</w:t>
            </w:r>
          </w:p>
          <w:p>
            <w:pPr>
              <w:spacing w:after="40" w:before="0" w:line="259" w:lineRule="auto"/>
            </w:pPr>
            <w:r>
              <w:rPr>
                <w:rFonts w:ascii="Calibri" w:hAnsi="Calibri"/>
                <w:b/>
                <w:i w:val="0"/>
                <w:color w:val="212121"/>
                <w:sz w:val="19"/>
              </w:rPr>
              <w:t>~5–10% die when breathing muscles are paralyzed</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Bulbar weakness and dysphagia allow food and secretions to enter the airway, causing pneumonia.</w:t>
            </w:r>
          </w:p>
        </w:tc>
      </w:tr>
      <w:tr>
        <w:trPr>
          <w:cantSplit/>
        </w:trPr>
        <w:tc>
          <w:tcPr>
            <w:tcW w:type="dxa" w:w="2232"/>
            <w:vAlign w:val="top"/>
          </w:tcPr>
          <w:p>
            <w:pPr>
              <w:spacing w:after="40" w:before="0" w:line="259" w:lineRule="auto"/>
            </w:pPr>
            <w:r>
              <w:rPr>
                <w:rFonts w:ascii="Calibri" w:hAnsi="Calibri"/>
                <w:b/>
                <w:i w:val="0"/>
                <w:color w:val="212121"/>
                <w:sz w:val="19"/>
              </w:rPr>
              <w:t>Scoliosis &amp; orthopedic deformities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Asymmetric muscle paralysis in growing children produces scoliosis, contractures, flail joints and limb-length discrepancy.</w:t>
            </w:r>
          </w:p>
        </w:tc>
      </w:tr>
      <w:tr>
        <w:trPr>
          <w:cantSplit/>
        </w:trPr>
        <w:tc>
          <w:tcPr>
            <w:tcW w:type="dxa" w:w="2232"/>
            <w:vAlign w:val="top"/>
          </w:tcPr>
          <w:p>
            <w:pPr>
              <w:spacing w:after="40" w:before="0" w:line="259" w:lineRule="auto"/>
            </w:pPr>
            <w:r>
              <w:rPr>
                <w:rFonts w:ascii="Calibri" w:hAnsi="Calibri"/>
                <w:b/>
                <w:i w:val="0"/>
                <w:color w:val="212121"/>
                <w:sz w:val="19"/>
              </w:rPr>
              <w:t>Disuse osteoporosis &amp; fragility fractures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disuse of paralyzed limbs reduces bone density and raises fracture risk.</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disability, mobility loss, stigma and post-polio syndrome carry a high psychological burden that affects rehabilitation.</w:t>
            </w:r>
          </w:p>
        </w:tc>
      </w:tr>
      <w:tr>
        <w:trPr>
          <w:cantSplit/>
        </w:trPr>
        <w:tc>
          <w:tcPr>
            <w:tcW w:type="dxa" w:w="2232"/>
            <w:vAlign w:val="top"/>
          </w:tcPr>
          <w:p>
            <w:pPr>
              <w:spacing w:after="40" w:before="0" w:line="259" w:lineRule="auto"/>
            </w:pPr>
            <w:r>
              <w:rPr>
                <w:rFonts w:ascii="Calibri" w:hAnsi="Calibri"/>
                <w:b/>
                <w:i w:val="0"/>
                <w:color w:val="212121"/>
                <w:sz w:val="19"/>
              </w:rPr>
              <w:t>Sleep-disordered breathing / hypoventilation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Bulbar and respiratory-muscle weakness, and later post-polio syndrome, predispose to nocturnal hypoventilation and sleep apnea.</w:t>
            </w:r>
          </w:p>
        </w:tc>
      </w:tr>
      <w:tr>
        <w:trPr>
          <w:cantSplit/>
        </w:trPr>
        <w:tc>
          <w:tcPr>
            <w:tcW w:type="dxa" w:w="2232"/>
            <w:vAlign w:val="top"/>
          </w:tcPr>
          <w:p>
            <w:pPr>
              <w:spacing w:after="40" w:before="0" w:line="259" w:lineRule="auto"/>
            </w:pPr>
            <w:r>
              <w:rPr>
                <w:rFonts w:ascii="Calibri" w:hAnsi="Calibri"/>
                <w:b/>
                <w:i w:val="0"/>
                <w:color w:val="212121"/>
                <w:sz w:val="19"/>
              </w:rPr>
              <w:t>Primary immunodeficiency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Inherited humoral immunodeficiency allows prolonged poliovirus excretion (iVDPV) and paralytic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every child completes the full polio schedule under the Universal Immunization Programme — birth-dose OPV, the primary bivalent OPV series, and inactivated polio vaccine (IPV) — plus all Pulse Polio and supplementary immunization rounds.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find and vaccinate zero-dose, migrant and mobile children to keep coverage high and prevent circulating vaccine-derived poliovirus.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disposal of faeces, use of toilets, handwashing with soap, and safe drinking water to interrupt faecal-oral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acute flaccid paralysis (sudden limb weakness, often with fever) as a reportable emergency, and notify every case to AFP surveillance for investigation.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Vaccinate travellers to and from polio-endemic countries (Afghanistan, Pakistan) as advised and carry documentation.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intramuscular injections and defer elective tonsillectomy in children during any outbreak or suspected incubation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children under 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Zero-dose / under-immunized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and mobile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to/from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in low-sanitation areas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the acute phase, rest the affected muscles and avoid strenuous exertion, which can worsen paralysis.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gentle passive range-of-motion exercises early, once the acute febrile phase settles, to prevent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graded physiotherapy programme, strengthening unaffected and partially affected muscles as recovery allows.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orthoses, calipers, mobility aids and, where indicated, reconstructive orthopedic surgery to maximize independent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post-polio syndrome, use paced, non-fatiguing activity with energy conservation and avoid overuse of weakened muscles.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Paralytic polio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residual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for the first 6 months for passive immunity and gut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nutrition and vitamin A supplementation to support immunity and vaccine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only safe, clean water and freshly cooked food, and avoid faecally contaminated water and street food in outbreak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balanced nutrition through acute illness and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in low-sanitation areas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bulbar involvement or post-polio dysphagia, use texture-modified diets and safe swallowing techniques to prevent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adequate calories and protein to counter disuse muscle loss, with dietitian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nasogastric or enteral feeding during severe acute bulbar paralysis.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polio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with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survivors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acute illness and convalescence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post-polio and bulbar survivors for sleep-disordered breathing and nocturnal hypoventilation, and use non-invasive ventilation (BiPAP)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sleep hygiene as part of fatigue management in post-polio syndrome.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polio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with respiratory-muscle weakness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adult survivors and caregivers not to smoke, as smoking further reduces respiratory reserve already compromised by chest-muscle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children and those with respiratory involvement from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to survivors with any respiratory compromise.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polio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respiratory-muscle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adult survivors to limit alcohol, which worsens deconditioning and falls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Warn about interactions between alcohol and pain, muscle-relaxant and rehabilitation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polio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survivors and post-polio patients for depression and anxiety and provide counselling and psychological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peer-support groups and disability-inclusive rehabilitation to preserve independence and social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caregiver support and actively address the stigma associated with disability.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Polio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Post-polio 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poliomyelitis" TargetMode="External"/><Relationship Id="rId10" Type="http://schemas.openxmlformats.org/officeDocument/2006/relationships/hyperlink" Target="https://www.cdc.gov/pinkbook/hcp/table-of-contents/chapter-18-poliomyelitis.html" TargetMode="External"/><Relationship Id="rId11" Type="http://schemas.openxmlformats.org/officeDocument/2006/relationships/hyperlink" Target="https://polioeradication.org/history-of-polio/" TargetMode="External"/><Relationship Id="rId12" Type="http://schemas.openxmlformats.org/officeDocument/2006/relationships/hyperlink" Target="https://polioeradication.org/circulating-vaccine-derived-poliovirus/" TargetMode="External"/><Relationship Id="rId13" Type="http://schemas.openxmlformats.org/officeDocument/2006/relationships/hyperlink" Target="https://www.ncbi.nlm.nih.gov/books/NBK558944/" TargetMode="External"/><Relationship Id="rId14" Type="http://schemas.openxmlformats.org/officeDocument/2006/relationships/hyperlink" Target="https://www.cdc.gov/polio/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